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F005C24"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1BDB7E30" w14:textId="1FA7203A" w:rsidR="00D41274" w:rsidRDefault="003F3AB6" w:rsidP="00AE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Style w:val="shorttext"/>
          <w:rFonts w:ascii="Century" w:hAnsi="Century"/>
          <w:b/>
          <w:sz w:val="34"/>
          <w:szCs w:val="34"/>
          <w:shd w:val="clear" w:color="auto" w:fill="FFFFFF"/>
          <w:lang w:val="en-US"/>
        </w:rPr>
      </w:pPr>
      <w:r w:rsidRPr="003F3AB6">
        <w:rPr>
          <w:rFonts w:ascii="Century" w:eastAsia="Times New Roman" w:hAnsi="Century" w:cs="Courier New"/>
          <w:b/>
          <w:bCs/>
          <w:color w:val="222222"/>
          <w:sz w:val="34"/>
          <w:szCs w:val="34"/>
          <w:lang w:val="en" w:eastAsia="en-ID"/>
        </w:rPr>
        <w:t>T</w:t>
      </w:r>
      <w:r w:rsidRPr="003F3AB6">
        <w:rPr>
          <w:rFonts w:ascii="Century" w:eastAsia="Times New Roman" w:hAnsi="Century" w:cs="Courier New"/>
          <w:b/>
          <w:bCs/>
          <w:color w:val="222222"/>
          <w:sz w:val="34"/>
          <w:szCs w:val="34"/>
          <w:lang w:val="en" w:eastAsia="en-ID"/>
        </w:rPr>
        <w:t>he Effect Of Discovery Learning Model Using Concept Map And Computer Animation on Student Learning Outcomes in Hydrocarbon Material</w:t>
      </w:r>
      <w:r w:rsidR="00140FB9" w:rsidRPr="00724B17">
        <w:rPr>
          <w:rStyle w:val="shorttext"/>
          <w:rFonts w:ascii="Century" w:hAnsi="Century"/>
          <w:b/>
          <w:sz w:val="34"/>
          <w:szCs w:val="34"/>
          <w:shd w:val="clear" w:color="auto" w:fill="FFFFFF"/>
          <w:lang w:val="en-US"/>
        </w:rPr>
        <w:t xml:space="preserve"> </w:t>
      </w:r>
    </w:p>
    <w:p w14:paraId="14344D75" w14:textId="77777777" w:rsidR="00DA39BD" w:rsidRPr="003F3AB6" w:rsidRDefault="00DA39BD" w:rsidP="00AE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eastAsia="Times New Roman" w:hAnsi="inherit" w:cs="Courier New"/>
          <w:color w:val="222222"/>
          <w:lang w:val="en-ID" w:eastAsia="en-ID"/>
        </w:rPr>
      </w:pPr>
    </w:p>
    <w:p w14:paraId="4E84B840" w14:textId="24CD8F95" w:rsidR="005B3934" w:rsidRPr="00B3521D" w:rsidRDefault="003F3AB6" w:rsidP="005B3934">
      <w:pPr>
        <w:jc w:val="center"/>
        <w:rPr>
          <w:rFonts w:ascii="Century Gothic" w:hAnsi="Century Gothic"/>
          <w:b/>
          <w:bCs/>
          <w:sz w:val="22"/>
          <w:szCs w:val="22"/>
        </w:rPr>
      </w:pPr>
      <w:r>
        <w:rPr>
          <w:rFonts w:ascii="Century" w:hAnsi="Century"/>
          <w:b/>
          <w:bCs/>
          <w:sz w:val="22"/>
          <w:szCs w:val="22"/>
          <w:lang w:val="en-US"/>
        </w:rPr>
        <w:t>Anita Debora Br. Simangunsong, S.Pd., M.Pd</w:t>
      </w:r>
      <w:r w:rsidR="00AB2575" w:rsidRPr="00724B17">
        <w:rPr>
          <w:rFonts w:ascii="Century" w:hAnsi="Century"/>
          <w:b/>
          <w:bCs/>
          <w:sz w:val="22"/>
          <w:szCs w:val="22"/>
        </w:rPr>
        <w:t xml:space="preserve"> </w:t>
      </w:r>
    </w:p>
    <w:p w14:paraId="549D4DA9" w14:textId="692109DC" w:rsidR="005B3934" w:rsidRPr="00724B17" w:rsidRDefault="00F66CC2" w:rsidP="005B3934">
      <w:pPr>
        <w:jc w:val="center"/>
        <w:rPr>
          <w:rFonts w:asciiTheme="minorHAnsi" w:hAnsiTheme="minorHAnsi" w:cstheme="minorHAnsi"/>
          <w:sz w:val="22"/>
          <w:szCs w:val="22"/>
        </w:rPr>
      </w:pPr>
      <w:r w:rsidRPr="00724B17">
        <w:rPr>
          <w:rFonts w:asciiTheme="minorHAnsi" w:hAnsiTheme="minorHAnsi" w:cstheme="minorHAnsi"/>
          <w:sz w:val="22"/>
          <w:szCs w:val="22"/>
          <w:vertAlign w:val="superscript"/>
        </w:rPr>
        <w:t>1</w:t>
      </w:r>
      <w:r w:rsidR="00D3112E">
        <w:rPr>
          <w:rFonts w:asciiTheme="minorHAnsi" w:hAnsiTheme="minorHAnsi" w:cstheme="minorHAnsi"/>
          <w:sz w:val="22"/>
          <w:szCs w:val="22"/>
        </w:rPr>
        <w:t>Lecture in H</w:t>
      </w:r>
      <w:r w:rsidR="006A636B">
        <w:rPr>
          <w:rFonts w:asciiTheme="minorHAnsi" w:hAnsiTheme="minorHAnsi" w:cstheme="minorHAnsi"/>
          <w:sz w:val="22"/>
          <w:szCs w:val="22"/>
        </w:rPr>
        <w:t xml:space="preserve">KBP Nommensen Pematangsiantar </w:t>
      </w:r>
      <w:r w:rsidR="00B867D4">
        <w:rPr>
          <w:rFonts w:asciiTheme="minorHAnsi" w:hAnsiTheme="minorHAnsi" w:cstheme="minorHAnsi"/>
          <w:sz w:val="22"/>
          <w:szCs w:val="22"/>
        </w:rPr>
        <w:t>University</w:t>
      </w:r>
      <w:r w:rsidRPr="00724B17">
        <w:rPr>
          <w:rFonts w:asciiTheme="minorHAnsi" w:hAnsiTheme="minorHAnsi" w:cstheme="minorHAnsi"/>
          <w:sz w:val="22"/>
          <w:szCs w:val="22"/>
        </w:rPr>
        <w:t>,</w:t>
      </w:r>
      <w:r w:rsidR="00DA39BD">
        <w:rPr>
          <w:rFonts w:asciiTheme="minorHAnsi" w:hAnsiTheme="minorHAnsi" w:cstheme="minorHAnsi"/>
          <w:sz w:val="22"/>
          <w:szCs w:val="22"/>
        </w:rPr>
        <w:t xml:space="preserve"> anitadebora715@gmail.com</w:t>
      </w:r>
    </w:p>
    <w:p w14:paraId="31B92124" w14:textId="77777777" w:rsidR="00D41274" w:rsidRPr="00B3521D" w:rsidRDefault="00A04DC8" w:rsidP="005B3934">
      <w:pPr>
        <w:jc w:val="center"/>
        <w:rPr>
          <w:rFonts w:ascii="Century Gothic" w:hAnsi="Century Gothic"/>
          <w:sz w:val="18"/>
          <w:szCs w:val="18"/>
          <w:lang w:val="en-US"/>
        </w:rPr>
      </w:pPr>
      <w:r w:rsidRPr="00724B17">
        <w:rPr>
          <w:rFonts w:asciiTheme="minorHAnsi" w:hAnsiTheme="minorHAnsi" w:cstheme="minorHAnsi"/>
          <w:sz w:val="22"/>
          <w:szCs w:val="22"/>
          <w:vertAlign w:val="superscript"/>
        </w:rPr>
        <w:t>1</w:t>
      </w:r>
      <w:r w:rsidR="00347F48">
        <w:rPr>
          <w:rFonts w:asciiTheme="minorHAnsi" w:hAnsiTheme="minorHAnsi" w:cstheme="minorHAnsi"/>
          <w:sz w:val="22"/>
          <w:szCs w:val="22"/>
        </w:rPr>
        <w:t>English</w:t>
      </w:r>
      <w:r w:rsidR="00B867D4">
        <w:rPr>
          <w:rFonts w:asciiTheme="minorHAnsi" w:hAnsiTheme="minorHAnsi" w:cstheme="minorHAnsi"/>
          <w:sz w:val="22"/>
          <w:szCs w:val="22"/>
        </w:rPr>
        <w:t xml:space="preserve"> Education</w:t>
      </w:r>
      <w:r w:rsidR="005B3934" w:rsidRPr="00724B17">
        <w:rPr>
          <w:rFonts w:asciiTheme="minorHAnsi" w:hAnsiTheme="minorHAnsi" w:cstheme="minorHAnsi"/>
          <w:sz w:val="22"/>
          <w:szCs w:val="22"/>
        </w:rPr>
        <w:t xml:space="preserve">, </w:t>
      </w:r>
      <w:r w:rsidR="00F66CC2" w:rsidRPr="00724B17">
        <w:rPr>
          <w:rFonts w:asciiTheme="minorHAnsi" w:hAnsiTheme="minorHAnsi" w:cstheme="minorHAnsi"/>
          <w:sz w:val="22"/>
          <w:szCs w:val="22"/>
        </w:rPr>
        <w:t xml:space="preserve">Muhammadiyah </w:t>
      </w:r>
      <w:r w:rsidR="00B867D4">
        <w:rPr>
          <w:rFonts w:asciiTheme="minorHAnsi" w:hAnsiTheme="minorHAnsi" w:cstheme="minorHAnsi"/>
          <w:sz w:val="22"/>
          <w:szCs w:val="22"/>
        </w:rPr>
        <w:t xml:space="preserve">University of </w:t>
      </w:r>
      <w:r w:rsidR="00F66CC2" w:rsidRPr="00724B17">
        <w:rPr>
          <w:rFonts w:asciiTheme="minorHAnsi" w:hAnsiTheme="minorHAnsi" w:cstheme="minorHAnsi"/>
          <w:sz w:val="22"/>
          <w:szCs w:val="22"/>
        </w:rPr>
        <w:t>Mataram</w:t>
      </w:r>
      <w:r w:rsidR="0026094F" w:rsidRPr="00724B17">
        <w:rPr>
          <w:rFonts w:asciiTheme="minorHAnsi" w:hAnsiTheme="minorHAnsi" w:cstheme="minorHAnsi"/>
          <w:sz w:val="22"/>
          <w:szCs w:val="22"/>
        </w:rPr>
        <w:t xml:space="preserve">, </w:t>
      </w:r>
      <w:hyperlink r:id="rId8" w:history="1">
        <w:r w:rsidR="00347F48" w:rsidRPr="001D2CD5">
          <w:rPr>
            <w:rStyle w:val="Hyperlink"/>
            <w:rFonts w:asciiTheme="minorHAnsi" w:hAnsiTheme="minorHAnsi" w:cstheme="minorHAnsi"/>
            <w:sz w:val="22"/>
            <w:szCs w:val="22"/>
          </w:rPr>
          <w:t>lukman@ummat.ac.id</w:t>
        </w:r>
      </w:hyperlink>
    </w:p>
    <w:p w14:paraId="26392644" w14:textId="77777777" w:rsidR="00D41274" w:rsidRPr="00B3521D" w:rsidRDefault="00D41274" w:rsidP="00D41274">
      <w:pPr>
        <w:rPr>
          <w:rFonts w:ascii="Century Gothic" w:hAnsi="Century Gothic"/>
        </w:rPr>
      </w:pPr>
    </w:p>
    <w:p w14:paraId="797DBD6A" w14:textId="77777777" w:rsidR="00D41274" w:rsidRPr="00B3521D" w:rsidRDefault="00D41274">
      <w:pPr>
        <w:rPr>
          <w:rFonts w:ascii="Century Gothic" w:hAnsi="Century Gothic"/>
        </w:rPr>
        <w:sectPr w:rsidR="00D41274" w:rsidRPr="00B3521D" w:rsidSect="009B0A53">
          <w:headerReference w:type="even" r:id="rId9"/>
          <w:headerReference w:type="default" r:id="rId10"/>
          <w:headerReference w:type="first" r:id="rId11"/>
          <w:footerReference w:type="first" r:id="rId12"/>
          <w:pgSz w:w="11906" w:h="16838" w:code="9"/>
          <w:pgMar w:top="1701" w:right="1418" w:bottom="1418" w:left="1418" w:header="851" w:footer="431" w:gutter="0"/>
          <w:cols w:space="708"/>
          <w:titlePg/>
          <w:docGrid w:linePitch="360"/>
        </w:sectPr>
      </w:pPr>
    </w:p>
    <w:p w14:paraId="67D88CFB" w14:textId="77777777" w:rsidR="009D3C51" w:rsidRPr="00B3521D" w:rsidRDefault="009D3C51" w:rsidP="007E34AA">
      <w:pPr>
        <w:pStyle w:val="IEEEAbtract"/>
        <w:ind w:left="1985" w:right="1779"/>
        <w:rPr>
          <w:rFonts w:ascii="Century Gothic" w:hAnsi="Century Gothic"/>
          <w:lang w:val="id-ID"/>
        </w:rPr>
      </w:pPr>
    </w:p>
    <w:tbl>
      <w:tblPr>
        <w:tblStyle w:val="TableGrid"/>
        <w:tblW w:w="9108" w:type="dxa"/>
        <w:jc w:val="center"/>
        <w:tblLook w:val="04A0" w:firstRow="1" w:lastRow="0" w:firstColumn="1" w:lastColumn="0" w:noHBand="0" w:noVBand="1"/>
      </w:tblPr>
      <w:tblGrid>
        <w:gridCol w:w="1243"/>
        <w:gridCol w:w="1044"/>
        <w:gridCol w:w="283"/>
        <w:gridCol w:w="1226"/>
        <w:gridCol w:w="5312"/>
      </w:tblGrid>
      <w:tr w:rsidR="009507C0" w:rsidRPr="00B3521D" w14:paraId="5AC8A54C" w14:textId="77777777" w:rsidTr="006C3E9C">
        <w:trPr>
          <w:trHeight w:val="135"/>
          <w:jc w:val="center"/>
        </w:trPr>
        <w:tc>
          <w:tcPr>
            <w:tcW w:w="2287" w:type="dxa"/>
            <w:gridSpan w:val="2"/>
            <w:tcBorders>
              <w:top w:val="double" w:sz="4" w:space="0" w:color="auto"/>
              <w:left w:val="nil"/>
              <w:bottom w:val="single" w:sz="4" w:space="0" w:color="auto"/>
              <w:right w:val="nil"/>
            </w:tcBorders>
            <w:vAlign w:val="center"/>
          </w:tcPr>
          <w:p w14:paraId="79A57496" w14:textId="77777777"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5B76A4EA" w14:textId="77777777" w:rsidR="009507C0" w:rsidRPr="00B3521D" w:rsidRDefault="009507C0" w:rsidP="00521ED0">
            <w:pPr>
              <w:spacing w:before="120"/>
              <w:rPr>
                <w:rFonts w:ascii="Century Gothic" w:hAnsi="Century Gothic"/>
                <w:sz w:val="18"/>
                <w:szCs w:val="18"/>
              </w:rPr>
            </w:pPr>
          </w:p>
        </w:tc>
        <w:tc>
          <w:tcPr>
            <w:tcW w:w="6538" w:type="dxa"/>
            <w:gridSpan w:val="2"/>
            <w:tcBorders>
              <w:top w:val="double" w:sz="4" w:space="0" w:color="auto"/>
              <w:left w:val="nil"/>
              <w:bottom w:val="single" w:sz="4" w:space="0" w:color="auto"/>
              <w:right w:val="nil"/>
            </w:tcBorders>
            <w:vAlign w:val="center"/>
          </w:tcPr>
          <w:p w14:paraId="71A179C0" w14:textId="77777777"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8C1428" w:rsidRPr="00B3521D" w14:paraId="041A2628" w14:textId="77777777" w:rsidTr="006C3E9C">
        <w:trPr>
          <w:trHeight w:val="2814"/>
          <w:jc w:val="center"/>
        </w:trPr>
        <w:tc>
          <w:tcPr>
            <w:tcW w:w="2287" w:type="dxa"/>
            <w:gridSpan w:val="2"/>
            <w:tcBorders>
              <w:top w:val="single" w:sz="4" w:space="0" w:color="auto"/>
              <w:left w:val="nil"/>
              <w:bottom w:val="single" w:sz="4" w:space="0" w:color="auto"/>
              <w:right w:val="nil"/>
            </w:tcBorders>
          </w:tcPr>
          <w:p w14:paraId="5E7A39D6" w14:textId="77777777" w:rsidR="008C1428" w:rsidRPr="00724B17" w:rsidRDefault="008C1428" w:rsidP="008C1428">
            <w:pPr>
              <w:spacing w:before="120" w:after="120"/>
              <w:jc w:val="both"/>
              <w:rPr>
                <w:rFonts w:ascii="Century" w:hAnsi="Century"/>
                <w:b/>
                <w:i/>
                <w:sz w:val="18"/>
                <w:szCs w:val="18"/>
              </w:rPr>
            </w:pPr>
            <w:r>
              <w:rPr>
                <w:rFonts w:ascii="Century" w:hAnsi="Century"/>
                <w:b/>
                <w:i/>
                <w:sz w:val="18"/>
                <w:szCs w:val="18"/>
              </w:rPr>
              <w:t>Keyword</w:t>
            </w:r>
            <w:r w:rsidRPr="00724B17">
              <w:rPr>
                <w:rFonts w:ascii="Century" w:hAnsi="Century"/>
                <w:b/>
                <w:i/>
                <w:sz w:val="18"/>
                <w:szCs w:val="18"/>
              </w:rPr>
              <w:t>:</w:t>
            </w:r>
          </w:p>
          <w:p w14:paraId="1209AFCB" w14:textId="3A74CB38" w:rsidR="008C1428" w:rsidRPr="006E6304" w:rsidRDefault="006E6304" w:rsidP="008C1428">
            <w:pPr>
              <w:jc w:val="both"/>
              <w:rPr>
                <w:rFonts w:ascii="Century" w:hAnsi="Century"/>
                <w:sz w:val="18"/>
                <w:szCs w:val="18"/>
              </w:rPr>
            </w:pPr>
            <w:r w:rsidRPr="006E6304">
              <w:rPr>
                <w:rFonts w:ascii="Century" w:hAnsi="Century"/>
                <w:color w:val="222222"/>
                <w:sz w:val="18"/>
                <w:szCs w:val="18"/>
                <w:lang w:val="en"/>
              </w:rPr>
              <w:t>Discovery learning</w:t>
            </w:r>
          </w:p>
          <w:p w14:paraId="18A9CB8D" w14:textId="420581DA" w:rsidR="008C1428" w:rsidRDefault="006E6304" w:rsidP="008C1428">
            <w:pPr>
              <w:jc w:val="both"/>
              <w:rPr>
                <w:rFonts w:ascii="Century" w:hAnsi="Century"/>
                <w:sz w:val="18"/>
                <w:szCs w:val="18"/>
              </w:rPr>
            </w:pPr>
            <w:r w:rsidRPr="006E6304">
              <w:rPr>
                <w:rFonts w:ascii="Century" w:hAnsi="Century"/>
                <w:color w:val="222222"/>
                <w:sz w:val="18"/>
                <w:szCs w:val="18"/>
                <w:lang w:val="en"/>
              </w:rPr>
              <w:t>Concept maps</w:t>
            </w:r>
            <w:r w:rsidR="008C1428">
              <w:rPr>
                <w:rFonts w:ascii="Century" w:hAnsi="Century"/>
                <w:sz w:val="18"/>
                <w:szCs w:val="18"/>
              </w:rPr>
              <w:t xml:space="preserve">, </w:t>
            </w:r>
          </w:p>
          <w:p w14:paraId="44F29AAB" w14:textId="3B366C80" w:rsidR="008C1428" w:rsidRDefault="006E6304" w:rsidP="008C1428">
            <w:pPr>
              <w:jc w:val="both"/>
              <w:rPr>
                <w:rFonts w:ascii="Century" w:hAnsi="Century"/>
                <w:sz w:val="18"/>
                <w:szCs w:val="18"/>
              </w:rPr>
            </w:pPr>
            <w:r w:rsidRPr="006E6304">
              <w:rPr>
                <w:rFonts w:ascii="Century" w:hAnsi="Century"/>
                <w:color w:val="222222"/>
                <w:sz w:val="18"/>
                <w:szCs w:val="18"/>
                <w:lang w:val="en"/>
              </w:rPr>
              <w:t>Computer animation</w:t>
            </w:r>
            <w:r w:rsidR="008C1428">
              <w:rPr>
                <w:rFonts w:ascii="Century" w:hAnsi="Century"/>
                <w:sz w:val="18"/>
                <w:szCs w:val="18"/>
              </w:rPr>
              <w:t xml:space="preserve">, </w:t>
            </w:r>
          </w:p>
          <w:p w14:paraId="2A245FAC" w14:textId="50FA0C82" w:rsidR="008C1428" w:rsidRPr="006E6304" w:rsidRDefault="006E6304" w:rsidP="008C1428">
            <w:pPr>
              <w:jc w:val="both"/>
              <w:rPr>
                <w:rFonts w:ascii="Century" w:hAnsi="Century"/>
                <w:sz w:val="18"/>
                <w:szCs w:val="18"/>
              </w:rPr>
            </w:pPr>
            <w:r w:rsidRPr="006E6304">
              <w:rPr>
                <w:rFonts w:ascii="Century" w:hAnsi="Century"/>
                <w:color w:val="222222"/>
                <w:sz w:val="18"/>
                <w:szCs w:val="18"/>
                <w:lang w:val="en"/>
              </w:rPr>
              <w:t>Learning outcomes</w:t>
            </w:r>
          </w:p>
        </w:tc>
        <w:tc>
          <w:tcPr>
            <w:tcW w:w="283" w:type="dxa"/>
            <w:tcBorders>
              <w:top w:val="nil"/>
              <w:left w:val="nil"/>
              <w:bottom w:val="nil"/>
              <w:right w:val="nil"/>
            </w:tcBorders>
          </w:tcPr>
          <w:p w14:paraId="5077233F" w14:textId="77777777" w:rsidR="008C1428" w:rsidRPr="00B3521D" w:rsidRDefault="008C1428" w:rsidP="00E03F00">
            <w:pPr>
              <w:spacing w:before="120"/>
              <w:jc w:val="both"/>
              <w:rPr>
                <w:rFonts w:ascii="Century Gothic" w:hAnsi="Century Gothic"/>
                <w:sz w:val="18"/>
                <w:szCs w:val="18"/>
              </w:rPr>
            </w:pPr>
          </w:p>
        </w:tc>
        <w:tc>
          <w:tcPr>
            <w:tcW w:w="6538" w:type="dxa"/>
            <w:gridSpan w:val="2"/>
            <w:tcBorders>
              <w:top w:val="single" w:sz="4" w:space="0" w:color="auto"/>
              <w:left w:val="nil"/>
              <w:bottom w:val="single" w:sz="4" w:space="0" w:color="auto"/>
              <w:right w:val="nil"/>
            </w:tcBorders>
          </w:tcPr>
          <w:p w14:paraId="059018F5" w14:textId="699843A2" w:rsidR="008C1428" w:rsidRPr="00B867D4" w:rsidRDefault="00C026EE" w:rsidP="00C93BB2">
            <w:pPr>
              <w:spacing w:before="120" w:after="240"/>
              <w:jc w:val="both"/>
              <w:rPr>
                <w:rFonts w:ascii="Century" w:hAnsi="Century"/>
                <w:b/>
                <w:sz w:val="18"/>
                <w:szCs w:val="18"/>
                <w:lang w:val="en-US"/>
              </w:rPr>
            </w:pPr>
            <w:r w:rsidRPr="00C026EE">
              <w:rPr>
                <w:rFonts w:ascii="Century" w:hAnsi="Century"/>
                <w:color w:val="222222"/>
                <w:sz w:val="18"/>
                <w:szCs w:val="18"/>
                <w:lang w:val="en"/>
              </w:rPr>
              <w:t>This study aims to determine the effect of discovery learning with concept maps and computer animation media on chemistry learning outcomes on the subject of hydrocarbons. The sample in this study w</w:t>
            </w:r>
            <w:r w:rsidR="003E1255">
              <w:rPr>
                <w:rFonts w:ascii="Century" w:hAnsi="Century"/>
                <w:color w:val="222222"/>
                <w:sz w:val="18"/>
                <w:szCs w:val="18"/>
                <w:lang w:val="en"/>
              </w:rPr>
              <w:t>as</w:t>
            </w:r>
            <w:r w:rsidRPr="00C026EE">
              <w:rPr>
                <w:rFonts w:ascii="Century" w:hAnsi="Century"/>
                <w:color w:val="222222"/>
                <w:sz w:val="18"/>
                <w:szCs w:val="18"/>
                <w:lang w:val="en"/>
              </w:rPr>
              <w:t xml:space="preserve"> students of Mathematics Education semester 1 HKBP University Nommensen Pematangsiantar odd semester of the 2019/2020 school year. The instrument used in data collection is a validated test instrument. The data obtained were tested with a comparative study using the two-party t test. From the normalized gain data, a large increase in student learning outcomes by using discovery learning teaching with concept maps and computer animation media was 54% of the experimental class I and 70% of the experimental class II. The magnitude of the difference in the increase in student learning outcomes is 16%. Based on the results of hypothesis testing, obtained tcount&gt; ttable is 5.56&gt; 1.6671 at a significant level α = 0.05. This means that H0 is rejected and Ha is accepted, which states that there are significant differences in student learning outcomes by applying discovery learning using concept maps and computer animation on hydrocarbon material</w:t>
            </w:r>
            <w:r w:rsidR="008C1428" w:rsidRPr="00922923">
              <w:rPr>
                <w:rFonts w:ascii="Century" w:hAnsi="Century"/>
                <w:sz w:val="18"/>
                <w:szCs w:val="18"/>
                <w:lang w:val="id-ID"/>
              </w:rPr>
              <w:t>.</w:t>
            </w:r>
          </w:p>
        </w:tc>
      </w:tr>
      <w:tr w:rsidR="008C1428" w:rsidRPr="00A231E7" w14:paraId="4FDDDCE9" w14:textId="77777777" w:rsidTr="006C3E9C">
        <w:trPr>
          <w:trHeight w:val="866"/>
          <w:jc w:val="center"/>
        </w:trPr>
        <w:tc>
          <w:tcPr>
            <w:tcW w:w="1243" w:type="dxa"/>
            <w:tcBorders>
              <w:top w:val="single" w:sz="4" w:space="0" w:color="auto"/>
              <w:left w:val="nil"/>
              <w:bottom w:val="single" w:sz="4" w:space="0" w:color="auto"/>
              <w:right w:val="nil"/>
            </w:tcBorders>
          </w:tcPr>
          <w:p w14:paraId="7A367404" w14:textId="77777777" w:rsidR="008C1428" w:rsidRPr="00922A80" w:rsidRDefault="00054970" w:rsidP="00C83E8B">
            <w:pPr>
              <w:spacing w:before="120"/>
              <w:jc w:val="both"/>
              <w:rPr>
                <w:rFonts w:ascii="Century Gothic" w:hAnsi="Century Gothic"/>
                <w:iCs/>
                <w:color w:val="000000"/>
                <w:sz w:val="20"/>
                <w:szCs w:val="20"/>
              </w:rPr>
            </w:pPr>
            <w:r>
              <w:rPr>
                <w:rFonts w:ascii="Century Gothic" w:hAnsi="Century Gothic"/>
                <w:iCs/>
                <w:noProof/>
                <w:color w:val="000000"/>
                <w:sz w:val="20"/>
                <w:szCs w:val="20"/>
                <w:lang w:val="en-US" w:eastAsia="en-US"/>
              </w:rPr>
              <w:drawing>
                <wp:anchor distT="0" distB="0" distL="114300" distR="114300" simplePos="0" relativeHeight="251658240" behindDoc="0" locked="0" layoutInCell="1" allowOverlap="1" wp14:anchorId="56D657A7" wp14:editId="77ED96B5">
                  <wp:simplePos x="0" y="0"/>
                  <wp:positionH relativeFrom="column">
                    <wp:posOffset>28575</wp:posOffset>
                  </wp:positionH>
                  <wp:positionV relativeFrom="paragraph">
                    <wp:posOffset>34702</wp:posOffset>
                  </wp:positionV>
                  <wp:extent cx="587828" cy="587828"/>
                  <wp:effectExtent l="0" t="0" r="0" b="0"/>
                  <wp:wrapNone/>
                  <wp:docPr id="1" name="Picture 1" descr="E:\UMUM\OJSQ\qr-code-IJEC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UM\OJSQ\qr-code-IJECA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7828" cy="5878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3" w:type="dxa"/>
            <w:gridSpan w:val="3"/>
            <w:tcBorders>
              <w:top w:val="single" w:sz="4" w:space="0" w:color="auto"/>
              <w:left w:val="nil"/>
              <w:bottom w:val="single" w:sz="4" w:space="0" w:color="auto"/>
              <w:right w:val="nil"/>
            </w:tcBorders>
          </w:tcPr>
          <w:p w14:paraId="160DB318" w14:textId="77777777" w:rsidR="00B57570" w:rsidRPr="00B57570" w:rsidRDefault="00B57570" w:rsidP="00C83E8B">
            <w:pPr>
              <w:jc w:val="both"/>
              <w:rPr>
                <w:rFonts w:ascii="Century" w:hAnsi="Century"/>
                <w:b/>
                <w:sz w:val="2"/>
                <w:szCs w:val="16"/>
              </w:rPr>
            </w:pPr>
          </w:p>
          <w:p w14:paraId="269C5A17" w14:textId="77777777" w:rsidR="008C1428" w:rsidRPr="00B57570" w:rsidRDefault="008C1428" w:rsidP="00C83E8B">
            <w:pPr>
              <w:jc w:val="both"/>
              <w:rPr>
                <w:rFonts w:ascii="Century" w:hAnsi="Century"/>
                <w:b/>
                <w:sz w:val="16"/>
                <w:szCs w:val="16"/>
              </w:rPr>
            </w:pPr>
            <w:r w:rsidRPr="00B57570">
              <w:rPr>
                <w:rFonts w:ascii="Century" w:hAnsi="Century"/>
                <w:b/>
                <w:sz w:val="16"/>
                <w:szCs w:val="16"/>
              </w:rPr>
              <w:t>Article History:</w:t>
            </w:r>
          </w:p>
          <w:p w14:paraId="5738EAF0" w14:textId="77777777" w:rsidR="008C1428" w:rsidRPr="00B57570" w:rsidRDefault="008C1428" w:rsidP="00C83E8B">
            <w:pPr>
              <w:jc w:val="both"/>
              <w:rPr>
                <w:rFonts w:ascii="Century" w:hAnsi="Century"/>
                <w:sz w:val="16"/>
                <w:szCs w:val="16"/>
              </w:rPr>
            </w:pPr>
            <w:r w:rsidRPr="00B57570">
              <w:rPr>
                <w:rFonts w:ascii="Century" w:hAnsi="Century"/>
                <w:sz w:val="16"/>
                <w:szCs w:val="16"/>
              </w:rPr>
              <w:t>Received: DD-MM-20XX</w:t>
            </w:r>
          </w:p>
          <w:p w14:paraId="3D99D713" w14:textId="77777777" w:rsidR="008C1428" w:rsidRPr="00B57570" w:rsidRDefault="008C1428" w:rsidP="00C83E8B">
            <w:pPr>
              <w:jc w:val="both"/>
              <w:rPr>
                <w:rFonts w:ascii="Century" w:hAnsi="Century"/>
                <w:sz w:val="16"/>
                <w:szCs w:val="16"/>
              </w:rPr>
            </w:pPr>
            <w:r w:rsidRPr="00B57570">
              <w:rPr>
                <w:rFonts w:ascii="Century" w:hAnsi="Century"/>
                <w:sz w:val="16"/>
                <w:szCs w:val="16"/>
              </w:rPr>
              <w:t>Revised  : DD-MM-20XX</w:t>
            </w:r>
          </w:p>
          <w:p w14:paraId="51DCBE3B" w14:textId="77777777" w:rsidR="008C1428" w:rsidRPr="00B57570" w:rsidRDefault="008C1428" w:rsidP="00C83E8B">
            <w:pPr>
              <w:jc w:val="both"/>
              <w:rPr>
                <w:rFonts w:ascii="Century" w:hAnsi="Century"/>
                <w:sz w:val="16"/>
                <w:szCs w:val="16"/>
              </w:rPr>
            </w:pPr>
            <w:r w:rsidRPr="00B57570">
              <w:rPr>
                <w:rFonts w:ascii="Century" w:hAnsi="Century"/>
                <w:sz w:val="16"/>
                <w:szCs w:val="16"/>
              </w:rPr>
              <w:t>Accepted: DD-MM-20XX</w:t>
            </w:r>
          </w:p>
          <w:p w14:paraId="1C7ABE78" w14:textId="77777777" w:rsidR="008C1428" w:rsidRPr="00A231E7" w:rsidRDefault="008C1428" w:rsidP="00C83E8B">
            <w:pPr>
              <w:jc w:val="both"/>
              <w:rPr>
                <w:rFonts w:ascii="Century" w:hAnsi="Century"/>
                <w:iCs/>
                <w:color w:val="000000"/>
                <w:sz w:val="20"/>
                <w:szCs w:val="20"/>
              </w:rPr>
            </w:pPr>
            <w:r w:rsidRPr="00B57570">
              <w:rPr>
                <w:rFonts w:ascii="Century" w:hAnsi="Century"/>
                <w:sz w:val="16"/>
                <w:szCs w:val="16"/>
              </w:rPr>
              <w:t>Online    : DD-MM-20XX</w:t>
            </w:r>
          </w:p>
        </w:tc>
        <w:tc>
          <w:tcPr>
            <w:tcW w:w="5312" w:type="dxa"/>
            <w:tcBorders>
              <w:top w:val="single" w:sz="4" w:space="0" w:color="auto"/>
              <w:left w:val="nil"/>
              <w:bottom w:val="single" w:sz="4" w:space="0" w:color="auto"/>
              <w:right w:val="nil"/>
            </w:tcBorders>
          </w:tcPr>
          <w:p w14:paraId="2BE9BDB0" w14:textId="77777777" w:rsidR="006C3E9C" w:rsidRDefault="006C3E9C" w:rsidP="006C3E9C">
            <w:pPr>
              <w:ind w:right="-13"/>
              <w:rPr>
                <w:rFonts w:ascii="Century" w:hAnsi="Century"/>
                <w:i/>
                <w:iCs/>
                <w:color w:val="000000"/>
                <w:sz w:val="6"/>
                <w:szCs w:val="18"/>
              </w:rPr>
            </w:pPr>
          </w:p>
          <w:p w14:paraId="411ED657" w14:textId="77777777" w:rsidR="006C3E9C" w:rsidRDefault="006C3E9C" w:rsidP="006C3E9C">
            <w:pPr>
              <w:ind w:right="-13"/>
              <w:jc w:val="center"/>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70BB83F4" wp14:editId="64C21E8D">
                  <wp:extent cx="505665" cy="1781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20838" cy="183475"/>
                          </a:xfrm>
                          <a:prstGeom prst="rect">
                            <a:avLst/>
                          </a:prstGeom>
                          <a:noFill/>
                          <a:ln>
                            <a:noFill/>
                          </a:ln>
                        </pic:spPr>
                      </pic:pic>
                    </a:graphicData>
                  </a:graphic>
                </wp:inline>
              </w:drawing>
            </w:r>
          </w:p>
          <w:p w14:paraId="5711936F" w14:textId="77777777" w:rsidR="008C1428" w:rsidRPr="006C3E9C" w:rsidRDefault="008C1428" w:rsidP="006C3E9C">
            <w:pPr>
              <w:ind w:right="-13"/>
              <w:jc w:val="center"/>
              <w:rPr>
                <w:rFonts w:ascii="Century Gothic" w:hAnsi="Century Gothic"/>
                <w:iCs/>
                <w:color w:val="000000"/>
                <w:sz w:val="16"/>
                <w:szCs w:val="16"/>
              </w:rPr>
            </w:pPr>
            <w:r w:rsidRPr="006C3E9C">
              <w:rPr>
                <w:rFonts w:ascii="Century Gothic" w:hAnsi="Century Gothic"/>
                <w:iCs/>
                <w:color w:val="000000"/>
                <w:sz w:val="16"/>
                <w:szCs w:val="16"/>
              </w:rPr>
              <w:t>This is an open access article under the</w:t>
            </w:r>
            <w:r w:rsidR="006C3E9C" w:rsidRPr="006C3E9C">
              <w:rPr>
                <w:rFonts w:ascii="Century Gothic" w:hAnsi="Century Gothic"/>
                <w:iCs/>
                <w:color w:val="000000"/>
                <w:sz w:val="16"/>
                <w:szCs w:val="16"/>
              </w:rPr>
              <w:t xml:space="preserve"> </w:t>
            </w:r>
            <w:r w:rsidRPr="006C3E9C">
              <w:rPr>
                <w:rFonts w:ascii="Century Gothic" w:hAnsi="Century Gothic"/>
                <w:b/>
                <w:iCs/>
                <w:color w:val="4F81BD" w:themeColor="accent1"/>
                <w:sz w:val="16"/>
                <w:szCs w:val="16"/>
              </w:rPr>
              <w:t>CC–BY-SA</w:t>
            </w:r>
            <w:r w:rsidRPr="006C3E9C">
              <w:rPr>
                <w:rFonts w:ascii="Century Gothic" w:hAnsi="Century Gothic"/>
                <w:iCs/>
                <w:color w:val="000000"/>
                <w:sz w:val="16"/>
                <w:szCs w:val="16"/>
              </w:rPr>
              <w:t xml:space="preserve"> license</w:t>
            </w:r>
          </w:p>
          <w:p w14:paraId="5851DC45" w14:textId="77777777" w:rsidR="006C3E9C" w:rsidRPr="006C3E9C" w:rsidRDefault="006C3E9C" w:rsidP="006C3E9C">
            <w:pPr>
              <w:ind w:right="-13"/>
              <w:jc w:val="center"/>
              <w:rPr>
                <w:rFonts w:ascii="Century Gothic" w:hAnsi="Century Gothic"/>
                <w:sz w:val="16"/>
                <w:szCs w:val="16"/>
              </w:rPr>
            </w:pPr>
            <w:r w:rsidRPr="006C3E9C">
              <w:rPr>
                <w:rFonts w:ascii="Century Gothic" w:hAnsi="Century Gothic"/>
                <w:noProof/>
                <w:sz w:val="16"/>
                <w:szCs w:val="16"/>
                <w:lang w:val="en-US" w:eastAsia="en-US"/>
              </w:rPr>
              <w:drawing>
                <wp:inline distT="0" distB="0" distL="0" distR="0" wp14:anchorId="061AEB41" wp14:editId="51BFE2E5">
                  <wp:extent cx="542253" cy="184067"/>
                  <wp:effectExtent l="0" t="0" r="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253" cy="184067"/>
                          </a:xfrm>
                          <a:prstGeom prst="rect">
                            <a:avLst/>
                          </a:prstGeom>
                          <a:noFill/>
                          <a:ln>
                            <a:noFill/>
                          </a:ln>
                        </pic:spPr>
                      </pic:pic>
                    </a:graphicData>
                  </a:graphic>
                </wp:inline>
              </w:drawing>
            </w:r>
          </w:p>
          <w:p w14:paraId="577C1FD4" w14:textId="77777777" w:rsidR="006C3E9C" w:rsidRPr="00A231E7" w:rsidRDefault="00C55FB1" w:rsidP="006C3E9C">
            <w:pPr>
              <w:ind w:right="-13"/>
              <w:jc w:val="center"/>
              <w:rPr>
                <w:rFonts w:ascii="Century" w:hAnsi="Century"/>
                <w:sz w:val="18"/>
                <w:szCs w:val="18"/>
              </w:rPr>
            </w:pPr>
            <w:hyperlink r:id="rId16" w:history="1">
              <w:r w:rsidR="006C3E9C" w:rsidRPr="001D2CD5">
                <w:rPr>
                  <w:rStyle w:val="Hyperlink"/>
                  <w:rFonts w:ascii="Century Gothic" w:hAnsi="Century Gothic" w:cs="Arial"/>
                  <w:sz w:val="16"/>
                  <w:szCs w:val="16"/>
                </w:rPr>
                <w:t>https://doi.org/10.31764/ijeca.vXiX.YYYY</w:t>
              </w:r>
            </w:hyperlink>
          </w:p>
        </w:tc>
      </w:tr>
    </w:tbl>
    <w:p w14:paraId="0D70A8C5" w14:textId="77777777" w:rsidR="008C1428" w:rsidRPr="008C1428" w:rsidRDefault="008C1428" w:rsidP="008C1428">
      <w:pPr>
        <w:rPr>
          <w:b/>
          <w:lang w:val="en-US" w:eastAsia="en-US"/>
        </w:rPr>
      </w:pPr>
    </w:p>
    <w:p w14:paraId="3607440A"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4FCA0F7F" w14:textId="77777777" w:rsidR="00B3521D" w:rsidRPr="00B3521D" w:rsidRDefault="00B3521D" w:rsidP="00B3521D">
      <w:pPr>
        <w:rPr>
          <w:sz w:val="14"/>
          <w:lang w:val="en-US" w:eastAsia="en-US"/>
        </w:rPr>
      </w:pPr>
    </w:p>
    <w:p w14:paraId="15C14924"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9B0A53">
          <w:type w:val="continuous"/>
          <w:pgSz w:w="11906" w:h="16838" w:code="9"/>
          <w:pgMar w:top="1701" w:right="1418" w:bottom="1418" w:left="1418" w:header="709" w:footer="709" w:gutter="0"/>
          <w:cols w:space="238"/>
          <w:docGrid w:linePitch="360"/>
        </w:sectPr>
      </w:pPr>
    </w:p>
    <w:p w14:paraId="331FA0ED" w14:textId="77777777" w:rsidR="00AD335D" w:rsidRPr="00724B17" w:rsidRDefault="009B0A53" w:rsidP="00B3521D">
      <w:pPr>
        <w:pStyle w:val="IEEEHeading1"/>
        <w:numPr>
          <w:ilvl w:val="0"/>
          <w:numId w:val="11"/>
        </w:numPr>
        <w:spacing w:line="276" w:lineRule="auto"/>
        <w:jc w:val="left"/>
        <w:rPr>
          <w:rFonts w:asciiTheme="majorHAnsi" w:hAnsiTheme="majorHAnsi"/>
          <w:b/>
          <w:sz w:val="24"/>
        </w:rPr>
      </w:pPr>
      <w:r>
        <w:rPr>
          <w:rFonts w:asciiTheme="majorHAnsi" w:hAnsiTheme="majorHAnsi"/>
          <w:b/>
          <w:iCs/>
          <w:sz w:val="24"/>
          <w:lang w:val="en-US"/>
        </w:rPr>
        <w:t>INTRODUCTION</w:t>
      </w:r>
      <w:r w:rsidRPr="00724B17">
        <w:rPr>
          <w:rFonts w:asciiTheme="majorHAnsi" w:hAnsiTheme="majorHAnsi"/>
          <w:b/>
          <w:sz w:val="24"/>
          <w:lang w:val="id-ID"/>
        </w:rPr>
        <w:t xml:space="preserve"> </w:t>
      </w:r>
    </w:p>
    <w:p w14:paraId="31915662" w14:textId="6B021C46" w:rsidR="00DD5882" w:rsidRPr="00BE5E82" w:rsidRDefault="00DD5882" w:rsidP="00BE5E82">
      <w:pPr>
        <w:pStyle w:val="ListParagraph"/>
        <w:shd w:val="clear" w:color="auto" w:fill="FFFFFF" w:themeFill="background1"/>
        <w:spacing w:line="276" w:lineRule="auto"/>
        <w:ind w:left="360" w:firstLine="360"/>
        <w:jc w:val="both"/>
        <w:rPr>
          <w:color w:val="222222"/>
          <w:sz w:val="22"/>
          <w:szCs w:val="22"/>
          <w:shd w:val="clear" w:color="auto" w:fill="FFFFFF" w:themeFill="background1"/>
        </w:rPr>
      </w:pPr>
      <w:r w:rsidRPr="00BE5E82">
        <w:rPr>
          <w:color w:val="222222"/>
          <w:sz w:val="22"/>
          <w:szCs w:val="22"/>
          <w:shd w:val="clear" w:color="auto" w:fill="FFFFFF" w:themeFill="background1"/>
        </w:rPr>
        <w:t xml:space="preserve">Education is a conscious and planned effort to create an atmosphere of learning and learning process so that students actively develop their potential. The educational experience often faced by chemistry teachers is that most students have difficulty understanding and taking chemistry lessons. </w:t>
      </w:r>
      <w:r w:rsidR="00B82DCE">
        <w:rPr>
          <w:color w:val="222222"/>
          <w:sz w:val="22"/>
          <w:szCs w:val="22"/>
          <w:shd w:val="clear" w:color="auto" w:fill="FFFFFF" w:themeFill="background1"/>
        </w:rPr>
        <w:fldChar w:fldCharType="begin" w:fldLock="1"/>
      </w:r>
      <w:r w:rsidR="005F6BEF">
        <w:rPr>
          <w:color w:val="222222"/>
          <w:sz w:val="22"/>
          <w:szCs w:val="22"/>
          <w:shd w:val="clear" w:color="auto" w:fill="FFFFFF" w:themeFill="background1"/>
        </w:rPr>
        <w:instrText>ADDIN CSL_CITATION {"citationItems":[{"id":"ITEM-1","itemData":{"ISSN":"15337812","author":[{"dropping-particle":"","family":"Nbina","given":"Jacobson Barineka","non-dropping-particle":"","parse-names":false,"suffix":""},{"dropping-particle":"","family":"Obomanu","given":"B. J.","non-dropping-particle":"","parse-names":false,"suffix":""}],"container-title":"Academic Leadership","id":"ITEM-1","issue":"4","issued":{"date-parts":[["2010"]]},"title":"The meaning of scientific literacy: A model of relevance in science education","type":"article-journal","volume":"8"},"uris":["http://www.mendeley.com/documents/?uuid=2c5879f4-a031-47c5-8a5a-c9d694c3cb37"]}],"mendeley":{"formattedCitation":"(Nbina &amp; Obomanu, 2010)","plainTextFormattedCitation":"(Nbina &amp; Obomanu, 2010)","previouslyFormattedCitation":"(Nbina &amp; Obomanu, 2010)"},"properties":{"noteIndex":0},"schema":"https://github.com/citation-style-language/schema/raw/master/csl-citation.json"}</w:instrText>
      </w:r>
      <w:r w:rsidR="00B82DCE">
        <w:rPr>
          <w:color w:val="222222"/>
          <w:sz w:val="22"/>
          <w:szCs w:val="22"/>
          <w:shd w:val="clear" w:color="auto" w:fill="FFFFFF" w:themeFill="background1"/>
        </w:rPr>
        <w:fldChar w:fldCharType="separate"/>
      </w:r>
      <w:r w:rsidR="00B82DCE" w:rsidRPr="00B82DCE">
        <w:rPr>
          <w:noProof/>
          <w:color w:val="222222"/>
          <w:sz w:val="22"/>
          <w:szCs w:val="22"/>
          <w:shd w:val="clear" w:color="auto" w:fill="FFFFFF" w:themeFill="background1"/>
        </w:rPr>
        <w:t>(Nbina &amp; Obomanu, 2010)</w:t>
      </w:r>
      <w:r w:rsidR="00B82DCE">
        <w:rPr>
          <w:color w:val="222222"/>
          <w:sz w:val="22"/>
          <w:szCs w:val="22"/>
          <w:shd w:val="clear" w:color="auto" w:fill="FFFFFF" w:themeFill="background1"/>
        </w:rPr>
        <w:fldChar w:fldCharType="end"/>
      </w:r>
      <w:r w:rsidR="00B82DCE">
        <w:rPr>
          <w:color w:val="222222"/>
          <w:sz w:val="22"/>
          <w:szCs w:val="22"/>
          <w:shd w:val="clear" w:color="auto" w:fill="FFFFFF" w:themeFill="background1"/>
        </w:rPr>
        <w:t xml:space="preserve"> </w:t>
      </w:r>
      <w:r w:rsidRPr="00BE5E82">
        <w:rPr>
          <w:color w:val="222222"/>
          <w:sz w:val="22"/>
          <w:szCs w:val="22"/>
          <w:shd w:val="clear" w:color="auto" w:fill="FFFFFF" w:themeFill="background1"/>
        </w:rPr>
        <w:t>said that individuals who understand scientific literacy, including chemistry, need intellectual abilities such as high thinking skills, good attitude skills, social skills and good interdisciplinary skills. This situation causes students to assume that chemistry is a difficult subject.</w:t>
      </w:r>
    </w:p>
    <w:p w14:paraId="2FABB768" w14:textId="0E8883F0" w:rsidR="00DD5882" w:rsidRPr="00BE5E82" w:rsidRDefault="00DD5882" w:rsidP="00BE5E82">
      <w:pPr>
        <w:pStyle w:val="HTMLPreformatted"/>
        <w:shd w:val="clear" w:color="auto" w:fill="FFFFFF" w:themeFill="background1"/>
        <w:spacing w:line="276" w:lineRule="auto"/>
        <w:ind w:left="360"/>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shd w:val="clear" w:color="auto" w:fill="FFFFFF" w:themeFill="background1"/>
        </w:rPr>
        <w:tab/>
      </w:r>
      <w:r w:rsidRPr="00BE5E82">
        <w:rPr>
          <w:rFonts w:ascii="Times New Roman" w:hAnsi="Times New Roman" w:cs="Times New Roman"/>
          <w:color w:val="222222"/>
          <w:sz w:val="22"/>
          <w:szCs w:val="22"/>
          <w:shd w:val="clear" w:color="auto" w:fill="FFFFFF" w:themeFill="background1"/>
          <w:lang w:val="en"/>
        </w:rPr>
        <w:t>One</w:t>
      </w:r>
      <w:r w:rsidRPr="00BE5E82">
        <w:rPr>
          <w:rFonts w:ascii="Times New Roman" w:hAnsi="Times New Roman" w:cs="Times New Roman"/>
          <w:color w:val="222222"/>
          <w:sz w:val="22"/>
          <w:szCs w:val="22"/>
          <w:lang w:val="en"/>
        </w:rPr>
        <w:t xml:space="preserve"> alternative answer to the problem above, educators can choose learning strategies through discovery learning, namely the learning process that occurs is not presented with lessons in its final form, but is expected to organize itself. In this connection students can fully realize </w:t>
      </w:r>
      <w:r w:rsidRPr="00BE5E82">
        <w:rPr>
          <w:rFonts w:ascii="Times New Roman" w:hAnsi="Times New Roman" w:cs="Times New Roman"/>
          <w:color w:val="222222"/>
          <w:sz w:val="22"/>
          <w:szCs w:val="22"/>
          <w:lang w:val="en"/>
        </w:rPr>
        <w:lastRenderedPageBreak/>
        <w:t xml:space="preserve">what the meaning of learning, its benefits, how to strive to achieve it and can understand that what they learn is useful for </w:t>
      </w:r>
      <w:r w:rsidR="00CE7337">
        <w:rPr>
          <w:rFonts w:ascii="Times New Roman" w:hAnsi="Times New Roman" w:cs="Times New Roman"/>
          <w:color w:val="222222"/>
          <w:sz w:val="22"/>
          <w:szCs w:val="22"/>
          <w:lang w:val="en"/>
        </w:rPr>
        <w:t>future</w:t>
      </w:r>
      <w:r w:rsidRPr="00BE5E82">
        <w:rPr>
          <w:rFonts w:ascii="Times New Roman" w:hAnsi="Times New Roman" w:cs="Times New Roman"/>
          <w:color w:val="222222"/>
          <w:sz w:val="22"/>
          <w:szCs w:val="22"/>
          <w:lang w:val="en"/>
        </w:rPr>
        <w:t xml:space="preserve"> life. Discovery occurs when individuals are involved, especially in the use of mental processes to find several concepts and principles. Discovery is done through observation, classification, measurement, prediction, determination and inference.</w:t>
      </w:r>
    </w:p>
    <w:p w14:paraId="69A7E765" w14:textId="7F97FB26" w:rsidR="00DD5882" w:rsidRPr="00BE5E82" w:rsidRDefault="00DD5882" w:rsidP="00BE5E82">
      <w:pPr>
        <w:pStyle w:val="HTMLPreformatted"/>
        <w:spacing w:line="276" w:lineRule="auto"/>
        <w:ind w:left="360"/>
        <w:jc w:val="both"/>
        <w:rPr>
          <w:rFonts w:ascii="Times New Roman" w:hAnsi="Times New Roman" w:cs="Times New Roman"/>
          <w:color w:val="222222"/>
          <w:sz w:val="22"/>
          <w:szCs w:val="22"/>
        </w:rPr>
      </w:pPr>
      <w:r w:rsidRPr="00BE5E82">
        <w:rPr>
          <w:rFonts w:ascii="Times New Roman" w:hAnsi="Times New Roman" w:cs="Times New Roman"/>
          <w:sz w:val="22"/>
          <w:szCs w:val="22"/>
        </w:rPr>
        <w:tab/>
      </w:r>
      <w:r w:rsidRPr="00BE5E82">
        <w:rPr>
          <w:rFonts w:ascii="Times New Roman" w:hAnsi="Times New Roman" w:cs="Times New Roman"/>
          <w:color w:val="222222"/>
          <w:sz w:val="22"/>
          <w:szCs w:val="22"/>
          <w:lang w:val="en"/>
        </w:rPr>
        <w:t xml:space="preserve">Research that supports the success of the use of discovery learning is </w:t>
      </w:r>
      <w:r w:rsidR="005F6BEF">
        <w:rPr>
          <w:rFonts w:ascii="Times New Roman" w:hAnsi="Times New Roman" w:cs="Times New Roman"/>
          <w:color w:val="222222"/>
          <w:sz w:val="22"/>
          <w:szCs w:val="22"/>
          <w:lang w:val="en"/>
        </w:rPr>
        <w:fldChar w:fldCharType="begin" w:fldLock="1"/>
      </w:r>
      <w:r w:rsidR="00053BA2">
        <w:rPr>
          <w:rFonts w:ascii="Times New Roman" w:hAnsi="Times New Roman" w:cs="Times New Roman"/>
          <w:color w:val="222222"/>
          <w:sz w:val="22"/>
          <w:szCs w:val="22"/>
          <w:lang w:val="en"/>
        </w:rPr>
        <w:instrText>ADDIN CSL_CITATION {"citationItems":[{"id":"ITEM-1","itemData":{"ISSN":"2337-9995","author":[{"dropping-particle":"","family":"Kurnianto","given":"H.","non-dropping-particle":"","parse-names":false,"suffix":""},{"dropping-particle":"","family":"Masykuri","given":"M.","non-dropping-particle":"","parse-names":false,"suffix":""},{"dropping-particle":"","family":"Yamtinah","given":"S.","non-dropping-particle":"","parse-names":false,"suffix":""}],"container-title":"Jurnal Pendidikan Kimia Universitas Sebelas Maret","id":"ITEM-1","issue":"1","issued":{"date-parts":[["2015"]]},"page":"32-40","title":"Pengaruh Model Pembelajaran Discovery Learning Disertai Lembar Kegiatan Siswa (Lks) Terhadap Prestasi Belajar Siswa Pada Materi Hidrolisis Garam Kelas Xi Sma Negeri 1 Karanganyar Tahun Pelajaran 2014/2015","type":"article-journal","volume":"5"},"uris":["http://www.mendeley.com/documents/?uuid=3cffaec8-e00c-4cb1-b1c8-ac98e6db3853"]}],"mendeley":{"formattedCitation":"(Kurnianto et al., 2015)","plainTextFormattedCitation":"(Kurnianto et al., 2015)","previouslyFormattedCitation":"(Kurnianto et al., 2015)"},"properties":{"noteIndex":0},"schema":"https://github.com/citation-style-language/schema/raw/master/csl-citation.json"}</w:instrText>
      </w:r>
      <w:r w:rsidR="005F6BEF">
        <w:rPr>
          <w:rFonts w:ascii="Times New Roman" w:hAnsi="Times New Roman" w:cs="Times New Roman"/>
          <w:color w:val="222222"/>
          <w:sz w:val="22"/>
          <w:szCs w:val="22"/>
          <w:lang w:val="en"/>
        </w:rPr>
        <w:fldChar w:fldCharType="separate"/>
      </w:r>
      <w:r w:rsidR="005F6BEF" w:rsidRPr="005F6BEF">
        <w:rPr>
          <w:rFonts w:ascii="Times New Roman" w:hAnsi="Times New Roman" w:cs="Times New Roman"/>
          <w:noProof/>
          <w:color w:val="222222"/>
          <w:sz w:val="22"/>
          <w:szCs w:val="22"/>
          <w:lang w:val="en"/>
        </w:rPr>
        <w:t>(Kurnianto et al., 2015)</w:t>
      </w:r>
      <w:r w:rsidR="005F6BEF">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xml:space="preserve">, where the posttest results of the experimental class I was 76.3 and experiment II was 74.4 while the control class was 67.3. In research </w:t>
      </w:r>
      <w:r w:rsidR="00053BA2">
        <w:rPr>
          <w:rFonts w:ascii="Times New Roman" w:hAnsi="Times New Roman" w:cs="Times New Roman"/>
          <w:color w:val="222222"/>
          <w:sz w:val="22"/>
          <w:szCs w:val="22"/>
          <w:lang w:val="en"/>
        </w:rPr>
        <w:fldChar w:fldCharType="begin" w:fldLock="1"/>
      </w:r>
      <w:r w:rsidR="006C5BDA">
        <w:rPr>
          <w:rFonts w:ascii="Times New Roman" w:hAnsi="Times New Roman" w:cs="Times New Roman"/>
          <w:color w:val="222222"/>
          <w:sz w:val="22"/>
          <w:szCs w:val="22"/>
          <w:lang w:val="en"/>
        </w:rPr>
        <w:instrText>ADDIN CSL_CITATION {"citationItems":[{"id":"ITEM-1","itemData":{"ISSN":"2337-9995","abstract":"ABSTRAK Penelitian ini bertujuan untuk meningkatkan aktivitas dan prestasi belajar siswa kelas XI IPA Semester II SMA Negeri 1 Ngemplak tahun pelajaran 2013/2014 melalui penerapan model Discovery Learning pada pokok bahasan larutan penyangga. Penelitian ini merupakan Penelitian Tindakan Kelas (PTK) yang dilaksanakan dalam dua siklus, dengan tiap siklus terdiri dari perencanaan, pelaksanaan tindakan, observasi, dan refleksi. Subjek penelitian adalah siswa kelas XI IPA 2 SMAN 1 Ngemplak tahun pelajaran 2013/2014. Sumber data adalah guru dan siswa. Teknik pengumpulan data melalui wawancara, observasi, kajian dokumen, angket, dan tes, selanjutnya dianalisis menggunakan deskriptif kualitatif. Berdasarkan hasil penelitian dapat disimpulkan bahwa penerapan model Discovery Learning dapat meningkatkan aktivitas dan prestasi belajar siswa pada materi larutan penyangga. Pada siklus I, persentase ketercapaian aktivitas belajar siswa sebesar 37% yang kemudian meningkat pada siklus II menjadi 77,78%. Peningkatan prestasi belajar dilihat dari aspek kognitif pada siklus I mencapai 63% dan meningkat pada siklus II menjadi 81%, dari aspek afektif persentase ketuntasan untuk siklus I sebesar 89% dan meningkat pada siklus II menjadi 92,6%. Sedangkan untuk prestasi belajar aspek psikomotorik hanya dilakukan pada siklus I dan memberikan hasil ketuntasan sebesar 81,48%.","author":[{"dropping-particle":"","family":"Catur Saputro","given":"Agung Nugroho","non-dropping-particle":"","parse-names":false,"suffix":""},{"dropping-particle":"","family":"Istiana","given":"G.","non-dropping-particle":"","parse-names":false,"suffix":""},{"dropping-particle":"","family":"Sukardjo","given":"J.","non-dropping-particle":"","parse-names":false,"suffix":""}],"container-title":"Jurnal Pendidikan Kimia Universitas Sebelas Maret","id":"ITEM-1","issue":"2","issued":{"date-parts":[["2015"]]},"page":"65-73","title":"Penerapan Model Pembelajaran Discovery Learning Untuk Meningkatkan Aktivitas Dan Prestasi Belajar Pokok Bahasan Larutan Penyangga Pada Siswa Kelas Xi Ipa Semester Ii Sma Negeri 1 Ngemplak Tahun Pelajaran 2013/2014","type":"article-journal","volume":"4"},"uris":["http://www.mendeley.com/documents/?uuid=9cc1493f-9936-40a6-bf29-6177ab564eba"]}],"mendeley":{"formattedCitation":"(Catur Saputro, Istiana, et al., 2015)","plainTextFormattedCitation":"(Catur Saputro, Istiana, et al., 2015)","previouslyFormattedCitation":"(Catur Saputro, Istiana, et al., 2015)"},"properties":{"noteIndex":0},"schema":"https://github.com/citation-style-language/schema/raw/master/csl-citation.json"}</w:instrText>
      </w:r>
      <w:r w:rsidR="00053BA2">
        <w:rPr>
          <w:rFonts w:ascii="Times New Roman" w:hAnsi="Times New Roman" w:cs="Times New Roman"/>
          <w:color w:val="222222"/>
          <w:sz w:val="22"/>
          <w:szCs w:val="22"/>
          <w:lang w:val="en"/>
        </w:rPr>
        <w:fldChar w:fldCharType="separate"/>
      </w:r>
      <w:r w:rsidR="00000793" w:rsidRPr="00000793">
        <w:rPr>
          <w:rFonts w:ascii="Times New Roman" w:hAnsi="Times New Roman" w:cs="Times New Roman"/>
          <w:noProof/>
          <w:color w:val="222222"/>
          <w:sz w:val="22"/>
          <w:szCs w:val="22"/>
          <w:lang w:val="en"/>
        </w:rPr>
        <w:t>(Catur Saputro, Istiana, et al., 2015)</w:t>
      </w:r>
      <w:r w:rsidR="00053BA2">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xml:space="preserve"> increased mastery learning achievement in the first cycle is 70% and the second cycle is 85%. Assisted by other studies where groups of students who took discovery learning got an average score of learning outcomes of 74.70 while groups of students who took conventional learning amounted to 70.38 </w:t>
      </w:r>
      <w:r w:rsidR="00053BA2">
        <w:rPr>
          <w:rFonts w:ascii="Times New Roman" w:hAnsi="Times New Roman" w:cs="Times New Roman"/>
          <w:color w:val="222222"/>
          <w:sz w:val="22"/>
          <w:szCs w:val="22"/>
          <w:lang w:val="en"/>
        </w:rPr>
        <w:fldChar w:fldCharType="begin" w:fldLock="1"/>
      </w:r>
      <w:r w:rsidR="00F44208">
        <w:rPr>
          <w:rFonts w:ascii="Times New Roman" w:hAnsi="Times New Roman" w:cs="Times New Roman"/>
          <w:color w:val="222222"/>
          <w:sz w:val="22"/>
          <w:szCs w:val="22"/>
          <w:lang w:val="en"/>
        </w:rPr>
        <w:instrText>ADDIN CSL_CITATION {"citationItems":[{"id":"ITEM-1","itemData":{"DOI":"10.1093/brain/awt103","ISSN":"0006-8950","abstract":"Penelitian ini bertujuan untuk mengetahui perbedaan hasil belajar IPA antara kelompok siswa yang mengikuti pembelajaran dengan menggunakan model discovery learning dengan model konvensional, dengan melibatkan minat belajar pada siswa kelas V Sekolah Dasar di Desa Bontihing, Kecamatan Kubutambahan pada tahun pelajaran 2013/2014. Jenis penelitian ini adalah penelitian eksperimen semu. Data dikumpulkan dengan menggunakan metode kuisioner untuk mengukur minat belajar dan tes untuk mengukur hasil belajar. Selanjutnya data tersebut dianalisis dianalisis menggunakan ANAVA dua jalur. Berdasarkan hasil analisis data diperoleh: 1) Terdapat perbedaan hasil belajar IPA antara kelompok siswa yang mengikuti pembelajaran dengan model discovery learning dan kelompok siswa yang mengikuti pembelajaran dengan pembelajaran konvensional. 2) Terdapat interaksi antara model pembelajaran dan minat terhadap hasil belajar IPA siswa. 3) Pada kelompok siswa yang memiliki minat tinggi, terdapat perbedaan hasil belajar IPA antara kelompok siswa yang mengikuti pembelajaran dengan model discovery learning dengan kelompok siswa yang mengikuti pembelajaran dengan pembelajaran konvensional. 4) Pada kelompok siswa yang memiliki minat rendah, tidak terdapat perbedaan hasil belajar IPA antara kelompok siswa yang mengikuti pembelajaran dengan model discovery learning dan kelompok siswa yang mengikuti pembelajaran dengan pembelajaran konvensional. Sehingga disimpulkan bahwa model pembelajaran discovery learning dan minat belajar berpengaruh terhadap hasil belajar IPA siswa","author":[{"dropping-particle":"","family":"Putrayasa","given":"I Made","non-dropping-particle":"","parse-names":false,"suffix":""},{"dropping-particle":"","family":"Syahruddin","given":"H.","non-dropping-particle":"","parse-names":false,"suffix":""},{"dropping-particle":"","family":"Mergunayasa","given":"I Gede","non-dropping-particle":"","parse-names":false,"suffix":""}],"container-title":"Jurnal Mimbar PGSD Universitas Pendidikan Ganesha","id":"ITEM-1","issue":"1","issued":{"date-parts":[["2014"]]},"page":"1-11","title":"Pengaruh Model Pembelajaran Discovery Learning Dan Minat Belajar Terhadap Hasil Belajar Ipa Siswa","type":"article-journal","volume":"2"},"uris":["http://www.mendeley.com/documents/?uuid=ede2eaf1-f10a-43dd-8871-99d535c77beb"]}],"mendeley":{"formattedCitation":"(Putrayasa et al., 2014)","plainTextFormattedCitation":"(Putrayasa et al., 2014)","previouslyFormattedCitation":"(Putrayasa et al., 2014)"},"properties":{"noteIndex":0},"schema":"https://github.com/citation-style-language/schema/raw/master/csl-citation.json"}</w:instrText>
      </w:r>
      <w:r w:rsidR="00053BA2">
        <w:rPr>
          <w:rFonts w:ascii="Times New Roman" w:hAnsi="Times New Roman" w:cs="Times New Roman"/>
          <w:color w:val="222222"/>
          <w:sz w:val="22"/>
          <w:szCs w:val="22"/>
          <w:lang w:val="en"/>
        </w:rPr>
        <w:fldChar w:fldCharType="separate"/>
      </w:r>
      <w:r w:rsidR="00053BA2" w:rsidRPr="00053BA2">
        <w:rPr>
          <w:rFonts w:ascii="Times New Roman" w:hAnsi="Times New Roman" w:cs="Times New Roman"/>
          <w:noProof/>
          <w:color w:val="222222"/>
          <w:sz w:val="22"/>
          <w:szCs w:val="22"/>
          <w:lang w:val="en"/>
        </w:rPr>
        <w:t>(Putrayasa et al., 2014)</w:t>
      </w:r>
      <w:r w:rsidR="00053BA2">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xml:space="preserve">. As said </w:t>
      </w:r>
      <w:r w:rsidR="00F44208">
        <w:rPr>
          <w:rFonts w:ascii="Times New Roman" w:hAnsi="Times New Roman" w:cs="Times New Roman"/>
          <w:color w:val="222222"/>
          <w:sz w:val="22"/>
          <w:szCs w:val="22"/>
          <w:lang w:val="en"/>
        </w:rPr>
        <w:fldChar w:fldCharType="begin" w:fldLock="1"/>
      </w:r>
      <w:r w:rsidR="006916CD">
        <w:rPr>
          <w:rFonts w:ascii="Times New Roman" w:hAnsi="Times New Roman" w:cs="Times New Roman"/>
          <w:color w:val="222222"/>
          <w:sz w:val="22"/>
          <w:szCs w:val="22"/>
          <w:lang w:val="en"/>
        </w:rPr>
        <w:instrText>ADDIN CSL_CITATION {"citationItems":[{"id":"ITEM-1","itemData":{"DOI":"10.1111/j.1365-2729.2004.00092.x","ISSN":"02664909","abstract":"Types of learning with a strong emphasis on the responsibility of the learner (such as discovery learning) are gaining popularity over traditional forms of (expository) instruction. Discovery learning distinguishes itself by the central role of learning processes such as hypothesis generation (induction), experiment design, and data interpretation. Expository instruction pays more attention to directly 'exposing' definitions and equations to learners. In the current study, students worked with either a simulation (discovery learning) or a hypertext learning environment (expository instruction) with the same domain content. Each of the environments contained a large number of assignments. The study followed a pre-test, post-test design. To measure the knowledge acquired a definitional knowledge test, an intuitive knowledge test (where both correctness and speed of answering are aspects that are measured) and a test in which relations needed to be explained were administered. It was predicted that the hypertext group would outperform the simulation group on the definitional knowledge test and it was expected that the simulation group would perform better on the intuitive knowledge test. Results showed that both the interaction with the simulation and with the hypertext resulted in substantial learning gains. It was found that the hypertext group performed better on the definitional knowledge test. On the intuitive knowledge test the hypertext scored better than the simulation group on the correctness of the items but not on the time needed to answer items. On the explanation test there was no difference between the two groups. An analysis of interaction processes as recorded in the logfiles indicates that the differences between both environments in their actual usage were less distinctive than expected. In the simulation group many students followed the assignments given and did not engage in self-guided discovery. Since the assignments were rather directive, this resulted in 'discovery behaviour' that focused on generating outcomes; outcomes that were also, and more directly presented in the hypertext environment. For research and practice, this implies that simulations are to be considered only when clear benefits of discovery are expected, and only with complex domains, sufficient learning time and freedom for students in the assignments to engage in discovery.","author":[{"dropping-particle":"","family":"Swaak","given":"Janine","non-dropping-particle":"","parse-names":false,"suffix":""},{"dropping-particle":"","family":"Jong","given":"Ton","non-dropping-particle":"De","parse-names":false,"suffix":""},{"dropping-particle":"","family":"Joolingen","given":"Wouter R.","non-dropping-particle":"Van","parse-names":false,"suffix":""}],"container-title":"Journal of Computer Assisted Learning","id":"ITEM-1","issue":"4","issued":{"date-parts":[["2004"]]},"page":"225-234","title":"The effects of discovery learning and expository instruction on the acquisition of definitional and intuitive knowledge","type":"article-journal","volume":"20"},"uris":["http://www.mendeley.com/documents/?uuid=de1854ee-0a94-49d4-85b7-1e487e3cb160"]}],"mendeley":{"formattedCitation":"(Swaak et al., 2004)","plainTextFormattedCitation":"(Swaak et al., 2004)","previouslyFormattedCitation":"(Swaak et al., 2004)"},"properties":{"noteIndex":0},"schema":"https://github.com/citation-style-language/schema/raw/master/csl-citation.json"}</w:instrText>
      </w:r>
      <w:r w:rsidR="00F44208">
        <w:rPr>
          <w:rFonts w:ascii="Times New Roman" w:hAnsi="Times New Roman" w:cs="Times New Roman"/>
          <w:color w:val="222222"/>
          <w:sz w:val="22"/>
          <w:szCs w:val="22"/>
          <w:lang w:val="en"/>
        </w:rPr>
        <w:fldChar w:fldCharType="separate"/>
      </w:r>
      <w:r w:rsidR="00F44208" w:rsidRPr="00F44208">
        <w:rPr>
          <w:rFonts w:ascii="Times New Roman" w:hAnsi="Times New Roman" w:cs="Times New Roman"/>
          <w:noProof/>
          <w:color w:val="222222"/>
          <w:sz w:val="22"/>
          <w:szCs w:val="22"/>
          <w:lang w:val="en"/>
        </w:rPr>
        <w:t>(Swaak et al., 2004)</w:t>
      </w:r>
      <w:r w:rsidR="00F44208">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xml:space="preserve"> associated with the study that discovery learning increases students' understanding of prior knowledge and increases student activity.</w:t>
      </w:r>
    </w:p>
    <w:p w14:paraId="69650CFE" w14:textId="54325920" w:rsidR="00DD5882" w:rsidRPr="00BE5E82" w:rsidRDefault="00DD5882" w:rsidP="00BE5E82">
      <w:pPr>
        <w:pStyle w:val="HTMLPreformatted"/>
        <w:spacing w:line="276" w:lineRule="auto"/>
        <w:ind w:left="360"/>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rPr>
        <w:tab/>
      </w:r>
      <w:r w:rsidRPr="00BE5E82">
        <w:rPr>
          <w:rFonts w:ascii="Times New Roman" w:hAnsi="Times New Roman" w:cs="Times New Roman"/>
          <w:color w:val="222222"/>
          <w:sz w:val="22"/>
          <w:szCs w:val="22"/>
          <w:lang w:val="en"/>
        </w:rPr>
        <w:t>As for the media, it is considered to be able to attract the attention of students when following the learning process. The media that will be used in th</w:t>
      </w:r>
      <w:r w:rsidR="006B10ED">
        <w:rPr>
          <w:rFonts w:ascii="Times New Roman" w:hAnsi="Times New Roman" w:cs="Times New Roman"/>
          <w:color w:val="222222"/>
          <w:sz w:val="22"/>
          <w:szCs w:val="22"/>
          <w:lang w:val="en"/>
        </w:rPr>
        <w:t xml:space="preserve">ese research </w:t>
      </w:r>
      <w:r w:rsidRPr="00BE5E82">
        <w:rPr>
          <w:rFonts w:ascii="Times New Roman" w:hAnsi="Times New Roman" w:cs="Times New Roman"/>
          <w:color w:val="222222"/>
          <w:sz w:val="22"/>
          <w:szCs w:val="22"/>
          <w:lang w:val="en"/>
        </w:rPr>
        <w:t>concept maps and animation</w:t>
      </w:r>
      <w:r w:rsidR="006B10ED">
        <w:rPr>
          <w:rFonts w:ascii="Times New Roman" w:hAnsi="Times New Roman" w:cs="Times New Roman"/>
          <w:color w:val="222222"/>
          <w:sz w:val="22"/>
          <w:szCs w:val="22"/>
          <w:lang w:val="en"/>
        </w:rPr>
        <w:t>s</w:t>
      </w:r>
      <w:r w:rsidRPr="00BE5E82">
        <w:rPr>
          <w:rFonts w:ascii="Times New Roman" w:hAnsi="Times New Roman" w:cs="Times New Roman"/>
          <w:color w:val="222222"/>
          <w:sz w:val="22"/>
          <w:szCs w:val="22"/>
          <w:lang w:val="en"/>
        </w:rPr>
        <w:t>. The excellence of animation media has the ability to explain an event systematically in a time of chang</w:t>
      </w:r>
      <w:r w:rsidR="006B10ED">
        <w:rPr>
          <w:rFonts w:ascii="Times New Roman" w:hAnsi="Times New Roman" w:cs="Times New Roman"/>
          <w:color w:val="222222"/>
          <w:sz w:val="22"/>
          <w:szCs w:val="22"/>
          <w:lang w:val="en"/>
        </w:rPr>
        <w:t>ing</w:t>
      </w:r>
      <w:r w:rsidRPr="00BE5E82">
        <w:rPr>
          <w:rFonts w:ascii="Times New Roman" w:hAnsi="Times New Roman" w:cs="Times New Roman"/>
          <w:color w:val="222222"/>
          <w:sz w:val="22"/>
          <w:szCs w:val="22"/>
          <w:lang w:val="en"/>
        </w:rPr>
        <w:t xml:space="preserve"> and mak</w:t>
      </w:r>
      <w:r w:rsidR="006B10ED">
        <w:rPr>
          <w:rFonts w:ascii="Times New Roman" w:hAnsi="Times New Roman" w:cs="Times New Roman"/>
          <w:color w:val="222222"/>
          <w:sz w:val="22"/>
          <w:szCs w:val="22"/>
          <w:lang w:val="en"/>
        </w:rPr>
        <w:t>ing</w:t>
      </w:r>
      <w:r w:rsidRPr="00BE5E82">
        <w:rPr>
          <w:rFonts w:ascii="Times New Roman" w:hAnsi="Times New Roman" w:cs="Times New Roman"/>
          <w:color w:val="222222"/>
          <w:sz w:val="22"/>
          <w:szCs w:val="22"/>
          <w:lang w:val="en"/>
        </w:rPr>
        <w:t xml:space="preserve"> abstract learning material more </w:t>
      </w:r>
      <w:r w:rsidR="009B57A9">
        <w:rPr>
          <w:rFonts w:ascii="Times New Roman" w:hAnsi="Times New Roman" w:cs="Times New Roman"/>
          <w:color w:val="222222"/>
          <w:sz w:val="22"/>
          <w:szCs w:val="22"/>
          <w:lang w:val="en"/>
        </w:rPr>
        <w:t>accurate</w:t>
      </w:r>
      <w:r w:rsidRPr="00BE5E82">
        <w:rPr>
          <w:rFonts w:ascii="Times New Roman" w:hAnsi="Times New Roman" w:cs="Times New Roman"/>
          <w:color w:val="222222"/>
          <w:sz w:val="22"/>
          <w:szCs w:val="22"/>
          <w:lang w:val="en"/>
        </w:rPr>
        <w:t>.</w:t>
      </w:r>
    </w:p>
    <w:p w14:paraId="6712C18E" w14:textId="15CFF3B4" w:rsidR="00DD5882" w:rsidRPr="00BE5E82" w:rsidRDefault="00DD5882"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rPr>
        <w:tab/>
      </w:r>
      <w:r w:rsidRPr="00BE5E82">
        <w:rPr>
          <w:rFonts w:ascii="Times New Roman" w:hAnsi="Times New Roman" w:cs="Times New Roman"/>
          <w:color w:val="222222"/>
          <w:sz w:val="22"/>
          <w:szCs w:val="22"/>
          <w:lang w:val="en"/>
        </w:rPr>
        <w:t>One of the tools that is thought to be effective is the concept map. Concept maps are personal learning aids where students construct concept maps using their own terms so that they need to be further confirmed</w:t>
      </w:r>
      <w:r w:rsidR="006916CD">
        <w:rPr>
          <w:rFonts w:ascii="Times New Roman" w:hAnsi="Times New Roman" w:cs="Times New Roman"/>
          <w:color w:val="222222"/>
          <w:sz w:val="22"/>
          <w:szCs w:val="22"/>
          <w:lang w:val="en"/>
        </w:rPr>
        <w:t xml:space="preserve"> </w:t>
      </w:r>
      <w:r w:rsidR="006916CD">
        <w:rPr>
          <w:rFonts w:ascii="Times New Roman" w:hAnsi="Times New Roman" w:cs="Times New Roman"/>
          <w:color w:val="222222"/>
          <w:sz w:val="22"/>
          <w:szCs w:val="22"/>
          <w:lang w:val="en"/>
        </w:rPr>
        <w:fldChar w:fldCharType="begin" w:fldLock="1"/>
      </w:r>
      <w:r w:rsidR="0017312A">
        <w:rPr>
          <w:rFonts w:ascii="Times New Roman" w:hAnsi="Times New Roman" w:cs="Times New Roman"/>
          <w:color w:val="222222"/>
          <w:sz w:val="22"/>
          <w:szCs w:val="22"/>
          <w:lang w:val="en"/>
        </w:rPr>
        <w:instrText>ADDIN CSL_CITATION {"citationItems":[{"id":"ITEM-1","itemData":{"DOI":"10.1177/0888406409346149","ISSN":"0888-4064","abstract":"Concept maps are commonly used in a variety of educational settings as a learning aid or instructional tool. Additionally, their potential as a research tool has been recognized. This article defines features of concept maps, describes the use of pre- and postconcept maps as a research tool, and offers a protocol for employing concept maps as an effective research tool. To illustrate the viability of concept maps as a research tool, specific steps and examples are provided from a study that used concept maps to investigate the conceptual change of pre-service and in-service teachers after participation in special and general education courses using multimedia case-based instruction. Support for concept maps as a research tool to evaluate learning and growth in knowledge are provided with specific procedures for creating a concept map quality scoring system.","author":[{"dropping-particle":"","family":"Miller","given":"Kevin J.","non-dropping-particle":"","parse-names":false,"suffix":""},{"dropping-particle":"","family":"Koury","given":"Kevin A.","non-dropping-particle":"","parse-names":false,"suffix":""},{"dropping-particle":"","family":"Fitzgerald","given":"Gail E.","non-dropping-particle":"","parse-names":false,"suffix":""},{"dropping-particle":"","family":"Hollingsead","given":"Candice","non-dropping-particle":"","parse-names":false,"suffix":""},{"dropping-particle":"","family":"Mitchem","given":"Katherine J.","non-dropping-particle":"","parse-names":false,"suffix":""},{"dropping-particle":"","family":"Tsai","given":"Hui-Hsien","non-dropping-particle":"","parse-names":false,"suffix":""},{"dropping-particle":"","family":"Meeaeng Ko Park","given":"","non-dropping-particle":"","parse-names":false,"suffix":""}],"container-title":"Teacher Education and Special Education: The Journal of the Teacher Education Division of the Council for Exceptional Children","id":"ITEM-1","issue":"4","issued":{"date-parts":[["2009"]]},"page":"365-378","title":"Concept Mapping as a Research Tool to Evaluate Conceptual Change Related to Instructional Methods","type":"article-journal","volume":"32"},"uris":["http://www.mendeley.com/documents/?uuid=e50a8370-355a-4ad2-8a73-9a5b872b9319"]}],"mendeley":{"formattedCitation":"(Miller et al., 2009)","plainTextFormattedCitation":"(Miller et al., 2009)","previouslyFormattedCitation":"(Miller et al., 2009)"},"properties":{"noteIndex":0},"schema":"https://github.com/citation-style-language/schema/raw/master/csl-citation.json"}</w:instrText>
      </w:r>
      <w:r w:rsidR="006916CD">
        <w:rPr>
          <w:rFonts w:ascii="Times New Roman" w:hAnsi="Times New Roman" w:cs="Times New Roman"/>
          <w:color w:val="222222"/>
          <w:sz w:val="22"/>
          <w:szCs w:val="22"/>
          <w:lang w:val="en"/>
        </w:rPr>
        <w:fldChar w:fldCharType="separate"/>
      </w:r>
      <w:r w:rsidR="006916CD" w:rsidRPr="006916CD">
        <w:rPr>
          <w:rFonts w:ascii="Times New Roman" w:hAnsi="Times New Roman" w:cs="Times New Roman"/>
          <w:noProof/>
          <w:color w:val="222222"/>
          <w:sz w:val="22"/>
          <w:szCs w:val="22"/>
          <w:lang w:val="en"/>
        </w:rPr>
        <w:t>(Miller et al., 2009)</w:t>
      </w:r>
      <w:r w:rsidR="006916CD">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One of them is the use of concept map media which has been proven to be able to increase learning in accordance with the contents of</w:t>
      </w:r>
      <w:r w:rsidR="0017312A">
        <w:rPr>
          <w:rFonts w:ascii="Times New Roman" w:hAnsi="Times New Roman" w:cs="Times New Roman"/>
          <w:color w:val="222222"/>
          <w:sz w:val="22"/>
          <w:szCs w:val="22"/>
          <w:lang w:val="en"/>
        </w:rPr>
        <w:t xml:space="preserve"> </w:t>
      </w:r>
      <w:r w:rsidR="0017312A">
        <w:rPr>
          <w:rFonts w:ascii="Times New Roman" w:hAnsi="Times New Roman" w:cs="Times New Roman"/>
          <w:color w:val="222222"/>
          <w:sz w:val="22"/>
          <w:szCs w:val="22"/>
          <w:lang w:val="en"/>
        </w:rPr>
        <w:fldChar w:fldCharType="begin" w:fldLock="1"/>
      </w:r>
      <w:r w:rsidR="0017312A">
        <w:rPr>
          <w:rFonts w:ascii="Times New Roman" w:hAnsi="Times New Roman" w:cs="Times New Roman"/>
          <w:color w:val="222222"/>
          <w:sz w:val="22"/>
          <w:szCs w:val="22"/>
          <w:lang w:val="en"/>
        </w:rPr>
        <w:instrText>ADDIN CSL_CITATION {"citationItems":[{"id":"ITEM-1","itemData":{"abstract":"This research is a class action research, which has purpose to increase student's learning achievement in chemical-bond subject by using concept-mapping strategy. The sample of this research is 31 students of 10 th 2 Grade at SMA Negeri 1 Telaga that consist of 6 girls and 25 boys.The increase of student's learning achievement by using concept-mapping strategy can be seen from the cycle 1 as high as 80.08% to cycle 2 as high as 85.79%.Based on the result above, the treatment hypothesis \" concept-mapping strategy can be used to increase student's learning achievement in chemical-bond subject \" is approved.","author":[{"dropping-particle":"","family":"Ismail","given":"Muratni","non-dropping-particle":"","parse-names":false,"suffix":""},{"dropping-particle":"","family":"Lukman","given":"","non-dropping-particle":"","parse-names":false,"suffix":""},{"dropping-particle":"","family":"Alio","given":"La","non-dropping-particle":"","parse-names":false,"suffix":""}],"container-title":"Jurnal Entropi","id":"ITEM-1","issue":"1","issued":{"date-parts":[["2013"]]},"page":"1-10","title":"Meningkatkan hasil belajar ikatan kimia dengan menerapkan strategi pembelajaran peta konsep pada siswa kelas X di SMA Negeri I Telaga","type":"article-journal","volume":"8"},"uris":["http://www.mendeley.com/documents/?uuid=5adf6d5d-f8f8-45db-99e5-f48d2d53572f"]}],"mendeley":{"formattedCitation":"(Ismail et al., 2013)","plainTextFormattedCitation":"(Ismail et al., 2013)","previouslyFormattedCitation":"(Ismail et al., 2013)"},"properties":{"noteIndex":0},"schema":"https://github.com/citation-style-language/schema/raw/master/csl-citation.json"}</w:instrText>
      </w:r>
      <w:r w:rsidR="0017312A">
        <w:rPr>
          <w:rFonts w:ascii="Times New Roman" w:hAnsi="Times New Roman" w:cs="Times New Roman"/>
          <w:color w:val="222222"/>
          <w:sz w:val="22"/>
          <w:szCs w:val="22"/>
          <w:lang w:val="en"/>
        </w:rPr>
        <w:fldChar w:fldCharType="separate"/>
      </w:r>
      <w:r w:rsidR="0017312A" w:rsidRPr="0017312A">
        <w:rPr>
          <w:rFonts w:ascii="Times New Roman" w:hAnsi="Times New Roman" w:cs="Times New Roman"/>
          <w:noProof/>
          <w:color w:val="222222"/>
          <w:sz w:val="22"/>
          <w:szCs w:val="22"/>
          <w:lang w:val="en"/>
        </w:rPr>
        <w:t>(Ismail et al., 2013)</w:t>
      </w:r>
      <w:r w:rsidR="0017312A">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xml:space="preserve"> where student learning outcomes in the second cycle have been improved from cycle 1 namely from 80.09% to 85.79%, </w:t>
      </w:r>
      <w:r w:rsidR="009B57A9">
        <w:rPr>
          <w:rFonts w:ascii="Times New Roman" w:hAnsi="Times New Roman" w:cs="Times New Roman"/>
          <w:color w:val="222222"/>
          <w:sz w:val="22"/>
          <w:szCs w:val="22"/>
          <w:lang w:val="en"/>
        </w:rPr>
        <w:t xml:space="preserve">has </w:t>
      </w:r>
      <w:r w:rsidRPr="00BE5E82">
        <w:rPr>
          <w:rFonts w:ascii="Times New Roman" w:hAnsi="Times New Roman" w:cs="Times New Roman"/>
          <w:color w:val="222222"/>
          <w:sz w:val="22"/>
          <w:szCs w:val="22"/>
          <w:lang w:val="en"/>
        </w:rPr>
        <w:t xml:space="preserve">experienced an increase in mastery learning ≥ 75%. </w:t>
      </w:r>
      <w:r w:rsidR="0017312A">
        <w:rPr>
          <w:rFonts w:ascii="Times New Roman" w:hAnsi="Times New Roman" w:cs="Times New Roman"/>
          <w:color w:val="222222"/>
          <w:sz w:val="22"/>
          <w:szCs w:val="22"/>
          <w:lang w:val="en"/>
        </w:rPr>
        <w:fldChar w:fldCharType="begin" w:fldLock="1"/>
      </w:r>
      <w:r w:rsidR="006E7E35">
        <w:rPr>
          <w:rFonts w:ascii="Times New Roman" w:hAnsi="Times New Roman" w:cs="Times New Roman"/>
          <w:color w:val="222222"/>
          <w:sz w:val="22"/>
          <w:szCs w:val="22"/>
          <w:lang w:val="en"/>
        </w:rPr>
        <w:instrText>ADDIN CSL_CITATION {"citationItems":[{"id":"ITEM-1","itemData":{"DOI":"10.12973/ejmste/75345","ISSN":"13058223","abstract":"The purposes of this study were to: (1) examine whether or not the construction of concept maps by students improves their achievement and ability to solve higher order questions in chemistry, (2) investigate the differential effect of the treatment by gender and achievement level, and (3) explore the relationships between performance on concept maps and chemistry achievement. Participants were 60 tenth-grade students randomly divided into two groups. The study spanned six weeks in a class that met five times a week. The material covered was acid-base titration and equilibrium in weak acids. The students were pre- and post-tested using a teacher-constructed chemistry test. Results showed that while there were no significant differences on the achievement total score, there were significant differences favoring the experimental group for scores on the knowledge level questions. Moreover, there were sex-achievement interactions at the knowledge and comprehension level questions favoring females and achievement level - achievement interactions favoring low achievers. Finally, there were significant correlations between students' scores on high level questions and the convergence and total concept map scores. Copyright © 2008 by EURASIA.","author":[{"dropping-particle":"","family":"Boujaoude","given":"Saouma","non-dropping-particle":"","parse-names":false,"suffix":""},{"dropping-particle":"","family":"Attieh","given":"May","non-dropping-particle":"","parse-names":false,"suffix":""}],"container-title":"Eurasia Journal of Mathematics, Science and Technology Education","id":"ITEM-1","issue":"3","issued":{"date-parts":[["2008"]]},"page":"233-246","title":"The effect of using concept maps as study tools on achievement in chemistry","type":"article-journal","volume":"4"},"uris":["http://www.mendeley.com/documents/?uuid=ada04e37-2e7d-47c4-a1e8-d9b0c9859586"]}],"mendeley":{"formattedCitation":"(Boujaoude &amp; Attieh, 2008)","plainTextFormattedCitation":"(Boujaoude &amp; Attieh, 2008)","previouslyFormattedCitation":"(Boujaoude &amp; Attieh, 2008)"},"properties":{"noteIndex":0},"schema":"https://github.com/citation-style-language/schema/raw/master/csl-citation.json"}</w:instrText>
      </w:r>
      <w:r w:rsidR="0017312A">
        <w:rPr>
          <w:rFonts w:ascii="Times New Roman" w:hAnsi="Times New Roman" w:cs="Times New Roman"/>
          <w:color w:val="222222"/>
          <w:sz w:val="22"/>
          <w:szCs w:val="22"/>
          <w:lang w:val="en"/>
        </w:rPr>
        <w:fldChar w:fldCharType="separate"/>
      </w:r>
      <w:r w:rsidR="0017312A" w:rsidRPr="0017312A">
        <w:rPr>
          <w:rFonts w:ascii="Times New Roman" w:hAnsi="Times New Roman" w:cs="Times New Roman"/>
          <w:noProof/>
          <w:color w:val="222222"/>
          <w:sz w:val="22"/>
          <w:szCs w:val="22"/>
          <w:lang w:val="en"/>
        </w:rPr>
        <w:t>(Boujaoude &amp; Attieh, 2008)</w:t>
      </w:r>
      <w:r w:rsidR="0017312A">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xml:space="preserve"> conducted a similar study, where the concept map score with the post-test score showed a significant correlation. Linking the use of discovery learning with the concept map media obtained the results of the experimental class 2 is greater than the experimental class 1 namely 57.22% and 39.16% (</w:t>
      </w:r>
      <w:r w:rsidR="00CD7428">
        <w:rPr>
          <w:rFonts w:ascii="Times New Roman" w:hAnsi="Times New Roman" w:cs="Times New Roman"/>
          <w:color w:val="222222"/>
          <w:sz w:val="22"/>
          <w:szCs w:val="22"/>
          <w:lang w:val="en"/>
        </w:rPr>
        <w:fldChar w:fldCharType="begin" w:fldLock="1"/>
      </w:r>
      <w:r w:rsidR="00000793">
        <w:rPr>
          <w:rFonts w:ascii="Times New Roman" w:hAnsi="Times New Roman" w:cs="Times New Roman"/>
          <w:color w:val="222222"/>
          <w:sz w:val="22"/>
          <w:szCs w:val="22"/>
          <w:lang w:val="en"/>
        </w:rPr>
        <w:instrText>ADDIN CSL_CITATION {"citationItems":[{"id":"ITEM-1","itemData":{"ISSN":"2252-6897","abstract":"Halaman 51-55 PERBANDINGAN MODEL PEMBELAJARAN DISCOVERY BERBANTU PETA KONSEP DAN MODEL PEMBELAJARAN DISCOVERY TERHADAP PEMAHAMAN KONSEP MATERI PROTISTA SISWA KELAS X SMA NEGERI 1 SUKOHARJO TAHUN PELAJARAN ABSTRACT The research aims to determine the difference between Discovery learning with concept map and Discovery learning to understanding the concept of Protista X Grade Students SMA Negeri 1 Sukoharjo the academic year 2014/2015. This research was quasi experiment research which used Posttest Only With Nonequivalent Control Group Design. The population studies are all X MIA class students of SMA Negeri 1 Sukoharjo in academic year 2014/2015. Sampling technique is using cluster sampling. There are two classes of the study sample, class as the experimental class 1 and the class as an experimental class 2. Class 2 experiments using Discovery learning with concept map and experimental class 1 using Discovery learning. The techique of collecting data is using Certain Response Index (CRI), observation sheets, and documentation. Hypothesis testing using t test assisted by SPSS 16. The result of this research is there a difference between Discovery learning with concept map and Discovery learning to understanding of the concept of Protista X Grade Students SMA NEGERI 1 Sukoharjo the academic year 2014/2015.","author":[{"dropping-particle":"","family":"Setiyawan","given":"Dedy","non-dropping-particle":"","parse-names":false,"suffix":""},{"dropping-particle":"","family":"Indrowati","given":"Meti","non-dropping-particle":"","parse-names":false,"suffix":""}],"id":"ITEM-1","issue":"April","issued":{"date-parts":[["2014"]]},"title":"the Comparison Between Discovery Learning With Concept Map and Discovery Learning To Understanding Concept Protista of X Grade Students Sma Negeri","type":"article-journal","volume":"5"},"uris":["http://www.mendeley.com/documents/?uuid=24b399e8-5ce2-479c-bff8-775b885f3a04"]}],"mendeley":{"formattedCitation":"(Setiyawan &amp; Indrowati, 2014)","plainTextFormattedCitation":"(Setiyawan &amp; Indrowati, 2014)","previouslyFormattedCitation":"(Setiyawan &amp; Indrowati, 2014)"},"properties":{"noteIndex":0},"schema":"https://github.com/citation-style-language/schema/raw/master/csl-citation.json"}</w:instrText>
      </w:r>
      <w:r w:rsidR="00CD7428">
        <w:rPr>
          <w:rFonts w:ascii="Times New Roman" w:hAnsi="Times New Roman" w:cs="Times New Roman"/>
          <w:color w:val="222222"/>
          <w:sz w:val="22"/>
          <w:szCs w:val="22"/>
          <w:lang w:val="en"/>
        </w:rPr>
        <w:fldChar w:fldCharType="separate"/>
      </w:r>
      <w:r w:rsidR="00CD7428" w:rsidRPr="00CD7428">
        <w:rPr>
          <w:rFonts w:ascii="Times New Roman" w:hAnsi="Times New Roman" w:cs="Times New Roman"/>
          <w:noProof/>
          <w:color w:val="222222"/>
          <w:sz w:val="22"/>
          <w:szCs w:val="22"/>
          <w:lang w:val="en"/>
        </w:rPr>
        <w:t>(Setiyawan &amp; Indrowati, 2014)</w:t>
      </w:r>
      <w:r w:rsidR="00CD7428">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xml:space="preserve">. </w:t>
      </w:r>
    </w:p>
    <w:p w14:paraId="38E0355C" w14:textId="6DC78ED8" w:rsidR="00724B17" w:rsidRPr="00BE5E82" w:rsidRDefault="00DD5882" w:rsidP="00BE5E82">
      <w:pPr>
        <w:pStyle w:val="HTMLPreformatted"/>
        <w:spacing w:line="276" w:lineRule="auto"/>
        <w:ind w:left="360"/>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lang w:val="en"/>
        </w:rPr>
        <w:tab/>
      </w:r>
      <w:r w:rsidRPr="00BE5E82">
        <w:rPr>
          <w:rFonts w:ascii="Times New Roman" w:hAnsi="Times New Roman" w:cs="Times New Roman"/>
          <w:color w:val="222222"/>
          <w:sz w:val="22"/>
          <w:szCs w:val="22"/>
          <w:lang w:val="en"/>
        </w:rPr>
        <w:t xml:space="preserve">For the second medium, animation media, which has been proven in the research of </w:t>
      </w:r>
      <w:r w:rsidR="006E7E35">
        <w:rPr>
          <w:rFonts w:ascii="Times New Roman" w:hAnsi="Times New Roman" w:cs="Times New Roman"/>
          <w:color w:val="222222"/>
          <w:sz w:val="22"/>
          <w:szCs w:val="22"/>
          <w:lang w:val="en"/>
        </w:rPr>
        <w:fldChar w:fldCharType="begin" w:fldLock="1"/>
      </w:r>
      <w:r w:rsidR="00CD7428">
        <w:rPr>
          <w:rFonts w:ascii="Times New Roman" w:hAnsi="Times New Roman" w:cs="Times New Roman"/>
          <w:color w:val="222222"/>
          <w:sz w:val="22"/>
          <w:szCs w:val="22"/>
          <w:lang w:val="en"/>
        </w:rPr>
        <w:instrText>ADDIN CSL_CITATION {"citationItems":[{"id":"ITEM-1","itemData":{"DOI":"10.15294/jpfi.v12i2.5210","ISSN":"1693-1246","abstract":"Dalam usaha mendapatkan hasil belajar siswa yang baik maka tenaga pendidikan harus mempunyai strategi dalam melakukan pembelajaran. Salah satu model pembelajaran yang dapat digunakan yaitu Advance Organizer. Dalam hal menunjang penggunaan suatu model, maka diperlukannya penggunaan media pembelajaran tertentu, salah satu media yang dapat digunakan yaitu media animasi komputer. Sampel penelitian diambil berdasarkan Sampling Jenuh. Desain penelitian yang digunakan dalam penelitian ini adalah desain kelompok Two group posttest only. Hasil analisis daya serap dalam kategori baik, ketuntasan belajar secara klasikal sudah tuntas dan efektivitas pembelajaran adalah efektif. Ini berarti bahwa penggunaan model Advance Organizer berbantu animasi komputer adalah efektif digunakan dalam melihat hasil belajar fisika siswa SMA Rambah Hilir baik ditinjau melalui daya serap, ketuntasan belajar dan efektivitas pembelajarannya.In an effort to get the good results of student learning the teacher must have strategies for learning. One model of learning that can be used is Advance Organizer. In terms of supporting the use of a single model, there is a need for the use of specific instructional media. The media that can be used is computer animation media. The design used in this research was the group design of two group posttest only. The results of the analysis of absorption was in good, classical learning completeness has been completed and the effectiveness of learning was effective. This means that the use of model Advance Organizer assested computer animation is effective in view student learning outcomes of physics at SMA Rambah Hilir well reviewed through absorption, mastery learning and learning effectiveness.","author":[{"dropping-particle":"","family":"Hatika","given":"R. G.","non-dropping-particle":"","parse-names":false,"suffix":""}],"container-title":"Jurnal Pendidikan Fisika Indonesia","id":"ITEM-1","issue":"2","issued":{"date-parts":[["2016"]]},"page":"13-117","title":"Peningkatan Hasil Belajar Fisika Dengan Menerapkan Model Pembelajaran Advance Organizer Berbantu Animasi Komputer","type":"article-journal","volume":"12"},"uris":["http://www.mendeley.com/documents/?uuid=d346c157-c048-4c92-806e-63150af72bc3"]}],"mendeley":{"formattedCitation":"(Hatika, 2016)","plainTextFormattedCitation":"(Hatika, 2016)","previouslyFormattedCitation":"(Hatika, 2016)"},"properties":{"noteIndex":0},"schema":"https://github.com/citation-style-language/schema/raw/master/csl-citation.json"}</w:instrText>
      </w:r>
      <w:r w:rsidR="006E7E35">
        <w:rPr>
          <w:rFonts w:ascii="Times New Roman" w:hAnsi="Times New Roman" w:cs="Times New Roman"/>
          <w:color w:val="222222"/>
          <w:sz w:val="22"/>
          <w:szCs w:val="22"/>
          <w:lang w:val="en"/>
        </w:rPr>
        <w:fldChar w:fldCharType="separate"/>
      </w:r>
      <w:r w:rsidR="006E7E35" w:rsidRPr="006E7E35">
        <w:rPr>
          <w:rFonts w:ascii="Times New Roman" w:hAnsi="Times New Roman" w:cs="Times New Roman"/>
          <w:noProof/>
          <w:color w:val="222222"/>
          <w:sz w:val="22"/>
          <w:szCs w:val="22"/>
          <w:lang w:val="en"/>
        </w:rPr>
        <w:t>(Hatika, 2016)</w:t>
      </w:r>
      <w:r w:rsidR="006E7E35">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xml:space="preserve">, where the average absorption capacity in the experimental class uses computer animation media with an effectiveness percentage of 80.03% while in the control class only 78.7%. Other studies using animation media mention the average value of students' cognitive learning achievement taught with animation media by 89.13 better than the average value of student achievement taught with LKS media that is equal to 84.19 </w:t>
      </w:r>
      <w:r w:rsidR="00000793">
        <w:rPr>
          <w:rFonts w:ascii="Times New Roman" w:hAnsi="Times New Roman" w:cs="Times New Roman"/>
          <w:color w:val="222222"/>
          <w:sz w:val="22"/>
          <w:szCs w:val="22"/>
          <w:lang w:val="en"/>
        </w:rPr>
        <w:fldChar w:fldCharType="begin" w:fldLock="1"/>
      </w:r>
      <w:r w:rsidR="006C5BDA">
        <w:rPr>
          <w:rFonts w:ascii="Times New Roman" w:hAnsi="Times New Roman" w:cs="Times New Roman"/>
          <w:color w:val="222222"/>
          <w:sz w:val="22"/>
          <w:szCs w:val="22"/>
          <w:lang w:val="en"/>
        </w:rPr>
        <w:instrText>ADDIN CSL_CITATION {"citationItems":[{"id":"ITEM-1","itemData":{"ISSN":"2337-9995","author":[{"dropping-particle":"","family":"Catur Saputro","given":"Agung Nugroho","non-dropping-particle":"","parse-names":false,"suffix":""},{"dropping-particle":"","family":"Puspitasari","given":"N.","non-dropping-particle":"","parse-names":false,"suffix":""},{"dropping-particle":"","family":"Ashadi","given":"A.","non-dropping-particle":"","parse-names":false,"suffix":""}],"container-title":"Jurnal Pendidikan Kimia","id":"ITEM-1","issue":"2","issued":{"date-parts":[["2015"]]},"page":"8-14","title":"Studi Komparasi Penggunaan Media Animasi Dan Media Lks Dalam Pembelajaran Kooperatif Metode Teams Games Tournament (Tgt) Pada Materi Pokok Sistem Koloid Kelas Xi Ipa Sman 1 Sukoharjo Tahun Pelajaran 2013/2014","type":"article-journal","volume":"4"},"uris":["http://www.mendeley.com/documents/?uuid=16096dd3-15b2-45d5-846e-a9a186e10847"]}],"mendeley":{"formattedCitation":"(Catur Saputro, Puspitasari, et al., 2015)","plainTextFormattedCitation":"(Catur Saputro, Puspitasari, et al., 2015)","previouslyFormattedCitation":"(Catur Saputro, Puspitasari, et al., 2015)"},"properties":{"noteIndex":0},"schema":"https://github.com/citation-style-language/schema/raw/master/csl-citation.json"}</w:instrText>
      </w:r>
      <w:r w:rsidR="00000793">
        <w:rPr>
          <w:rFonts w:ascii="Times New Roman" w:hAnsi="Times New Roman" w:cs="Times New Roman"/>
          <w:color w:val="222222"/>
          <w:sz w:val="22"/>
          <w:szCs w:val="22"/>
          <w:lang w:val="en"/>
        </w:rPr>
        <w:fldChar w:fldCharType="separate"/>
      </w:r>
      <w:r w:rsidR="00000793" w:rsidRPr="00000793">
        <w:rPr>
          <w:rFonts w:ascii="Times New Roman" w:hAnsi="Times New Roman" w:cs="Times New Roman"/>
          <w:noProof/>
          <w:color w:val="222222"/>
          <w:sz w:val="22"/>
          <w:szCs w:val="22"/>
          <w:lang w:val="en"/>
        </w:rPr>
        <w:t>(Catur Saputro, Puspitasari, et al., 2015)</w:t>
      </w:r>
      <w:r w:rsidR="00000793">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xml:space="preserve">. Related research using discovery learning assisted with animation media get good results, namely the average value of the experimental class is greater than the average value of the control class with a number of 65.44 and 56.18 </w:t>
      </w:r>
      <w:r w:rsidR="006C5BDA">
        <w:rPr>
          <w:rFonts w:ascii="Times New Roman" w:hAnsi="Times New Roman" w:cs="Times New Roman"/>
          <w:color w:val="222222"/>
          <w:sz w:val="22"/>
          <w:szCs w:val="22"/>
          <w:lang w:val="en"/>
        </w:rPr>
        <w:fldChar w:fldCharType="begin" w:fldLock="1"/>
      </w:r>
      <w:r w:rsidR="00155E94">
        <w:rPr>
          <w:rFonts w:ascii="Times New Roman" w:hAnsi="Times New Roman" w:cs="Times New Roman"/>
          <w:color w:val="222222"/>
          <w:sz w:val="22"/>
          <w:szCs w:val="22"/>
          <w:lang w:val="en"/>
        </w:rPr>
        <w:instrText>ADDIN CSL_CITATION {"citationItems":[{"id":"ITEM-1","itemData":{"ISSN":"1411-6502","abstract":"ABSTRAK Penelitian ini adalah jenis penelitian eksperimen semu yang bertujuan untuk mengetahui pengaruh media animasi dalam model pembelajaran inkuiri terbimbing terhadap keterampilan berpikir kritis dan aktivitas belajar peserta didik kelas XI SMA Negeri 21 Makassar pada materi kesetimbangan kimia. Desain penelitian Post test-Only Control Design. Populasi dalam penelitian ini adalah seluruh peserta didik kelas XI IPA SMA Negeri 21 Makassar yang terdiri dari 8 kelas. Penentuan sampel dilakukan secara random sampling dan kelas XI IPA 2 sebagai kelompok eksperimen dan kelas XI IPA 3 sebagai kelompok kontrol. Data hasil penelitian diperoleh dengan memberikan tes keterampilan berpikir kritis sebanyak 15 soal uraian yang terbagi menjadi 3 kode soal yang telah divalidasi. Teknik analisis data yaitu deskripsi dan pengujian hipotesis terhadap keterampilan berpikir kritis dan aktivitas belajar peserta didik. Hasil penelitian diperoleh deskripsi rata-rata keterampilan berpikir kritis dan standar deviasi untuk kelompok eksperimen adalah 81,35%, dan 7,78. Sedangkan rata- rata keterampilan berpikir kritis dan standar deviasi untuk kelompok kontrol adalah 70,53% dan 7,27. Hasil pengujian hipotesis dengan uji-t pada taraf signifikan α = 0,05 diperoleh nilai thitung = 180,33 dan nilai ttabel =1,67. Dengan membandingkan nilai thitung 180,33 &gt; ttabel 1,668 artinya H0 ditolak dan H1 diterima. Dengan demikian, dapat disimpulkan bahwa terdapat","author":[{"dropping-particle":"","family":"Fitriani","given":"Ade","non-dropping-particle":"","parse-names":false,"suffix":""},{"dropping-particle":"","family":"Danial","given":"Muhammad","non-dropping-particle":"","parse-names":false,"suffix":""},{"dropping-particle":"","family":"Wijaya","given":"Mohammad","non-dropping-particle":"","parse-names":false,"suffix":""}],"container-title":"Chemica","id":"ITEM-1","issue":"2","issued":{"date-parts":[["2014"]]},"page":"114-122","title":"Pengaruh Penggunaan Media Animasi pada Model Discovery Learning terhadap Hasil Belajar Kimia Peserta Didik Kelas X MIA SMAN 1 Bungoro (Studi pada Materi Pokok Ikatan Kimia)","type":"article-journal","volume":"15"},"uris":["http://www.mendeley.com/documents/?uuid=7f78dae2-d319-457e-bfdc-49dd9b6ce0c7"]}],"mendeley":{"formattedCitation":"(Fitriani et al., 2014)","plainTextFormattedCitation":"(Fitriani et al., 2014)","previouslyFormattedCitation":"(Fitriani et al., 2014)"},"properties":{"noteIndex":0},"schema":"https://github.com/citation-style-language/schema/raw/master/csl-citation.json"}</w:instrText>
      </w:r>
      <w:r w:rsidR="006C5BDA">
        <w:rPr>
          <w:rFonts w:ascii="Times New Roman" w:hAnsi="Times New Roman" w:cs="Times New Roman"/>
          <w:color w:val="222222"/>
          <w:sz w:val="22"/>
          <w:szCs w:val="22"/>
          <w:lang w:val="en"/>
        </w:rPr>
        <w:fldChar w:fldCharType="separate"/>
      </w:r>
      <w:r w:rsidR="006C5BDA" w:rsidRPr="006C5BDA">
        <w:rPr>
          <w:rFonts w:ascii="Times New Roman" w:hAnsi="Times New Roman" w:cs="Times New Roman"/>
          <w:noProof/>
          <w:color w:val="222222"/>
          <w:sz w:val="22"/>
          <w:szCs w:val="22"/>
          <w:lang w:val="en"/>
        </w:rPr>
        <w:t>(Fitriani et al., 2014)</w:t>
      </w:r>
      <w:r w:rsidR="006C5BDA">
        <w:rPr>
          <w:rFonts w:ascii="Times New Roman" w:hAnsi="Times New Roman" w:cs="Times New Roman"/>
          <w:color w:val="222222"/>
          <w:sz w:val="22"/>
          <w:szCs w:val="22"/>
          <w:lang w:val="en"/>
        </w:rPr>
        <w:fldChar w:fldCharType="end"/>
      </w:r>
      <w:r w:rsidRPr="00BE5E82">
        <w:rPr>
          <w:rFonts w:ascii="Times New Roman" w:hAnsi="Times New Roman" w:cs="Times New Roman"/>
          <w:color w:val="222222"/>
          <w:sz w:val="22"/>
          <w:szCs w:val="22"/>
          <w:lang w:val="en"/>
        </w:rPr>
        <w:t>. Based on the description and thoughts above, the researcher is interested in conducting research with the title: "The Effect of the Discovery Learning Model Using Concept Maps Media and Computer Animation on Student Learning Outcomes on Hydrocarbon Material"</w:t>
      </w:r>
    </w:p>
    <w:p w14:paraId="07465E03" w14:textId="77777777" w:rsidR="00DD5882" w:rsidRPr="00AE3191" w:rsidRDefault="00DD5882" w:rsidP="00AE3191">
      <w:pPr>
        <w:pStyle w:val="IEEEParagraph"/>
        <w:spacing w:line="360" w:lineRule="auto"/>
        <w:ind w:left="360" w:firstLine="0"/>
        <w:rPr>
          <w:lang w:val="en-US"/>
        </w:rPr>
      </w:pPr>
    </w:p>
    <w:p w14:paraId="0C6BCC5D" w14:textId="77777777" w:rsidR="001218D3" w:rsidRPr="00AE3191" w:rsidRDefault="009B0A53" w:rsidP="00AE3191">
      <w:pPr>
        <w:pStyle w:val="IEEEHeading1"/>
        <w:numPr>
          <w:ilvl w:val="0"/>
          <w:numId w:val="11"/>
        </w:numPr>
        <w:spacing w:before="0" w:after="0" w:line="360" w:lineRule="auto"/>
        <w:jc w:val="both"/>
        <w:rPr>
          <w:b/>
          <w:sz w:val="24"/>
          <w:lang w:val="id-ID"/>
        </w:rPr>
      </w:pPr>
      <w:r w:rsidRPr="00AE3191">
        <w:rPr>
          <w:b/>
          <w:iCs/>
          <w:sz w:val="24"/>
          <w:lang w:val="en-US"/>
        </w:rPr>
        <w:t>METHODS</w:t>
      </w:r>
    </w:p>
    <w:p w14:paraId="5E2DC89E" w14:textId="75C091AB" w:rsidR="002913EC" w:rsidRPr="00BE5E82" w:rsidRDefault="002913EC" w:rsidP="00BE5E82">
      <w:pPr>
        <w:pStyle w:val="HTMLPreformatted"/>
        <w:spacing w:line="276" w:lineRule="auto"/>
        <w:ind w:left="360"/>
        <w:jc w:val="both"/>
        <w:rPr>
          <w:rFonts w:ascii="Times New Roman" w:hAnsi="Times New Roman" w:cs="Times New Roman"/>
          <w:color w:val="222222"/>
          <w:sz w:val="22"/>
          <w:szCs w:val="22"/>
        </w:rPr>
      </w:pPr>
      <w:r w:rsidRPr="00AE3191">
        <w:rPr>
          <w:rFonts w:ascii="Times New Roman" w:hAnsi="Times New Roman" w:cs="Times New Roman"/>
          <w:color w:val="222222"/>
          <w:sz w:val="24"/>
          <w:szCs w:val="24"/>
          <w:lang w:val="en"/>
        </w:rPr>
        <w:tab/>
      </w:r>
      <w:r w:rsidRPr="00BE5E82">
        <w:rPr>
          <w:rFonts w:ascii="Times New Roman" w:hAnsi="Times New Roman" w:cs="Times New Roman"/>
          <w:color w:val="222222"/>
          <w:sz w:val="22"/>
          <w:szCs w:val="22"/>
          <w:lang w:val="en"/>
        </w:rPr>
        <w:t xml:space="preserve">This research was conducted in the odd semester of the 2019/2020 school year in October 2019 and was carried out at HKBP University Nommensen Pematangsiantar. The study population was all students of Mathematics Education at HKBP University Nommensen Pematangsiantar. In this study, the sample was taken by random sampling, namely Mathematics Education students in semester 1 of the 2019/2020 school year, where researchers took samples for this study as group A </w:t>
      </w:r>
      <w:r w:rsidRPr="00BE5E82">
        <w:rPr>
          <w:rFonts w:ascii="Times New Roman" w:hAnsi="Times New Roman" w:cs="Times New Roman"/>
          <w:color w:val="222222"/>
          <w:sz w:val="22"/>
          <w:szCs w:val="22"/>
          <w:lang w:val="en"/>
        </w:rPr>
        <w:lastRenderedPageBreak/>
        <w:t>and group B. The first sample used as experimental class I was given discovery learning using concept mapping media. While the second sample used as experimental class II was given discovery learning using computer animation media.</w:t>
      </w:r>
    </w:p>
    <w:p w14:paraId="0CCBC2D9" w14:textId="077AFE63" w:rsidR="00AE3191" w:rsidRPr="00A04FD7" w:rsidRDefault="002913EC" w:rsidP="00A04FD7">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rPr>
        <w:tab/>
      </w:r>
      <w:r w:rsidRPr="00BE5E82">
        <w:rPr>
          <w:rFonts w:ascii="Times New Roman" w:hAnsi="Times New Roman" w:cs="Times New Roman"/>
          <w:color w:val="222222"/>
          <w:sz w:val="22"/>
          <w:szCs w:val="22"/>
          <w:lang w:val="en"/>
        </w:rPr>
        <w:t>This study involved two experimental classes that were given different treatments. In the experimental class I was given treatment that is by giving discovery learning with concept map media on the material while in experimental class II by giving discovery learning learning with computer animation media. The material used was hydrocarbons. The research design is presented in the table.</w:t>
      </w:r>
    </w:p>
    <w:p w14:paraId="5AA00197" w14:textId="77777777" w:rsidR="002913EC" w:rsidRPr="00BE5E82" w:rsidRDefault="002913EC" w:rsidP="00B213DE">
      <w:pPr>
        <w:pStyle w:val="HTMLPreformatted"/>
        <w:spacing w:line="276" w:lineRule="auto"/>
        <w:ind w:left="360"/>
        <w:jc w:val="center"/>
        <w:rPr>
          <w:rFonts w:ascii="Times New Roman" w:hAnsi="Times New Roman" w:cs="Times New Roman"/>
          <w:color w:val="222222"/>
          <w:sz w:val="22"/>
          <w:szCs w:val="22"/>
        </w:rPr>
      </w:pPr>
      <w:r w:rsidRPr="00B213DE">
        <w:rPr>
          <w:rFonts w:ascii="Times New Roman" w:hAnsi="Times New Roman" w:cs="Times New Roman"/>
          <w:b/>
          <w:bCs/>
          <w:color w:val="222222"/>
          <w:sz w:val="22"/>
          <w:szCs w:val="22"/>
          <w:lang w:val="en"/>
        </w:rPr>
        <w:t>Table 1.</w:t>
      </w:r>
      <w:r w:rsidRPr="00BE5E82">
        <w:rPr>
          <w:rFonts w:ascii="Times New Roman" w:hAnsi="Times New Roman" w:cs="Times New Roman"/>
          <w:color w:val="222222"/>
          <w:sz w:val="22"/>
          <w:szCs w:val="22"/>
          <w:lang w:val="en"/>
        </w:rPr>
        <w:t xml:space="preserve"> Research design</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53"/>
        <w:gridCol w:w="1445"/>
        <w:gridCol w:w="2364"/>
        <w:gridCol w:w="2547"/>
      </w:tblGrid>
      <w:tr w:rsidR="002913EC" w:rsidRPr="00BE5E82" w14:paraId="25EBF87E" w14:textId="77777777" w:rsidTr="00AE3191">
        <w:trPr>
          <w:trHeight w:val="265"/>
          <w:jc w:val="center"/>
        </w:trPr>
        <w:tc>
          <w:tcPr>
            <w:tcW w:w="553" w:type="dxa"/>
            <w:tcBorders>
              <w:bottom w:val="single" w:sz="4" w:space="0" w:color="auto"/>
            </w:tcBorders>
          </w:tcPr>
          <w:p w14:paraId="4769D6A5" w14:textId="77777777" w:rsidR="002913EC" w:rsidRPr="00BE5E82" w:rsidRDefault="002913EC" w:rsidP="00A04FD7">
            <w:pPr>
              <w:pStyle w:val="IEEETableCell"/>
              <w:jc w:val="both"/>
              <w:rPr>
                <w:b/>
                <w:sz w:val="22"/>
                <w:szCs w:val="22"/>
              </w:rPr>
            </w:pPr>
            <w:r w:rsidRPr="00BE5E82">
              <w:rPr>
                <w:b/>
                <w:sz w:val="22"/>
                <w:szCs w:val="22"/>
              </w:rPr>
              <w:t>No</w:t>
            </w:r>
          </w:p>
        </w:tc>
        <w:tc>
          <w:tcPr>
            <w:tcW w:w="1445" w:type="dxa"/>
            <w:tcBorders>
              <w:bottom w:val="single" w:sz="4" w:space="0" w:color="auto"/>
            </w:tcBorders>
          </w:tcPr>
          <w:p w14:paraId="425C5B26" w14:textId="77777777" w:rsidR="002913EC" w:rsidRPr="00BE5E82" w:rsidRDefault="002913EC" w:rsidP="00A04FD7">
            <w:pPr>
              <w:pStyle w:val="HTMLPreformatted"/>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lang w:val="en"/>
              </w:rPr>
              <w:t>Learning outcomes</w:t>
            </w:r>
          </w:p>
          <w:p w14:paraId="6C218729" w14:textId="77777777" w:rsidR="002913EC" w:rsidRPr="00BE5E82" w:rsidRDefault="002913EC" w:rsidP="00A04FD7">
            <w:pPr>
              <w:pStyle w:val="IEEETableCell"/>
              <w:jc w:val="both"/>
              <w:rPr>
                <w:b/>
                <w:sz w:val="22"/>
                <w:szCs w:val="22"/>
              </w:rPr>
            </w:pPr>
          </w:p>
        </w:tc>
        <w:tc>
          <w:tcPr>
            <w:tcW w:w="2364" w:type="dxa"/>
            <w:tcBorders>
              <w:bottom w:val="single" w:sz="4" w:space="0" w:color="auto"/>
            </w:tcBorders>
          </w:tcPr>
          <w:p w14:paraId="25FA3E01" w14:textId="7FFEA737" w:rsidR="002913EC" w:rsidRPr="00BE5E82" w:rsidRDefault="002913EC" w:rsidP="00A04FD7">
            <w:pPr>
              <w:pStyle w:val="HTMLPreformatted"/>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lang w:val="en"/>
              </w:rPr>
              <w:t>Discovery Learning Learning with Concept Map Media (B1)</w:t>
            </w:r>
          </w:p>
        </w:tc>
        <w:tc>
          <w:tcPr>
            <w:tcW w:w="2547" w:type="dxa"/>
            <w:tcBorders>
              <w:bottom w:val="single" w:sz="4" w:space="0" w:color="auto"/>
            </w:tcBorders>
          </w:tcPr>
          <w:p w14:paraId="2D4E0A40" w14:textId="5344FE65" w:rsidR="002913EC" w:rsidRPr="00BE5E82" w:rsidRDefault="002913EC" w:rsidP="00A04FD7">
            <w:pPr>
              <w:pStyle w:val="HTMLPreformatted"/>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lang w:val="en"/>
              </w:rPr>
              <w:t>Learning Discovery Learning with Computer Animation Media (B2)</w:t>
            </w:r>
          </w:p>
        </w:tc>
      </w:tr>
      <w:tr w:rsidR="002913EC" w:rsidRPr="00BE5E82" w14:paraId="41C1BD83" w14:textId="77777777" w:rsidTr="00C90586">
        <w:trPr>
          <w:jc w:val="center"/>
        </w:trPr>
        <w:tc>
          <w:tcPr>
            <w:tcW w:w="553" w:type="dxa"/>
            <w:tcBorders>
              <w:top w:val="single" w:sz="4" w:space="0" w:color="auto"/>
              <w:bottom w:val="single" w:sz="4" w:space="0" w:color="auto"/>
            </w:tcBorders>
          </w:tcPr>
          <w:p w14:paraId="68A8B8F0" w14:textId="77777777" w:rsidR="002913EC" w:rsidRPr="00BE5E82" w:rsidRDefault="002913EC" w:rsidP="00A04FD7">
            <w:pPr>
              <w:pStyle w:val="IEEETableCell"/>
              <w:jc w:val="both"/>
              <w:rPr>
                <w:sz w:val="22"/>
                <w:szCs w:val="22"/>
              </w:rPr>
            </w:pPr>
            <w:r w:rsidRPr="00BE5E82">
              <w:rPr>
                <w:sz w:val="22"/>
                <w:szCs w:val="22"/>
              </w:rPr>
              <w:t>1</w:t>
            </w:r>
          </w:p>
        </w:tc>
        <w:tc>
          <w:tcPr>
            <w:tcW w:w="1445" w:type="dxa"/>
            <w:tcBorders>
              <w:top w:val="single" w:sz="4" w:space="0" w:color="auto"/>
              <w:bottom w:val="single" w:sz="4" w:space="0" w:color="auto"/>
            </w:tcBorders>
          </w:tcPr>
          <w:p w14:paraId="2BCBADC0" w14:textId="77777777" w:rsidR="002913EC" w:rsidRPr="00BE5E82" w:rsidRDefault="002913EC" w:rsidP="00A04FD7">
            <w:pPr>
              <w:pStyle w:val="HTMLPreformatted"/>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lang w:val="en"/>
              </w:rPr>
              <w:t>Height (A1)</w:t>
            </w:r>
          </w:p>
        </w:tc>
        <w:tc>
          <w:tcPr>
            <w:tcW w:w="2364" w:type="dxa"/>
            <w:tcBorders>
              <w:top w:val="single" w:sz="4" w:space="0" w:color="auto"/>
              <w:bottom w:val="single" w:sz="4" w:space="0" w:color="auto"/>
            </w:tcBorders>
          </w:tcPr>
          <w:p w14:paraId="3FD55B11" w14:textId="77777777" w:rsidR="002913EC" w:rsidRPr="00BE5E82" w:rsidRDefault="002913EC" w:rsidP="00A04FD7">
            <w:pPr>
              <w:jc w:val="both"/>
              <w:rPr>
                <w:sz w:val="22"/>
                <w:szCs w:val="22"/>
                <w:vertAlign w:val="subscript"/>
              </w:rPr>
            </w:pPr>
            <w:r w:rsidRPr="00BE5E82">
              <w:rPr>
                <w:sz w:val="22"/>
                <w:szCs w:val="22"/>
              </w:rPr>
              <w:t>A</w:t>
            </w:r>
            <w:r w:rsidRPr="00BE5E82">
              <w:rPr>
                <w:sz w:val="22"/>
                <w:szCs w:val="22"/>
                <w:vertAlign w:val="subscript"/>
              </w:rPr>
              <w:t>1</w:t>
            </w:r>
            <w:r w:rsidRPr="00BE5E82">
              <w:rPr>
                <w:sz w:val="22"/>
                <w:szCs w:val="22"/>
              </w:rPr>
              <w:t>B</w:t>
            </w:r>
            <w:r w:rsidRPr="00BE5E82">
              <w:rPr>
                <w:sz w:val="22"/>
                <w:szCs w:val="22"/>
                <w:vertAlign w:val="subscript"/>
              </w:rPr>
              <w:t>1</w:t>
            </w:r>
          </w:p>
        </w:tc>
        <w:tc>
          <w:tcPr>
            <w:tcW w:w="2547" w:type="dxa"/>
            <w:tcBorders>
              <w:top w:val="single" w:sz="4" w:space="0" w:color="auto"/>
              <w:bottom w:val="single" w:sz="4" w:space="0" w:color="auto"/>
            </w:tcBorders>
          </w:tcPr>
          <w:p w14:paraId="77137D7B" w14:textId="77777777" w:rsidR="002913EC" w:rsidRPr="00BE5E82" w:rsidRDefault="002913EC" w:rsidP="00A04FD7">
            <w:pPr>
              <w:jc w:val="both"/>
              <w:rPr>
                <w:sz w:val="22"/>
                <w:szCs w:val="22"/>
                <w:vertAlign w:val="subscript"/>
              </w:rPr>
            </w:pPr>
            <w:r w:rsidRPr="00BE5E82">
              <w:rPr>
                <w:sz w:val="22"/>
                <w:szCs w:val="22"/>
              </w:rPr>
              <w:t>A</w:t>
            </w:r>
            <w:r w:rsidRPr="00BE5E82">
              <w:rPr>
                <w:sz w:val="22"/>
                <w:szCs w:val="22"/>
                <w:vertAlign w:val="subscript"/>
              </w:rPr>
              <w:t>1</w:t>
            </w:r>
            <w:r w:rsidRPr="00BE5E82">
              <w:rPr>
                <w:sz w:val="22"/>
                <w:szCs w:val="22"/>
              </w:rPr>
              <w:t>B</w:t>
            </w:r>
            <w:r w:rsidRPr="00BE5E82">
              <w:rPr>
                <w:sz w:val="22"/>
                <w:szCs w:val="22"/>
                <w:vertAlign w:val="subscript"/>
              </w:rPr>
              <w:t>2</w:t>
            </w:r>
          </w:p>
        </w:tc>
      </w:tr>
      <w:tr w:rsidR="002913EC" w:rsidRPr="00BE5E82" w14:paraId="1E3D03D8" w14:textId="77777777" w:rsidTr="00A04FD7">
        <w:trPr>
          <w:trHeight w:val="169"/>
          <w:jc w:val="center"/>
        </w:trPr>
        <w:tc>
          <w:tcPr>
            <w:tcW w:w="553" w:type="dxa"/>
            <w:tcBorders>
              <w:top w:val="single" w:sz="4" w:space="0" w:color="auto"/>
            </w:tcBorders>
          </w:tcPr>
          <w:p w14:paraId="40901EBC" w14:textId="77777777" w:rsidR="002913EC" w:rsidRPr="00BE5E82" w:rsidRDefault="002913EC" w:rsidP="00A04FD7">
            <w:pPr>
              <w:pStyle w:val="IEEETableCell"/>
              <w:jc w:val="both"/>
              <w:rPr>
                <w:sz w:val="22"/>
                <w:szCs w:val="22"/>
              </w:rPr>
            </w:pPr>
            <w:r w:rsidRPr="00BE5E82">
              <w:rPr>
                <w:sz w:val="22"/>
                <w:szCs w:val="22"/>
              </w:rPr>
              <w:t>2</w:t>
            </w:r>
          </w:p>
        </w:tc>
        <w:tc>
          <w:tcPr>
            <w:tcW w:w="1445" w:type="dxa"/>
            <w:tcBorders>
              <w:top w:val="single" w:sz="4" w:space="0" w:color="auto"/>
            </w:tcBorders>
          </w:tcPr>
          <w:p w14:paraId="0910ED8E" w14:textId="4EFBAD47" w:rsidR="002913EC" w:rsidRPr="00A04FD7" w:rsidRDefault="002913EC" w:rsidP="00A04FD7">
            <w:pPr>
              <w:pStyle w:val="HTMLPreformatted"/>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lang w:val="en"/>
              </w:rPr>
              <w:t>Low (A2)</w:t>
            </w:r>
          </w:p>
        </w:tc>
        <w:tc>
          <w:tcPr>
            <w:tcW w:w="2364" w:type="dxa"/>
            <w:tcBorders>
              <w:top w:val="single" w:sz="4" w:space="0" w:color="auto"/>
            </w:tcBorders>
          </w:tcPr>
          <w:p w14:paraId="69761269" w14:textId="77777777" w:rsidR="002913EC" w:rsidRPr="00BE5E82" w:rsidRDefault="002913EC" w:rsidP="00A04FD7">
            <w:pPr>
              <w:pStyle w:val="IEEETableCell"/>
              <w:jc w:val="both"/>
              <w:rPr>
                <w:sz w:val="22"/>
                <w:szCs w:val="22"/>
              </w:rPr>
            </w:pPr>
            <w:r w:rsidRPr="00BE5E82">
              <w:rPr>
                <w:sz w:val="22"/>
                <w:szCs w:val="22"/>
              </w:rPr>
              <w:t>A</w:t>
            </w:r>
            <w:r w:rsidRPr="00BE5E82">
              <w:rPr>
                <w:sz w:val="22"/>
                <w:szCs w:val="22"/>
                <w:vertAlign w:val="subscript"/>
              </w:rPr>
              <w:t>2</w:t>
            </w:r>
            <w:r w:rsidRPr="00BE5E82">
              <w:rPr>
                <w:sz w:val="22"/>
                <w:szCs w:val="22"/>
              </w:rPr>
              <w:t>B</w:t>
            </w:r>
            <w:r w:rsidRPr="00BE5E82">
              <w:rPr>
                <w:sz w:val="22"/>
                <w:szCs w:val="22"/>
                <w:vertAlign w:val="subscript"/>
              </w:rPr>
              <w:t>1</w:t>
            </w:r>
          </w:p>
        </w:tc>
        <w:tc>
          <w:tcPr>
            <w:tcW w:w="2547" w:type="dxa"/>
            <w:tcBorders>
              <w:top w:val="single" w:sz="4" w:space="0" w:color="auto"/>
            </w:tcBorders>
          </w:tcPr>
          <w:p w14:paraId="71AD3E54" w14:textId="77777777" w:rsidR="002913EC" w:rsidRPr="00BE5E82" w:rsidRDefault="002913EC" w:rsidP="00A04FD7">
            <w:pPr>
              <w:pStyle w:val="IEEETableCell"/>
              <w:jc w:val="both"/>
              <w:rPr>
                <w:sz w:val="22"/>
                <w:szCs w:val="22"/>
              </w:rPr>
            </w:pPr>
            <w:r w:rsidRPr="00BE5E82">
              <w:rPr>
                <w:sz w:val="22"/>
                <w:szCs w:val="22"/>
              </w:rPr>
              <w:t>A</w:t>
            </w:r>
            <w:r w:rsidRPr="00BE5E82">
              <w:rPr>
                <w:sz w:val="22"/>
                <w:szCs w:val="22"/>
                <w:vertAlign w:val="subscript"/>
              </w:rPr>
              <w:t>2</w:t>
            </w:r>
            <w:r w:rsidRPr="00BE5E82">
              <w:rPr>
                <w:sz w:val="22"/>
                <w:szCs w:val="22"/>
              </w:rPr>
              <w:t>B</w:t>
            </w:r>
            <w:r w:rsidRPr="00BE5E82">
              <w:rPr>
                <w:sz w:val="22"/>
                <w:szCs w:val="22"/>
                <w:vertAlign w:val="subscript"/>
              </w:rPr>
              <w:t>2</w:t>
            </w:r>
          </w:p>
        </w:tc>
      </w:tr>
    </w:tbl>
    <w:p w14:paraId="25C93B87" w14:textId="77777777" w:rsidR="002913EC" w:rsidRPr="00BE5E82" w:rsidRDefault="002913EC" w:rsidP="00BE5E82">
      <w:pPr>
        <w:pStyle w:val="HTMLPreformatted"/>
        <w:spacing w:line="276" w:lineRule="auto"/>
        <w:jc w:val="both"/>
        <w:rPr>
          <w:rFonts w:ascii="Times New Roman" w:hAnsi="Times New Roman" w:cs="Times New Roman"/>
          <w:color w:val="222222"/>
          <w:sz w:val="22"/>
          <w:szCs w:val="22"/>
        </w:rPr>
      </w:pPr>
    </w:p>
    <w:p w14:paraId="33FD7D84" w14:textId="77777777" w:rsidR="002913EC" w:rsidRPr="00BE5E82" w:rsidRDefault="002913EC"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Information:</w:t>
      </w:r>
    </w:p>
    <w:p w14:paraId="1EC4F1C5" w14:textId="77777777" w:rsidR="002913EC" w:rsidRPr="00BE5E82" w:rsidRDefault="002913EC"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A1B1 = High learning outcomes with the use of discovery learning, learning with concept map media</w:t>
      </w:r>
    </w:p>
    <w:p w14:paraId="047BCA9E" w14:textId="77777777" w:rsidR="002913EC" w:rsidRPr="00BE5E82" w:rsidRDefault="002913EC"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A2B1 = Low learning outcomes with the use of discovery learning learning with concept map media</w:t>
      </w:r>
    </w:p>
    <w:p w14:paraId="1C18BDC8" w14:textId="77777777" w:rsidR="002913EC" w:rsidRPr="00BE5E82" w:rsidRDefault="002913EC"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A1B2 = High learning outcomes with the use of discovery learning learning with computer animation media</w:t>
      </w:r>
    </w:p>
    <w:p w14:paraId="7C3565D6" w14:textId="77777777" w:rsidR="002913EC" w:rsidRPr="00BE5E82" w:rsidRDefault="002913EC"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A2B2 = Low learning outcomes with the use of discovery learning, learning with computer animation media.</w:t>
      </w:r>
    </w:p>
    <w:p w14:paraId="7942BC42" w14:textId="23A3B4EE" w:rsidR="002913EC" w:rsidRPr="00BE5E82" w:rsidRDefault="00BC4871"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b/>
      </w:r>
      <w:r w:rsidR="002913EC" w:rsidRPr="00BE5E82">
        <w:rPr>
          <w:rFonts w:ascii="Times New Roman" w:hAnsi="Times New Roman" w:cs="Times New Roman"/>
          <w:color w:val="222222"/>
          <w:sz w:val="22"/>
          <w:szCs w:val="22"/>
          <w:lang w:val="en"/>
        </w:rPr>
        <w:t>Research instruments to determine learning outcomes consist of test instruments namely multiple choices with options (a, b, c, d, e). In order to process data, the following steps are taken: providing a pre-test to measure initial capabilities; before being given treatment, students are given teaching in Group A class using concept map media and Group B class using computer animation media; throughout the research process, keep the class conditions the same, for example teaching staff, books used, length of time for teaching and so on; provide posttest to measure improvement in learning outcomes in class; analyze data by conducting statistical tests and make conclusions based on the results of data analysis. The hypothesis test used in this study is a hypothesis test using the two-party t test and an increase in student learning outcomes seen by using gain.</w:t>
      </w:r>
    </w:p>
    <w:p w14:paraId="09FEFBC0" w14:textId="77777777" w:rsidR="00310DCB" w:rsidRPr="00AE3191" w:rsidRDefault="00310DCB" w:rsidP="00AE3191">
      <w:pPr>
        <w:pStyle w:val="IEEEParagraph"/>
        <w:spacing w:line="360" w:lineRule="auto"/>
        <w:ind w:firstLine="360"/>
        <w:rPr>
          <w:lang w:val="sv-SE"/>
        </w:rPr>
      </w:pPr>
    </w:p>
    <w:p w14:paraId="160CBB69" w14:textId="77777777" w:rsidR="00E70EE3" w:rsidRPr="00AE3191" w:rsidRDefault="00062122" w:rsidP="00AE3191">
      <w:pPr>
        <w:pStyle w:val="IEEEHeading1"/>
        <w:numPr>
          <w:ilvl w:val="0"/>
          <w:numId w:val="11"/>
        </w:numPr>
        <w:spacing w:before="0" w:after="0" w:line="360" w:lineRule="auto"/>
        <w:jc w:val="both"/>
        <w:rPr>
          <w:b/>
          <w:iCs/>
          <w:sz w:val="24"/>
          <w:lang w:val="id-ID"/>
        </w:rPr>
      </w:pPr>
      <w:r w:rsidRPr="00AE3191">
        <w:rPr>
          <w:b/>
          <w:iCs/>
          <w:sz w:val="24"/>
          <w:lang w:val="en-US"/>
        </w:rPr>
        <w:t>RESULT AND DISCUSSION</w:t>
      </w:r>
    </w:p>
    <w:p w14:paraId="293D8178" w14:textId="77777777" w:rsidR="000B02B6" w:rsidRPr="00BE5E82" w:rsidRDefault="000B02B6" w:rsidP="00BE5E82">
      <w:pPr>
        <w:pStyle w:val="HTMLPreformatted"/>
        <w:spacing w:line="276" w:lineRule="auto"/>
        <w:ind w:left="360"/>
        <w:jc w:val="both"/>
        <w:rPr>
          <w:rFonts w:ascii="Times New Roman" w:hAnsi="Times New Roman" w:cs="Times New Roman"/>
          <w:color w:val="222222"/>
          <w:sz w:val="22"/>
          <w:szCs w:val="22"/>
          <w:lang w:val="en"/>
        </w:rPr>
      </w:pPr>
      <w:r w:rsidRPr="00AE3191">
        <w:rPr>
          <w:rFonts w:ascii="Times New Roman" w:hAnsi="Times New Roman" w:cs="Times New Roman"/>
          <w:color w:val="222222"/>
          <w:sz w:val="24"/>
          <w:szCs w:val="24"/>
          <w:lang w:val="en"/>
        </w:rPr>
        <w:tab/>
      </w:r>
      <w:r w:rsidRPr="00BE5E82">
        <w:rPr>
          <w:rFonts w:ascii="Times New Roman" w:hAnsi="Times New Roman" w:cs="Times New Roman"/>
          <w:color w:val="222222"/>
          <w:sz w:val="22"/>
          <w:szCs w:val="22"/>
          <w:lang w:val="en"/>
        </w:rPr>
        <w:t>Before the two groups of samples were given different treatments, firstly they were given a pretest which aimed to test homogeneity and normality and to know the picture about the initial abilities of each student in both classes. Based on the results of the study after the calculation is obtained the average pretest, posttest, standard deviation in the table below.</w:t>
      </w:r>
      <w:r w:rsidRPr="00BE5E82">
        <w:rPr>
          <w:rFonts w:ascii="Times New Roman" w:hAnsi="Times New Roman" w:cs="Times New Roman"/>
          <w:color w:val="222222"/>
          <w:sz w:val="22"/>
          <w:szCs w:val="22"/>
          <w:lang w:val="en"/>
        </w:rPr>
        <w:t xml:space="preserve"> </w:t>
      </w:r>
    </w:p>
    <w:p w14:paraId="31D9D8B9" w14:textId="25013568" w:rsidR="009C30E3" w:rsidRPr="00BE5E82" w:rsidRDefault="000B02B6"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b/>
      </w:r>
      <w:r w:rsidRPr="00BE5E82">
        <w:rPr>
          <w:rFonts w:ascii="Times New Roman" w:hAnsi="Times New Roman" w:cs="Times New Roman"/>
          <w:color w:val="222222"/>
          <w:sz w:val="22"/>
          <w:szCs w:val="22"/>
          <w:lang w:val="en"/>
        </w:rPr>
        <w:t xml:space="preserve">Based on the results of the pretest obtained an average pretest value for experimental class 1 of 28.125 with the highest value of 45 and the lowest value of 10 with a standard deviation of 8.29. Whereas the posttest value obtained an average value of 67.25 with the highest score being 80 and the lowest value of 50 and the standard deviation of 6.40. Meanwhile, the average pretest value for experimental class 2 was 29.25 with the highest value 45 and the lowest value was 10 and the standard deviation was 9.02. As for the posttest value obtained an average of 79.5 with the </w:t>
      </w:r>
      <w:r w:rsidRPr="00BE5E82">
        <w:rPr>
          <w:rFonts w:ascii="Times New Roman" w:hAnsi="Times New Roman" w:cs="Times New Roman"/>
          <w:color w:val="222222"/>
          <w:sz w:val="22"/>
          <w:szCs w:val="22"/>
          <w:lang w:val="en"/>
        </w:rPr>
        <w:lastRenderedPageBreak/>
        <w:t xml:space="preserve">highest value of 90 and the lowest value of 65 and a standard deviation of 5.28. Based on the results of the study after the calculation is obtained the average pretest, posttest, standard deviation as stated in the average table </w:t>
      </w:r>
      <w:r w:rsidR="006B28CD" w:rsidRPr="00BE5E82">
        <w:rPr>
          <w:rFonts w:ascii="Times New Roman" w:hAnsi="Times New Roman" w:cs="Times New Roman"/>
          <w:color w:val="222222"/>
          <w:sz w:val="22"/>
          <w:szCs w:val="22"/>
          <w:lang w:val="en"/>
        </w:rPr>
        <w:t xml:space="preserve">2 </w:t>
      </w:r>
      <w:r w:rsidRPr="00BE5E82">
        <w:rPr>
          <w:rFonts w:ascii="Times New Roman" w:hAnsi="Times New Roman" w:cs="Times New Roman"/>
          <w:color w:val="222222"/>
          <w:sz w:val="22"/>
          <w:szCs w:val="22"/>
          <w:lang w:val="en"/>
        </w:rPr>
        <w:t>(</w:t>
      </w:r>
      <w:r w:rsidRPr="00BE5E82">
        <w:rPr>
          <w:rFonts w:ascii="Times New Roman" w:hAnsi="Times New Roman" w:cs="Times New Roman"/>
          <w:position w:val="-4"/>
          <w:sz w:val="22"/>
          <w:szCs w:val="22"/>
          <w:lang w:val="id-ID"/>
        </w:rPr>
        <w:object w:dxaOrig="279" w:dyaOrig="320" w14:anchorId="1BD86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5.75pt" o:ole="">
            <v:imagedata r:id="rId17" o:title=""/>
          </v:shape>
          <o:OLEObject Type="Embed" ProgID="Equation.3" ShapeID="_x0000_i1030" DrawAspect="Content" ObjectID="_1657635953" r:id="rId18"/>
        </w:object>
      </w:r>
      <w:r w:rsidRPr="00BE5E82">
        <w:rPr>
          <w:rFonts w:ascii="Times New Roman" w:hAnsi="Times New Roman" w:cs="Times New Roman"/>
          <w:color w:val="222222"/>
          <w:sz w:val="22"/>
          <w:szCs w:val="22"/>
          <w:lang w:val="en"/>
        </w:rPr>
        <w:t>) and standard deviation (SD).</w:t>
      </w:r>
    </w:p>
    <w:p w14:paraId="1E733A60" w14:textId="45932C2C" w:rsidR="00EF24B2" w:rsidRPr="00F76246" w:rsidRDefault="00EF24B2" w:rsidP="00F76246">
      <w:pPr>
        <w:pStyle w:val="HTMLPreformatted"/>
        <w:spacing w:line="276" w:lineRule="auto"/>
        <w:ind w:left="360"/>
        <w:jc w:val="center"/>
        <w:rPr>
          <w:rFonts w:ascii="Times New Roman" w:hAnsi="Times New Roman" w:cs="Times New Roman"/>
          <w:b/>
          <w:bCs/>
          <w:color w:val="222222"/>
          <w:sz w:val="22"/>
          <w:szCs w:val="22"/>
          <w:shd w:val="clear" w:color="auto" w:fill="FFFFFF" w:themeFill="background1"/>
          <w:lang w:val="en"/>
        </w:rPr>
      </w:pPr>
      <w:r w:rsidRPr="00F76246">
        <w:rPr>
          <w:rFonts w:ascii="Times New Roman" w:hAnsi="Times New Roman" w:cs="Times New Roman"/>
          <w:b/>
          <w:bCs/>
          <w:color w:val="222222"/>
          <w:sz w:val="22"/>
          <w:szCs w:val="22"/>
          <w:shd w:val="clear" w:color="auto" w:fill="FFFFFF" w:themeFill="background1"/>
        </w:rPr>
        <w:t xml:space="preserve">Table 2. </w:t>
      </w:r>
      <w:r w:rsidRPr="00BF15EF">
        <w:rPr>
          <w:rFonts w:ascii="Times New Roman" w:hAnsi="Times New Roman" w:cs="Times New Roman"/>
          <w:color w:val="222222"/>
          <w:sz w:val="22"/>
          <w:szCs w:val="22"/>
          <w:shd w:val="clear" w:color="auto" w:fill="FFFFFF" w:themeFill="background1"/>
        </w:rPr>
        <w:t>Average and Standard Deviation</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47"/>
        <w:gridCol w:w="1634"/>
        <w:gridCol w:w="1299"/>
        <w:gridCol w:w="1243"/>
      </w:tblGrid>
      <w:tr w:rsidR="00EF24B2" w:rsidRPr="00BE5E82" w14:paraId="48144B98" w14:textId="77777777" w:rsidTr="00C90586">
        <w:trPr>
          <w:jc w:val="center"/>
        </w:trPr>
        <w:tc>
          <w:tcPr>
            <w:tcW w:w="547" w:type="dxa"/>
            <w:tcBorders>
              <w:bottom w:val="single" w:sz="4" w:space="0" w:color="auto"/>
            </w:tcBorders>
          </w:tcPr>
          <w:p w14:paraId="3C01B08D" w14:textId="77777777" w:rsidR="00EF24B2" w:rsidRPr="00BE5E82" w:rsidRDefault="00EF24B2" w:rsidP="00BE5E82">
            <w:pPr>
              <w:pStyle w:val="IEEETableCell"/>
              <w:spacing w:line="276" w:lineRule="auto"/>
              <w:jc w:val="both"/>
              <w:rPr>
                <w:b/>
                <w:sz w:val="22"/>
                <w:szCs w:val="22"/>
              </w:rPr>
            </w:pPr>
            <w:r w:rsidRPr="00BE5E82">
              <w:rPr>
                <w:b/>
                <w:sz w:val="22"/>
                <w:szCs w:val="22"/>
              </w:rPr>
              <w:t>No</w:t>
            </w:r>
          </w:p>
        </w:tc>
        <w:tc>
          <w:tcPr>
            <w:tcW w:w="1634" w:type="dxa"/>
            <w:tcBorders>
              <w:bottom w:val="single" w:sz="4" w:space="0" w:color="auto"/>
            </w:tcBorders>
          </w:tcPr>
          <w:p w14:paraId="27DEE272" w14:textId="77777777" w:rsidR="00EF24B2" w:rsidRPr="00BE5E82" w:rsidRDefault="00EF24B2" w:rsidP="00BE5E82">
            <w:pPr>
              <w:pStyle w:val="IEEETableCell"/>
              <w:spacing w:line="276" w:lineRule="auto"/>
              <w:jc w:val="both"/>
              <w:rPr>
                <w:b/>
                <w:sz w:val="22"/>
                <w:szCs w:val="22"/>
              </w:rPr>
            </w:pPr>
            <w:r w:rsidRPr="00BE5E82">
              <w:rPr>
                <w:b/>
                <w:sz w:val="22"/>
                <w:szCs w:val="22"/>
              </w:rPr>
              <w:t>Name</w:t>
            </w:r>
          </w:p>
        </w:tc>
        <w:tc>
          <w:tcPr>
            <w:tcW w:w="1299" w:type="dxa"/>
            <w:tcBorders>
              <w:bottom w:val="single" w:sz="4" w:space="0" w:color="auto"/>
            </w:tcBorders>
          </w:tcPr>
          <w:p w14:paraId="2CA2055C" w14:textId="77777777" w:rsidR="00EF24B2" w:rsidRPr="00BE5E82" w:rsidRDefault="00EF24B2" w:rsidP="00BE5E82">
            <w:pPr>
              <w:pStyle w:val="IEEETableCell"/>
              <w:spacing w:line="276" w:lineRule="auto"/>
              <w:jc w:val="both"/>
              <w:rPr>
                <w:b/>
                <w:sz w:val="22"/>
                <w:szCs w:val="22"/>
              </w:rPr>
            </w:pPr>
            <w:r w:rsidRPr="00BE5E82">
              <w:rPr>
                <w:b/>
                <w:sz w:val="22"/>
                <w:szCs w:val="22"/>
              </w:rPr>
              <w:t>Pretes</w:t>
            </w:r>
          </w:p>
        </w:tc>
        <w:tc>
          <w:tcPr>
            <w:tcW w:w="1243" w:type="dxa"/>
            <w:tcBorders>
              <w:bottom w:val="single" w:sz="4" w:space="0" w:color="auto"/>
            </w:tcBorders>
          </w:tcPr>
          <w:p w14:paraId="5EB45B02" w14:textId="77777777" w:rsidR="00EF24B2" w:rsidRPr="00BE5E82" w:rsidRDefault="00EF24B2" w:rsidP="00BE5E82">
            <w:pPr>
              <w:pStyle w:val="IEEETableCell"/>
              <w:spacing w:line="276" w:lineRule="auto"/>
              <w:jc w:val="both"/>
              <w:rPr>
                <w:b/>
                <w:sz w:val="22"/>
                <w:szCs w:val="22"/>
              </w:rPr>
            </w:pPr>
            <w:r w:rsidRPr="00BE5E82">
              <w:rPr>
                <w:b/>
                <w:sz w:val="22"/>
                <w:szCs w:val="22"/>
              </w:rPr>
              <w:t>Postes</w:t>
            </w:r>
          </w:p>
        </w:tc>
      </w:tr>
      <w:tr w:rsidR="00EF24B2" w:rsidRPr="00BE5E82" w14:paraId="35A0E8B2" w14:textId="77777777" w:rsidTr="00C90586">
        <w:trPr>
          <w:jc w:val="center"/>
        </w:trPr>
        <w:tc>
          <w:tcPr>
            <w:tcW w:w="547" w:type="dxa"/>
            <w:tcBorders>
              <w:top w:val="single" w:sz="4" w:space="0" w:color="auto"/>
              <w:bottom w:val="single" w:sz="4" w:space="0" w:color="auto"/>
            </w:tcBorders>
          </w:tcPr>
          <w:p w14:paraId="4DA4E753" w14:textId="77777777" w:rsidR="00EF24B2" w:rsidRPr="00BE5E82" w:rsidRDefault="00EF24B2" w:rsidP="00BE5E82">
            <w:pPr>
              <w:pStyle w:val="IEEETableCell"/>
              <w:spacing w:line="276" w:lineRule="auto"/>
              <w:jc w:val="both"/>
              <w:rPr>
                <w:sz w:val="22"/>
                <w:szCs w:val="22"/>
              </w:rPr>
            </w:pPr>
            <w:r w:rsidRPr="00BE5E82">
              <w:rPr>
                <w:sz w:val="22"/>
                <w:szCs w:val="22"/>
              </w:rPr>
              <w:t>1</w:t>
            </w:r>
          </w:p>
        </w:tc>
        <w:tc>
          <w:tcPr>
            <w:tcW w:w="1634" w:type="dxa"/>
            <w:tcBorders>
              <w:top w:val="single" w:sz="4" w:space="0" w:color="auto"/>
              <w:bottom w:val="single" w:sz="4" w:space="0" w:color="auto"/>
            </w:tcBorders>
          </w:tcPr>
          <w:p w14:paraId="4A4B4493" w14:textId="77777777" w:rsidR="00EF24B2" w:rsidRPr="00BE5E82" w:rsidRDefault="00EF24B2" w:rsidP="00BE5E82">
            <w:pPr>
              <w:pStyle w:val="HTMLPreformatted"/>
              <w:spacing w:line="276" w:lineRule="auto"/>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lang w:val="en"/>
              </w:rPr>
              <w:t>Experiment 1</w:t>
            </w:r>
          </w:p>
        </w:tc>
        <w:tc>
          <w:tcPr>
            <w:tcW w:w="1299" w:type="dxa"/>
            <w:tcBorders>
              <w:top w:val="single" w:sz="4" w:space="0" w:color="auto"/>
              <w:bottom w:val="single" w:sz="4" w:space="0" w:color="auto"/>
            </w:tcBorders>
          </w:tcPr>
          <w:p w14:paraId="4492AB0C" w14:textId="77777777" w:rsidR="00EF24B2" w:rsidRPr="00BE5E82" w:rsidRDefault="00EF24B2" w:rsidP="00BE5E82">
            <w:pPr>
              <w:pStyle w:val="IEEETableCell"/>
              <w:spacing w:line="276" w:lineRule="auto"/>
              <w:jc w:val="both"/>
              <w:rPr>
                <w:sz w:val="22"/>
                <w:szCs w:val="22"/>
                <w:lang w:val="en-US"/>
              </w:rPr>
            </w:pPr>
            <w:r w:rsidRPr="00BE5E82">
              <w:rPr>
                <w:position w:val="-4"/>
                <w:sz w:val="22"/>
                <w:szCs w:val="22"/>
                <w:lang w:val="id-ID"/>
              </w:rPr>
              <w:object w:dxaOrig="279" w:dyaOrig="320" w14:anchorId="52D728D3">
                <v:shape id="_x0000_i1037" type="#_x0000_t75" style="width:14.25pt;height:15.75pt" o:ole="">
                  <v:imagedata r:id="rId17" o:title=""/>
                </v:shape>
                <o:OLEObject Type="Embed" ProgID="Equation.3" ShapeID="_x0000_i1037" DrawAspect="Content" ObjectID="_1657635954" r:id="rId19"/>
              </w:object>
            </w:r>
            <w:r w:rsidRPr="00BE5E82">
              <w:rPr>
                <w:sz w:val="22"/>
                <w:szCs w:val="22"/>
                <w:lang w:val="en-US"/>
              </w:rPr>
              <w:t>=28,125</w:t>
            </w:r>
          </w:p>
          <w:p w14:paraId="49B8B790" w14:textId="77777777" w:rsidR="00EF24B2" w:rsidRPr="00BE5E82" w:rsidRDefault="00EF24B2" w:rsidP="00BE5E82">
            <w:pPr>
              <w:pStyle w:val="IEEETableCell"/>
              <w:spacing w:line="276" w:lineRule="auto"/>
              <w:jc w:val="both"/>
              <w:rPr>
                <w:sz w:val="22"/>
                <w:szCs w:val="22"/>
                <w:lang w:val="en-US"/>
              </w:rPr>
            </w:pPr>
            <w:r w:rsidRPr="00BE5E82">
              <w:rPr>
                <w:sz w:val="22"/>
                <w:szCs w:val="22"/>
                <w:lang w:val="en-US"/>
              </w:rPr>
              <w:t>SD = 8,29</w:t>
            </w:r>
          </w:p>
        </w:tc>
        <w:tc>
          <w:tcPr>
            <w:tcW w:w="1243" w:type="dxa"/>
            <w:tcBorders>
              <w:top w:val="single" w:sz="4" w:space="0" w:color="auto"/>
              <w:bottom w:val="single" w:sz="4" w:space="0" w:color="auto"/>
            </w:tcBorders>
          </w:tcPr>
          <w:p w14:paraId="4E66DEBC" w14:textId="77777777" w:rsidR="00EF24B2" w:rsidRPr="00BE5E82" w:rsidRDefault="00EF24B2" w:rsidP="00BE5E82">
            <w:pPr>
              <w:pStyle w:val="IEEETableCell"/>
              <w:spacing w:line="276" w:lineRule="auto"/>
              <w:jc w:val="both"/>
              <w:rPr>
                <w:sz w:val="22"/>
                <w:szCs w:val="22"/>
                <w:lang w:val="en-US"/>
              </w:rPr>
            </w:pPr>
            <w:r w:rsidRPr="00BE5E82">
              <w:rPr>
                <w:position w:val="-4"/>
                <w:sz w:val="22"/>
                <w:szCs w:val="22"/>
                <w:lang w:val="id-ID"/>
              </w:rPr>
              <w:object w:dxaOrig="279" w:dyaOrig="320" w14:anchorId="23461327">
                <v:shape id="_x0000_i1038" type="#_x0000_t75" style="width:14.25pt;height:15.75pt" o:ole="">
                  <v:imagedata r:id="rId17" o:title=""/>
                </v:shape>
                <o:OLEObject Type="Embed" ProgID="Equation.3" ShapeID="_x0000_i1038" DrawAspect="Content" ObjectID="_1657635955" r:id="rId20"/>
              </w:object>
            </w:r>
            <w:r w:rsidRPr="00BE5E82">
              <w:rPr>
                <w:sz w:val="22"/>
                <w:szCs w:val="22"/>
                <w:lang w:val="en-US"/>
              </w:rPr>
              <w:t>= 67,25</w:t>
            </w:r>
          </w:p>
          <w:p w14:paraId="5B7BC0D1" w14:textId="77777777" w:rsidR="00EF24B2" w:rsidRPr="00BE5E82" w:rsidRDefault="00EF24B2" w:rsidP="00BE5E82">
            <w:pPr>
              <w:pStyle w:val="IEEETableCell"/>
              <w:spacing w:line="276" w:lineRule="auto"/>
              <w:jc w:val="both"/>
              <w:rPr>
                <w:sz w:val="22"/>
                <w:szCs w:val="22"/>
                <w:lang w:val="en-US"/>
              </w:rPr>
            </w:pPr>
            <w:r w:rsidRPr="00BE5E82">
              <w:rPr>
                <w:sz w:val="22"/>
                <w:szCs w:val="22"/>
                <w:lang w:val="en-US"/>
              </w:rPr>
              <w:t>SD = 6,40</w:t>
            </w:r>
          </w:p>
        </w:tc>
      </w:tr>
      <w:tr w:rsidR="00EF24B2" w:rsidRPr="00BE5E82" w14:paraId="3B6F9CFB" w14:textId="77777777" w:rsidTr="00C90586">
        <w:trPr>
          <w:jc w:val="center"/>
        </w:trPr>
        <w:tc>
          <w:tcPr>
            <w:tcW w:w="547" w:type="dxa"/>
            <w:tcBorders>
              <w:top w:val="single" w:sz="4" w:space="0" w:color="auto"/>
            </w:tcBorders>
          </w:tcPr>
          <w:p w14:paraId="790BB52D" w14:textId="77777777" w:rsidR="00EF24B2" w:rsidRPr="00BE5E82" w:rsidRDefault="00EF24B2" w:rsidP="00BE5E82">
            <w:pPr>
              <w:pStyle w:val="IEEETableCell"/>
              <w:spacing w:line="276" w:lineRule="auto"/>
              <w:jc w:val="both"/>
              <w:rPr>
                <w:sz w:val="22"/>
                <w:szCs w:val="22"/>
              </w:rPr>
            </w:pPr>
            <w:r w:rsidRPr="00BE5E82">
              <w:rPr>
                <w:sz w:val="22"/>
                <w:szCs w:val="22"/>
              </w:rPr>
              <w:t>2</w:t>
            </w:r>
          </w:p>
        </w:tc>
        <w:tc>
          <w:tcPr>
            <w:tcW w:w="1634" w:type="dxa"/>
            <w:tcBorders>
              <w:top w:val="single" w:sz="4" w:space="0" w:color="auto"/>
            </w:tcBorders>
          </w:tcPr>
          <w:p w14:paraId="5132683F" w14:textId="77777777" w:rsidR="00EF24B2" w:rsidRPr="00BE5E82" w:rsidRDefault="00EF24B2" w:rsidP="00BE5E82">
            <w:pPr>
              <w:pStyle w:val="HTMLPreformatted"/>
              <w:spacing w:line="276" w:lineRule="auto"/>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lang w:val="en"/>
              </w:rPr>
              <w:t>Experiment 2</w:t>
            </w:r>
          </w:p>
          <w:p w14:paraId="15D61E1E" w14:textId="77777777" w:rsidR="00EF24B2" w:rsidRPr="00BE5E82" w:rsidRDefault="00EF24B2" w:rsidP="00BE5E82">
            <w:pPr>
              <w:pStyle w:val="IEEETableCell"/>
              <w:spacing w:line="276" w:lineRule="auto"/>
              <w:jc w:val="both"/>
              <w:rPr>
                <w:sz w:val="22"/>
                <w:szCs w:val="22"/>
              </w:rPr>
            </w:pPr>
          </w:p>
        </w:tc>
        <w:tc>
          <w:tcPr>
            <w:tcW w:w="1299" w:type="dxa"/>
            <w:tcBorders>
              <w:top w:val="single" w:sz="4" w:space="0" w:color="auto"/>
            </w:tcBorders>
          </w:tcPr>
          <w:p w14:paraId="524E2795" w14:textId="77777777" w:rsidR="00EF24B2" w:rsidRPr="00BE5E82" w:rsidRDefault="00EF24B2" w:rsidP="00BE5E82">
            <w:pPr>
              <w:pStyle w:val="IEEETableCell"/>
              <w:spacing w:line="276" w:lineRule="auto"/>
              <w:jc w:val="both"/>
              <w:rPr>
                <w:sz w:val="22"/>
                <w:szCs w:val="22"/>
                <w:lang w:val="en-US"/>
              </w:rPr>
            </w:pPr>
            <w:r w:rsidRPr="00BE5E82">
              <w:rPr>
                <w:position w:val="-4"/>
                <w:sz w:val="22"/>
                <w:szCs w:val="22"/>
                <w:lang w:val="id-ID"/>
              </w:rPr>
              <w:object w:dxaOrig="279" w:dyaOrig="320" w14:anchorId="5259733E">
                <v:shape id="_x0000_i1039" type="#_x0000_t75" style="width:14.25pt;height:15.75pt" o:ole="">
                  <v:imagedata r:id="rId17" o:title=""/>
                </v:shape>
                <o:OLEObject Type="Embed" ProgID="Equation.3" ShapeID="_x0000_i1039" DrawAspect="Content" ObjectID="_1657635956" r:id="rId21"/>
              </w:object>
            </w:r>
            <w:r w:rsidRPr="00BE5E82">
              <w:rPr>
                <w:sz w:val="22"/>
                <w:szCs w:val="22"/>
                <w:lang w:val="en-US"/>
              </w:rPr>
              <w:t>= 29,25</w:t>
            </w:r>
          </w:p>
          <w:p w14:paraId="1B51724C" w14:textId="77777777" w:rsidR="00EF24B2" w:rsidRPr="00BE5E82" w:rsidRDefault="00EF24B2" w:rsidP="00BE5E82">
            <w:pPr>
              <w:pStyle w:val="IEEETableCell"/>
              <w:spacing w:line="276" w:lineRule="auto"/>
              <w:jc w:val="both"/>
              <w:rPr>
                <w:sz w:val="22"/>
                <w:szCs w:val="22"/>
                <w:lang w:val="en-US"/>
              </w:rPr>
            </w:pPr>
            <w:r w:rsidRPr="00BE5E82">
              <w:rPr>
                <w:sz w:val="22"/>
                <w:szCs w:val="22"/>
                <w:lang w:val="en-US"/>
              </w:rPr>
              <w:t>SD = 9,02</w:t>
            </w:r>
          </w:p>
        </w:tc>
        <w:tc>
          <w:tcPr>
            <w:tcW w:w="1243" w:type="dxa"/>
            <w:tcBorders>
              <w:top w:val="single" w:sz="4" w:space="0" w:color="auto"/>
            </w:tcBorders>
          </w:tcPr>
          <w:p w14:paraId="1E9A880E" w14:textId="77777777" w:rsidR="00EF24B2" w:rsidRPr="00BE5E82" w:rsidRDefault="00EF24B2" w:rsidP="00BE5E82">
            <w:pPr>
              <w:pStyle w:val="IEEETableCell"/>
              <w:spacing w:line="276" w:lineRule="auto"/>
              <w:jc w:val="both"/>
              <w:rPr>
                <w:sz w:val="22"/>
                <w:szCs w:val="22"/>
                <w:lang w:val="en-US"/>
              </w:rPr>
            </w:pPr>
            <w:r w:rsidRPr="00BE5E82">
              <w:rPr>
                <w:position w:val="-4"/>
                <w:sz w:val="22"/>
                <w:szCs w:val="22"/>
                <w:lang w:val="id-ID"/>
              </w:rPr>
              <w:object w:dxaOrig="279" w:dyaOrig="320" w14:anchorId="4CA6F494">
                <v:shape id="_x0000_i1040" type="#_x0000_t75" style="width:14.25pt;height:15.75pt" o:ole="">
                  <v:imagedata r:id="rId17" o:title=""/>
                </v:shape>
                <o:OLEObject Type="Embed" ProgID="Equation.3" ShapeID="_x0000_i1040" DrawAspect="Content" ObjectID="_1657635957" r:id="rId22"/>
              </w:object>
            </w:r>
            <w:r w:rsidRPr="00BE5E82">
              <w:rPr>
                <w:sz w:val="22"/>
                <w:szCs w:val="22"/>
                <w:lang w:val="en-US"/>
              </w:rPr>
              <w:t>= 79,5</w:t>
            </w:r>
          </w:p>
          <w:p w14:paraId="29624EA3" w14:textId="77777777" w:rsidR="00EF24B2" w:rsidRPr="00BE5E82" w:rsidRDefault="00EF24B2" w:rsidP="00BE5E82">
            <w:pPr>
              <w:pStyle w:val="IEEETableCell"/>
              <w:spacing w:line="276" w:lineRule="auto"/>
              <w:jc w:val="both"/>
              <w:rPr>
                <w:sz w:val="22"/>
                <w:szCs w:val="22"/>
              </w:rPr>
            </w:pPr>
            <w:r w:rsidRPr="00BE5E82">
              <w:rPr>
                <w:sz w:val="22"/>
                <w:szCs w:val="22"/>
                <w:lang w:val="en-US"/>
              </w:rPr>
              <w:t xml:space="preserve">SD = 5,28 </w:t>
            </w:r>
          </w:p>
        </w:tc>
      </w:tr>
    </w:tbl>
    <w:p w14:paraId="08540EAF" w14:textId="0E95EEF0" w:rsidR="00EF24B2" w:rsidRPr="00BE5E82" w:rsidRDefault="00A10B7C"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b/>
      </w:r>
      <w:r w:rsidRPr="00BE5E82">
        <w:rPr>
          <w:rFonts w:ascii="Times New Roman" w:hAnsi="Times New Roman" w:cs="Times New Roman"/>
          <w:color w:val="222222"/>
          <w:sz w:val="22"/>
          <w:szCs w:val="22"/>
          <w:lang w:val="en"/>
        </w:rPr>
        <w:t>To test whether the data obtained in this study are normally distributed or not, it can be tested with the chi-square test (X</w:t>
      </w:r>
      <w:r w:rsidRPr="00B1015E">
        <w:rPr>
          <w:rFonts w:ascii="Times New Roman" w:hAnsi="Times New Roman" w:cs="Times New Roman"/>
          <w:color w:val="222222"/>
          <w:sz w:val="22"/>
          <w:szCs w:val="22"/>
          <w:vertAlign w:val="superscript"/>
          <w:lang w:val="en"/>
        </w:rPr>
        <w:t>2</w:t>
      </w:r>
      <w:r w:rsidRPr="00BE5E82">
        <w:rPr>
          <w:rFonts w:ascii="Times New Roman" w:hAnsi="Times New Roman" w:cs="Times New Roman"/>
          <w:color w:val="222222"/>
          <w:sz w:val="22"/>
          <w:szCs w:val="22"/>
          <w:lang w:val="en"/>
        </w:rPr>
        <w:t xml:space="preserve"> table) at a significant level, α = 0.05 and obtained data as stated in table 3.</w:t>
      </w:r>
    </w:p>
    <w:p w14:paraId="28FC222A" w14:textId="719FDBEA" w:rsidR="00A10B7C" w:rsidRPr="00BE5E82" w:rsidRDefault="00A10B7C" w:rsidP="00F76246">
      <w:pPr>
        <w:pStyle w:val="HTMLPreformatted"/>
        <w:spacing w:line="276" w:lineRule="auto"/>
        <w:jc w:val="center"/>
        <w:rPr>
          <w:rFonts w:ascii="Times New Roman" w:hAnsi="Times New Roman" w:cs="Times New Roman"/>
          <w:color w:val="222222"/>
          <w:sz w:val="22"/>
          <w:szCs w:val="22"/>
        </w:rPr>
      </w:pPr>
      <w:r w:rsidRPr="00BE5E82">
        <w:rPr>
          <w:rFonts w:ascii="Times New Roman" w:hAnsi="Times New Roman" w:cs="Times New Roman"/>
          <w:b/>
          <w:sz w:val="22"/>
          <w:szCs w:val="22"/>
          <w:lang w:val="sv-SE"/>
        </w:rPr>
        <w:t>Table</w:t>
      </w:r>
      <w:r w:rsidRPr="00BE5E82">
        <w:rPr>
          <w:rFonts w:ascii="Times New Roman" w:hAnsi="Times New Roman" w:cs="Times New Roman"/>
          <w:b/>
          <w:sz w:val="22"/>
          <w:szCs w:val="22"/>
          <w:lang w:val="id-ID"/>
        </w:rPr>
        <w:t xml:space="preserve"> </w:t>
      </w:r>
      <w:r w:rsidRPr="00BE5E82">
        <w:rPr>
          <w:rFonts w:ascii="Times New Roman" w:hAnsi="Times New Roman" w:cs="Times New Roman"/>
          <w:b/>
          <w:sz w:val="22"/>
          <w:szCs w:val="22"/>
        </w:rPr>
        <w:t xml:space="preserve">3. </w:t>
      </w:r>
      <w:r w:rsidRPr="00BE5E82">
        <w:rPr>
          <w:rFonts w:ascii="Times New Roman" w:hAnsi="Times New Roman" w:cs="Times New Roman"/>
          <w:color w:val="222222"/>
          <w:sz w:val="22"/>
          <w:szCs w:val="22"/>
          <w:lang w:val="en"/>
        </w:rPr>
        <w:t>Pretest Data Normality Test Table</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47"/>
        <w:gridCol w:w="1721"/>
        <w:gridCol w:w="1560"/>
        <w:gridCol w:w="1070"/>
      </w:tblGrid>
      <w:tr w:rsidR="00A10B7C" w:rsidRPr="00BE5E82" w14:paraId="59AA9ABF" w14:textId="77777777" w:rsidTr="00C90586">
        <w:trPr>
          <w:jc w:val="center"/>
        </w:trPr>
        <w:tc>
          <w:tcPr>
            <w:tcW w:w="547" w:type="dxa"/>
            <w:tcBorders>
              <w:bottom w:val="single" w:sz="4" w:space="0" w:color="auto"/>
            </w:tcBorders>
          </w:tcPr>
          <w:p w14:paraId="5C7EE475" w14:textId="77777777" w:rsidR="00A10B7C" w:rsidRPr="00BE5E82" w:rsidRDefault="00A10B7C" w:rsidP="00BE5E82">
            <w:pPr>
              <w:pStyle w:val="IEEETableCell"/>
              <w:spacing w:line="276" w:lineRule="auto"/>
              <w:jc w:val="both"/>
              <w:rPr>
                <w:b/>
                <w:sz w:val="22"/>
                <w:szCs w:val="22"/>
              </w:rPr>
            </w:pPr>
            <w:r w:rsidRPr="00BE5E82">
              <w:rPr>
                <w:b/>
                <w:sz w:val="22"/>
                <w:szCs w:val="22"/>
              </w:rPr>
              <w:t>No</w:t>
            </w:r>
          </w:p>
        </w:tc>
        <w:tc>
          <w:tcPr>
            <w:tcW w:w="1721" w:type="dxa"/>
            <w:tcBorders>
              <w:bottom w:val="single" w:sz="4" w:space="0" w:color="auto"/>
            </w:tcBorders>
          </w:tcPr>
          <w:p w14:paraId="0B0F41F6" w14:textId="77777777" w:rsidR="00A10B7C" w:rsidRPr="00BE5E82" w:rsidRDefault="00A10B7C" w:rsidP="00BE5E82">
            <w:pPr>
              <w:pStyle w:val="HTMLPreformatted"/>
              <w:spacing w:line="276" w:lineRule="auto"/>
              <w:jc w:val="both"/>
              <w:rPr>
                <w:rFonts w:ascii="Times New Roman" w:hAnsi="Times New Roman" w:cs="Times New Roman"/>
                <w:color w:val="222222"/>
                <w:sz w:val="22"/>
                <w:szCs w:val="22"/>
              </w:rPr>
            </w:pPr>
            <w:r w:rsidRPr="00BE5E82">
              <w:rPr>
                <w:rFonts w:ascii="Times New Roman" w:hAnsi="Times New Roman" w:cs="Times New Roman"/>
                <w:color w:val="222222"/>
                <w:sz w:val="22"/>
                <w:szCs w:val="22"/>
                <w:lang w:val="en"/>
              </w:rPr>
              <w:t>Class</w:t>
            </w:r>
          </w:p>
        </w:tc>
        <w:tc>
          <w:tcPr>
            <w:tcW w:w="1560" w:type="dxa"/>
            <w:tcBorders>
              <w:bottom w:val="single" w:sz="4" w:space="0" w:color="auto"/>
            </w:tcBorders>
          </w:tcPr>
          <w:p w14:paraId="63622B98" w14:textId="77777777" w:rsidR="00A10B7C" w:rsidRPr="00BE5E82" w:rsidRDefault="00A10B7C" w:rsidP="00BE5E82">
            <w:pPr>
              <w:pStyle w:val="IEEETableCell"/>
              <w:spacing w:line="276" w:lineRule="auto"/>
              <w:jc w:val="both"/>
              <w:rPr>
                <w:b/>
                <w:bCs/>
                <w:sz w:val="22"/>
                <w:szCs w:val="22"/>
                <w:lang w:val="en-US"/>
              </w:rPr>
            </w:pPr>
            <w:r w:rsidRPr="00BE5E82">
              <w:rPr>
                <w:b/>
                <w:bCs/>
                <w:sz w:val="22"/>
                <w:szCs w:val="22"/>
                <w:lang w:val="id-ID"/>
              </w:rPr>
              <w:t>X</w:t>
            </w:r>
            <w:r w:rsidRPr="00BE5E82">
              <w:rPr>
                <w:b/>
                <w:bCs/>
                <w:sz w:val="22"/>
                <w:szCs w:val="22"/>
                <w:vertAlign w:val="superscript"/>
                <w:lang w:val="id-ID"/>
              </w:rPr>
              <w:t xml:space="preserve">2 </w:t>
            </w:r>
            <w:r w:rsidRPr="00BE5E82">
              <w:rPr>
                <w:b/>
                <w:bCs/>
                <w:sz w:val="22"/>
                <w:szCs w:val="22"/>
                <w:lang w:val="en-US"/>
              </w:rPr>
              <w:t>account</w:t>
            </w:r>
          </w:p>
        </w:tc>
        <w:tc>
          <w:tcPr>
            <w:tcW w:w="1070" w:type="dxa"/>
            <w:tcBorders>
              <w:bottom w:val="single" w:sz="4" w:space="0" w:color="auto"/>
            </w:tcBorders>
          </w:tcPr>
          <w:p w14:paraId="482F4D05" w14:textId="77777777" w:rsidR="00A10B7C" w:rsidRPr="00BE5E82" w:rsidRDefault="00A10B7C" w:rsidP="00BE5E82">
            <w:pPr>
              <w:pStyle w:val="IEEETableCell"/>
              <w:spacing w:line="276" w:lineRule="auto"/>
              <w:jc w:val="both"/>
              <w:rPr>
                <w:b/>
                <w:bCs/>
                <w:sz w:val="22"/>
                <w:szCs w:val="22"/>
                <w:lang w:val="en-US"/>
              </w:rPr>
            </w:pPr>
            <w:r w:rsidRPr="00BE5E82">
              <w:rPr>
                <w:b/>
                <w:bCs/>
                <w:sz w:val="22"/>
                <w:szCs w:val="22"/>
                <w:lang w:val="id-ID"/>
              </w:rPr>
              <w:t>X</w:t>
            </w:r>
            <w:r w:rsidRPr="00BE5E82">
              <w:rPr>
                <w:b/>
                <w:bCs/>
                <w:sz w:val="22"/>
                <w:szCs w:val="22"/>
                <w:vertAlign w:val="superscript"/>
                <w:lang w:val="id-ID"/>
              </w:rPr>
              <w:t>2</w:t>
            </w:r>
            <w:r w:rsidRPr="00BE5E82">
              <w:rPr>
                <w:b/>
                <w:bCs/>
                <w:sz w:val="22"/>
                <w:szCs w:val="22"/>
                <w:lang w:val="id-ID"/>
              </w:rPr>
              <w:t xml:space="preserve"> ta</w:t>
            </w:r>
            <w:r w:rsidRPr="00BE5E82">
              <w:rPr>
                <w:b/>
                <w:bCs/>
                <w:sz w:val="22"/>
                <w:szCs w:val="22"/>
                <w:lang w:val="en-US"/>
              </w:rPr>
              <w:t>ble</w:t>
            </w:r>
          </w:p>
        </w:tc>
      </w:tr>
      <w:tr w:rsidR="00A10B7C" w:rsidRPr="00BE5E82" w14:paraId="070520A6" w14:textId="77777777" w:rsidTr="00C90586">
        <w:trPr>
          <w:jc w:val="center"/>
        </w:trPr>
        <w:tc>
          <w:tcPr>
            <w:tcW w:w="547" w:type="dxa"/>
            <w:tcBorders>
              <w:top w:val="single" w:sz="4" w:space="0" w:color="auto"/>
              <w:bottom w:val="single" w:sz="4" w:space="0" w:color="auto"/>
            </w:tcBorders>
          </w:tcPr>
          <w:p w14:paraId="00FF7ABD" w14:textId="77777777" w:rsidR="00A10B7C" w:rsidRPr="00BE5E82" w:rsidRDefault="00A10B7C" w:rsidP="00BE5E82">
            <w:pPr>
              <w:pStyle w:val="IEEETableCell"/>
              <w:spacing w:line="276" w:lineRule="auto"/>
              <w:jc w:val="both"/>
              <w:rPr>
                <w:sz w:val="22"/>
                <w:szCs w:val="22"/>
              </w:rPr>
            </w:pPr>
            <w:r w:rsidRPr="00BE5E82">
              <w:rPr>
                <w:sz w:val="22"/>
                <w:szCs w:val="22"/>
              </w:rPr>
              <w:t>1</w:t>
            </w:r>
          </w:p>
        </w:tc>
        <w:tc>
          <w:tcPr>
            <w:tcW w:w="1721" w:type="dxa"/>
            <w:tcBorders>
              <w:top w:val="single" w:sz="4" w:space="0" w:color="auto"/>
              <w:bottom w:val="single" w:sz="4" w:space="0" w:color="auto"/>
            </w:tcBorders>
          </w:tcPr>
          <w:p w14:paraId="641466F8" w14:textId="77777777" w:rsidR="00A10B7C" w:rsidRPr="00BE5E82" w:rsidRDefault="00A10B7C" w:rsidP="00BE5E82">
            <w:pPr>
              <w:pStyle w:val="IEEETableCell"/>
              <w:spacing w:line="276" w:lineRule="auto"/>
              <w:jc w:val="both"/>
              <w:rPr>
                <w:sz w:val="22"/>
                <w:szCs w:val="22"/>
              </w:rPr>
            </w:pPr>
            <w:r w:rsidRPr="00BE5E82">
              <w:rPr>
                <w:color w:val="222222"/>
                <w:sz w:val="22"/>
                <w:szCs w:val="22"/>
                <w:lang w:val="en"/>
              </w:rPr>
              <w:t>Experiment 1</w:t>
            </w:r>
          </w:p>
        </w:tc>
        <w:tc>
          <w:tcPr>
            <w:tcW w:w="1560" w:type="dxa"/>
            <w:tcBorders>
              <w:top w:val="single" w:sz="4" w:space="0" w:color="auto"/>
              <w:bottom w:val="single" w:sz="4" w:space="0" w:color="auto"/>
            </w:tcBorders>
          </w:tcPr>
          <w:p w14:paraId="7DBF2EC7" w14:textId="77777777" w:rsidR="00A10B7C" w:rsidRPr="00BE5E82" w:rsidRDefault="00A10B7C" w:rsidP="00BE5E82">
            <w:pPr>
              <w:pStyle w:val="IEEETableCell"/>
              <w:spacing w:line="276" w:lineRule="auto"/>
              <w:jc w:val="both"/>
              <w:rPr>
                <w:sz w:val="22"/>
                <w:szCs w:val="22"/>
              </w:rPr>
            </w:pPr>
            <w:r w:rsidRPr="00BE5E82">
              <w:rPr>
                <w:sz w:val="22"/>
                <w:szCs w:val="22"/>
                <w:lang w:val="id-ID"/>
              </w:rPr>
              <w:t>8,614</w:t>
            </w:r>
          </w:p>
        </w:tc>
        <w:tc>
          <w:tcPr>
            <w:tcW w:w="1070" w:type="dxa"/>
            <w:tcBorders>
              <w:top w:val="single" w:sz="4" w:space="0" w:color="auto"/>
              <w:bottom w:val="single" w:sz="4" w:space="0" w:color="auto"/>
            </w:tcBorders>
          </w:tcPr>
          <w:p w14:paraId="2A72892C" w14:textId="77777777" w:rsidR="00A10B7C" w:rsidRPr="00BE5E82" w:rsidRDefault="00A10B7C" w:rsidP="00BE5E82">
            <w:pPr>
              <w:pStyle w:val="IEEETableCell"/>
              <w:spacing w:line="276" w:lineRule="auto"/>
              <w:jc w:val="both"/>
              <w:rPr>
                <w:sz w:val="22"/>
                <w:szCs w:val="22"/>
              </w:rPr>
            </w:pPr>
            <w:r w:rsidRPr="00BE5E82">
              <w:rPr>
                <w:sz w:val="22"/>
                <w:szCs w:val="22"/>
                <w:lang w:val="id-ID"/>
              </w:rPr>
              <w:t>11,07</w:t>
            </w:r>
          </w:p>
        </w:tc>
      </w:tr>
      <w:tr w:rsidR="00A10B7C" w:rsidRPr="00BE5E82" w14:paraId="519F4E0A" w14:textId="77777777" w:rsidTr="00C90586">
        <w:trPr>
          <w:jc w:val="center"/>
        </w:trPr>
        <w:tc>
          <w:tcPr>
            <w:tcW w:w="547" w:type="dxa"/>
            <w:tcBorders>
              <w:top w:val="single" w:sz="4" w:space="0" w:color="auto"/>
            </w:tcBorders>
          </w:tcPr>
          <w:p w14:paraId="6AC2349A" w14:textId="77777777" w:rsidR="00A10B7C" w:rsidRPr="00BE5E82" w:rsidRDefault="00A10B7C" w:rsidP="00BE5E82">
            <w:pPr>
              <w:pStyle w:val="IEEETableCell"/>
              <w:spacing w:line="276" w:lineRule="auto"/>
              <w:jc w:val="both"/>
              <w:rPr>
                <w:sz w:val="22"/>
                <w:szCs w:val="22"/>
              </w:rPr>
            </w:pPr>
            <w:r w:rsidRPr="00BE5E82">
              <w:rPr>
                <w:sz w:val="22"/>
                <w:szCs w:val="22"/>
              </w:rPr>
              <w:t>2</w:t>
            </w:r>
          </w:p>
        </w:tc>
        <w:tc>
          <w:tcPr>
            <w:tcW w:w="1721" w:type="dxa"/>
            <w:tcBorders>
              <w:top w:val="single" w:sz="4" w:space="0" w:color="auto"/>
            </w:tcBorders>
          </w:tcPr>
          <w:p w14:paraId="3768EFE8" w14:textId="77777777" w:rsidR="00A10B7C" w:rsidRPr="00BE5E82" w:rsidRDefault="00A10B7C" w:rsidP="00BE5E82">
            <w:pPr>
              <w:pStyle w:val="IEEETableCell"/>
              <w:spacing w:line="276" w:lineRule="auto"/>
              <w:jc w:val="both"/>
              <w:rPr>
                <w:sz w:val="22"/>
                <w:szCs w:val="22"/>
              </w:rPr>
            </w:pPr>
            <w:r w:rsidRPr="00BE5E82">
              <w:rPr>
                <w:color w:val="222222"/>
                <w:sz w:val="22"/>
                <w:szCs w:val="22"/>
                <w:lang w:val="en"/>
              </w:rPr>
              <w:t>Experiment 2</w:t>
            </w:r>
          </w:p>
        </w:tc>
        <w:tc>
          <w:tcPr>
            <w:tcW w:w="1560" w:type="dxa"/>
            <w:tcBorders>
              <w:top w:val="single" w:sz="4" w:space="0" w:color="auto"/>
            </w:tcBorders>
          </w:tcPr>
          <w:p w14:paraId="4FC869B4" w14:textId="77777777" w:rsidR="00A10B7C" w:rsidRPr="00BE5E82" w:rsidRDefault="00A10B7C" w:rsidP="00BE5E82">
            <w:pPr>
              <w:pStyle w:val="IEEETableCell"/>
              <w:spacing w:line="276" w:lineRule="auto"/>
              <w:jc w:val="both"/>
              <w:rPr>
                <w:sz w:val="22"/>
                <w:szCs w:val="22"/>
              </w:rPr>
            </w:pPr>
            <w:r w:rsidRPr="00BE5E82">
              <w:rPr>
                <w:sz w:val="22"/>
                <w:szCs w:val="22"/>
                <w:lang w:val="id-ID"/>
              </w:rPr>
              <w:t>9,928</w:t>
            </w:r>
          </w:p>
        </w:tc>
        <w:tc>
          <w:tcPr>
            <w:tcW w:w="1070" w:type="dxa"/>
            <w:tcBorders>
              <w:top w:val="single" w:sz="4" w:space="0" w:color="auto"/>
            </w:tcBorders>
          </w:tcPr>
          <w:p w14:paraId="568BF0BC" w14:textId="77777777" w:rsidR="00A10B7C" w:rsidRPr="00BE5E82" w:rsidRDefault="00A10B7C" w:rsidP="00BE5E82">
            <w:pPr>
              <w:pStyle w:val="IEEETableCell"/>
              <w:spacing w:line="276" w:lineRule="auto"/>
              <w:jc w:val="both"/>
              <w:rPr>
                <w:sz w:val="22"/>
                <w:szCs w:val="22"/>
              </w:rPr>
            </w:pPr>
            <w:r w:rsidRPr="00BE5E82">
              <w:rPr>
                <w:sz w:val="22"/>
                <w:szCs w:val="22"/>
                <w:lang w:val="id-ID"/>
              </w:rPr>
              <w:t>11,07</w:t>
            </w:r>
          </w:p>
        </w:tc>
      </w:tr>
    </w:tbl>
    <w:p w14:paraId="128ABD6F" w14:textId="417C8839" w:rsidR="00A10B7C" w:rsidRPr="00BE5E82" w:rsidRDefault="001062FC" w:rsidP="00BE5E82">
      <w:pPr>
        <w:pStyle w:val="HTMLPreformatted"/>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b/>
      </w:r>
      <w:r w:rsidRPr="00BE5E82">
        <w:rPr>
          <w:rFonts w:ascii="Times New Roman" w:hAnsi="Times New Roman" w:cs="Times New Roman"/>
          <w:color w:val="222222"/>
          <w:sz w:val="22"/>
          <w:szCs w:val="22"/>
          <w:lang w:val="en"/>
        </w:rPr>
        <w:t>From the table, it can be seen that the pretest data obtained in the study is normally distributed, where X</w:t>
      </w:r>
      <w:r w:rsidRPr="007C614B">
        <w:rPr>
          <w:rFonts w:ascii="Times New Roman" w:hAnsi="Times New Roman" w:cs="Times New Roman"/>
          <w:color w:val="222222"/>
          <w:sz w:val="22"/>
          <w:szCs w:val="22"/>
          <w:vertAlign w:val="superscript"/>
          <w:lang w:val="en"/>
        </w:rPr>
        <w:t>2</w:t>
      </w:r>
      <w:r w:rsidRPr="00BE5E82">
        <w:rPr>
          <w:rFonts w:ascii="Times New Roman" w:hAnsi="Times New Roman" w:cs="Times New Roman"/>
          <w:color w:val="222222"/>
          <w:sz w:val="22"/>
          <w:szCs w:val="22"/>
          <w:lang w:val="en"/>
        </w:rPr>
        <w:t xml:space="preserve"> count of experimental class 1 is 8.614 and </w:t>
      </w:r>
      <w:r w:rsidR="0076213C" w:rsidRPr="00BE5E82">
        <w:rPr>
          <w:rFonts w:ascii="Times New Roman" w:hAnsi="Times New Roman" w:cs="Times New Roman"/>
          <w:color w:val="222222"/>
          <w:sz w:val="22"/>
          <w:szCs w:val="22"/>
          <w:lang w:val="en"/>
        </w:rPr>
        <w:t>X</w:t>
      </w:r>
      <w:r w:rsidR="0076213C" w:rsidRPr="007C614B">
        <w:rPr>
          <w:rFonts w:ascii="Times New Roman" w:hAnsi="Times New Roman" w:cs="Times New Roman"/>
          <w:color w:val="222222"/>
          <w:sz w:val="22"/>
          <w:szCs w:val="22"/>
          <w:vertAlign w:val="superscript"/>
          <w:lang w:val="en"/>
        </w:rPr>
        <w:t>2</w:t>
      </w:r>
      <w:r w:rsidR="0076213C" w:rsidRPr="00BE5E82">
        <w:rPr>
          <w:rFonts w:ascii="Times New Roman" w:hAnsi="Times New Roman" w:cs="Times New Roman"/>
          <w:color w:val="222222"/>
          <w:sz w:val="22"/>
          <w:szCs w:val="22"/>
          <w:lang w:val="en"/>
        </w:rPr>
        <w:t xml:space="preserve"> count </w:t>
      </w:r>
      <w:r w:rsidRPr="00BE5E82">
        <w:rPr>
          <w:rFonts w:ascii="Times New Roman" w:hAnsi="Times New Roman" w:cs="Times New Roman"/>
          <w:color w:val="222222"/>
          <w:sz w:val="22"/>
          <w:szCs w:val="22"/>
          <w:lang w:val="en"/>
        </w:rPr>
        <w:t>of experimental class 2 is 9.928, smaller than X</w:t>
      </w:r>
      <w:r w:rsidRPr="007C614B">
        <w:rPr>
          <w:rFonts w:ascii="Times New Roman" w:hAnsi="Times New Roman" w:cs="Times New Roman"/>
          <w:color w:val="222222"/>
          <w:sz w:val="22"/>
          <w:szCs w:val="22"/>
          <w:vertAlign w:val="superscript"/>
          <w:lang w:val="en"/>
        </w:rPr>
        <w:t xml:space="preserve">2 </w:t>
      </w:r>
      <w:r w:rsidRPr="00BE5E82">
        <w:rPr>
          <w:rFonts w:ascii="Times New Roman" w:hAnsi="Times New Roman" w:cs="Times New Roman"/>
          <w:color w:val="222222"/>
          <w:sz w:val="22"/>
          <w:szCs w:val="22"/>
          <w:lang w:val="en"/>
        </w:rPr>
        <w:t>table, which is 11.07.</w:t>
      </w:r>
    </w:p>
    <w:p w14:paraId="63CDD703" w14:textId="19D9444F" w:rsidR="001062FC" w:rsidRPr="00BE5E82" w:rsidRDefault="001062FC" w:rsidP="00BF15EF">
      <w:pPr>
        <w:pStyle w:val="HTMLPreformatted"/>
        <w:spacing w:line="276" w:lineRule="auto"/>
        <w:jc w:val="center"/>
        <w:rPr>
          <w:rFonts w:ascii="Times New Roman" w:hAnsi="Times New Roman" w:cs="Times New Roman"/>
          <w:color w:val="222222"/>
          <w:sz w:val="22"/>
          <w:szCs w:val="22"/>
        </w:rPr>
      </w:pPr>
      <w:r w:rsidRPr="00BE5E82">
        <w:rPr>
          <w:rFonts w:ascii="Times New Roman" w:hAnsi="Times New Roman" w:cs="Times New Roman"/>
          <w:b/>
          <w:sz w:val="22"/>
          <w:szCs w:val="22"/>
          <w:lang w:val="sv-SE"/>
        </w:rPr>
        <w:t>Table</w:t>
      </w:r>
      <w:r w:rsidRPr="00BE5E82">
        <w:rPr>
          <w:rFonts w:ascii="Times New Roman" w:hAnsi="Times New Roman" w:cs="Times New Roman"/>
          <w:b/>
          <w:sz w:val="22"/>
          <w:szCs w:val="22"/>
          <w:lang w:val="id-ID"/>
        </w:rPr>
        <w:t xml:space="preserve"> </w:t>
      </w:r>
      <w:r w:rsidRPr="00BE5E82">
        <w:rPr>
          <w:rFonts w:ascii="Times New Roman" w:hAnsi="Times New Roman" w:cs="Times New Roman"/>
          <w:b/>
          <w:sz w:val="22"/>
          <w:szCs w:val="22"/>
        </w:rPr>
        <w:t xml:space="preserve">4. </w:t>
      </w:r>
      <w:r w:rsidRPr="00BE5E82">
        <w:rPr>
          <w:rFonts w:ascii="Times New Roman" w:hAnsi="Times New Roman" w:cs="Times New Roman"/>
          <w:color w:val="222222"/>
          <w:sz w:val="22"/>
          <w:szCs w:val="22"/>
          <w:lang w:val="en"/>
        </w:rPr>
        <w:t>Post-test Data Normality Test table</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47"/>
        <w:gridCol w:w="1561"/>
        <w:gridCol w:w="1370"/>
        <w:gridCol w:w="1420"/>
      </w:tblGrid>
      <w:tr w:rsidR="001062FC" w:rsidRPr="00BE5E82" w14:paraId="53D2BDE6" w14:textId="77777777" w:rsidTr="00C90586">
        <w:trPr>
          <w:jc w:val="center"/>
        </w:trPr>
        <w:tc>
          <w:tcPr>
            <w:tcW w:w="547" w:type="dxa"/>
            <w:tcBorders>
              <w:bottom w:val="single" w:sz="4" w:space="0" w:color="auto"/>
            </w:tcBorders>
          </w:tcPr>
          <w:p w14:paraId="263A5D0C" w14:textId="77777777" w:rsidR="001062FC" w:rsidRPr="00BE5E82" w:rsidRDefault="001062FC" w:rsidP="00BE5E82">
            <w:pPr>
              <w:pStyle w:val="IEEETableCell"/>
              <w:spacing w:line="276" w:lineRule="auto"/>
              <w:jc w:val="both"/>
              <w:rPr>
                <w:b/>
                <w:sz w:val="22"/>
                <w:szCs w:val="22"/>
              </w:rPr>
            </w:pPr>
            <w:r w:rsidRPr="00BE5E82">
              <w:rPr>
                <w:b/>
                <w:sz w:val="22"/>
                <w:szCs w:val="22"/>
              </w:rPr>
              <w:t>No</w:t>
            </w:r>
          </w:p>
        </w:tc>
        <w:tc>
          <w:tcPr>
            <w:tcW w:w="1561" w:type="dxa"/>
            <w:tcBorders>
              <w:bottom w:val="single" w:sz="4" w:space="0" w:color="auto"/>
            </w:tcBorders>
          </w:tcPr>
          <w:p w14:paraId="281056EC" w14:textId="77777777" w:rsidR="001062FC" w:rsidRPr="00BE5E82" w:rsidRDefault="001062FC" w:rsidP="00BE5E82">
            <w:pPr>
              <w:pStyle w:val="IEEETableCell"/>
              <w:spacing w:line="276" w:lineRule="auto"/>
              <w:jc w:val="both"/>
              <w:rPr>
                <w:b/>
                <w:sz w:val="22"/>
                <w:szCs w:val="22"/>
              </w:rPr>
            </w:pPr>
            <w:r w:rsidRPr="00BE5E82">
              <w:rPr>
                <w:b/>
                <w:sz w:val="22"/>
                <w:szCs w:val="22"/>
              </w:rPr>
              <w:t>Class</w:t>
            </w:r>
          </w:p>
        </w:tc>
        <w:tc>
          <w:tcPr>
            <w:tcW w:w="1370" w:type="dxa"/>
            <w:tcBorders>
              <w:bottom w:val="single" w:sz="4" w:space="0" w:color="auto"/>
            </w:tcBorders>
          </w:tcPr>
          <w:p w14:paraId="15E3731B" w14:textId="77777777" w:rsidR="001062FC" w:rsidRPr="00BE5E82" w:rsidRDefault="001062FC" w:rsidP="00BE5E82">
            <w:pPr>
              <w:pStyle w:val="IEEETableCell"/>
              <w:spacing w:line="276" w:lineRule="auto"/>
              <w:jc w:val="both"/>
              <w:rPr>
                <w:b/>
                <w:bCs/>
                <w:sz w:val="22"/>
                <w:szCs w:val="22"/>
              </w:rPr>
            </w:pPr>
            <w:r w:rsidRPr="00BE5E82">
              <w:rPr>
                <w:b/>
                <w:bCs/>
                <w:sz w:val="22"/>
                <w:szCs w:val="22"/>
                <w:lang w:val="id-ID"/>
              </w:rPr>
              <w:t>X</w:t>
            </w:r>
            <w:r w:rsidRPr="00BE5E82">
              <w:rPr>
                <w:b/>
                <w:bCs/>
                <w:sz w:val="22"/>
                <w:szCs w:val="22"/>
                <w:vertAlign w:val="superscript"/>
                <w:lang w:val="id-ID"/>
              </w:rPr>
              <w:t xml:space="preserve">2 </w:t>
            </w:r>
            <w:r w:rsidRPr="00BE5E82">
              <w:rPr>
                <w:b/>
                <w:bCs/>
                <w:sz w:val="22"/>
                <w:szCs w:val="22"/>
                <w:lang w:val="id-ID"/>
              </w:rPr>
              <w:t>hitung</w:t>
            </w:r>
          </w:p>
        </w:tc>
        <w:tc>
          <w:tcPr>
            <w:tcW w:w="1420" w:type="dxa"/>
            <w:tcBorders>
              <w:bottom w:val="single" w:sz="4" w:space="0" w:color="auto"/>
            </w:tcBorders>
          </w:tcPr>
          <w:p w14:paraId="51C37E57" w14:textId="77777777" w:rsidR="001062FC" w:rsidRPr="00BE5E82" w:rsidRDefault="001062FC" w:rsidP="00BE5E82">
            <w:pPr>
              <w:pStyle w:val="IEEETableCell"/>
              <w:spacing w:line="276" w:lineRule="auto"/>
              <w:jc w:val="both"/>
              <w:rPr>
                <w:b/>
                <w:bCs/>
                <w:sz w:val="22"/>
                <w:szCs w:val="22"/>
              </w:rPr>
            </w:pPr>
            <w:r w:rsidRPr="00BE5E82">
              <w:rPr>
                <w:b/>
                <w:bCs/>
                <w:sz w:val="22"/>
                <w:szCs w:val="22"/>
                <w:lang w:val="id-ID"/>
              </w:rPr>
              <w:t>X</w:t>
            </w:r>
            <w:r w:rsidRPr="00BE5E82">
              <w:rPr>
                <w:b/>
                <w:bCs/>
                <w:sz w:val="22"/>
                <w:szCs w:val="22"/>
                <w:vertAlign w:val="superscript"/>
                <w:lang w:val="id-ID"/>
              </w:rPr>
              <w:t>2</w:t>
            </w:r>
            <w:r w:rsidRPr="00BE5E82">
              <w:rPr>
                <w:b/>
                <w:bCs/>
                <w:sz w:val="22"/>
                <w:szCs w:val="22"/>
                <w:lang w:val="id-ID"/>
              </w:rPr>
              <w:t xml:space="preserve"> tabel</w:t>
            </w:r>
          </w:p>
        </w:tc>
      </w:tr>
      <w:tr w:rsidR="001062FC" w:rsidRPr="00BE5E82" w14:paraId="7E5EC4DF" w14:textId="77777777" w:rsidTr="00C90586">
        <w:trPr>
          <w:jc w:val="center"/>
        </w:trPr>
        <w:tc>
          <w:tcPr>
            <w:tcW w:w="547" w:type="dxa"/>
            <w:tcBorders>
              <w:top w:val="single" w:sz="4" w:space="0" w:color="auto"/>
              <w:bottom w:val="single" w:sz="4" w:space="0" w:color="auto"/>
            </w:tcBorders>
          </w:tcPr>
          <w:p w14:paraId="56CC08C7" w14:textId="77777777" w:rsidR="001062FC" w:rsidRPr="00BE5E82" w:rsidRDefault="001062FC" w:rsidP="00BE5E82">
            <w:pPr>
              <w:pStyle w:val="IEEETableCell"/>
              <w:spacing w:line="276" w:lineRule="auto"/>
              <w:jc w:val="both"/>
              <w:rPr>
                <w:sz w:val="22"/>
                <w:szCs w:val="22"/>
              </w:rPr>
            </w:pPr>
            <w:r w:rsidRPr="00BE5E82">
              <w:rPr>
                <w:sz w:val="22"/>
                <w:szCs w:val="22"/>
              </w:rPr>
              <w:t>1</w:t>
            </w:r>
          </w:p>
        </w:tc>
        <w:tc>
          <w:tcPr>
            <w:tcW w:w="1561" w:type="dxa"/>
            <w:tcBorders>
              <w:top w:val="single" w:sz="4" w:space="0" w:color="auto"/>
              <w:bottom w:val="single" w:sz="4" w:space="0" w:color="auto"/>
            </w:tcBorders>
          </w:tcPr>
          <w:p w14:paraId="6C79AD88" w14:textId="77777777" w:rsidR="001062FC" w:rsidRPr="00BE5E82" w:rsidRDefault="001062FC" w:rsidP="00BE5E82">
            <w:pPr>
              <w:pStyle w:val="IEEETableCell"/>
              <w:spacing w:line="276" w:lineRule="auto"/>
              <w:jc w:val="both"/>
              <w:rPr>
                <w:sz w:val="22"/>
                <w:szCs w:val="22"/>
              </w:rPr>
            </w:pPr>
            <w:r w:rsidRPr="00BE5E82">
              <w:rPr>
                <w:sz w:val="22"/>
                <w:szCs w:val="22"/>
                <w:lang w:val="id-ID"/>
              </w:rPr>
              <w:t>Eksperimen 1</w:t>
            </w:r>
          </w:p>
        </w:tc>
        <w:tc>
          <w:tcPr>
            <w:tcW w:w="1370" w:type="dxa"/>
            <w:tcBorders>
              <w:top w:val="single" w:sz="4" w:space="0" w:color="auto"/>
              <w:bottom w:val="single" w:sz="4" w:space="0" w:color="auto"/>
            </w:tcBorders>
          </w:tcPr>
          <w:p w14:paraId="1303222F" w14:textId="77777777" w:rsidR="001062FC" w:rsidRPr="00BE5E82" w:rsidRDefault="001062FC" w:rsidP="00BE5E82">
            <w:pPr>
              <w:pStyle w:val="IEEETableCell"/>
              <w:spacing w:line="276" w:lineRule="auto"/>
              <w:jc w:val="both"/>
              <w:rPr>
                <w:sz w:val="22"/>
                <w:szCs w:val="22"/>
              </w:rPr>
            </w:pPr>
            <w:r w:rsidRPr="00BE5E82">
              <w:rPr>
                <w:sz w:val="22"/>
                <w:szCs w:val="22"/>
                <w:lang w:val="id-ID"/>
              </w:rPr>
              <w:t>9,742</w:t>
            </w:r>
          </w:p>
        </w:tc>
        <w:tc>
          <w:tcPr>
            <w:tcW w:w="1420" w:type="dxa"/>
            <w:tcBorders>
              <w:top w:val="single" w:sz="4" w:space="0" w:color="auto"/>
              <w:bottom w:val="single" w:sz="4" w:space="0" w:color="auto"/>
            </w:tcBorders>
          </w:tcPr>
          <w:p w14:paraId="7A432E93" w14:textId="77777777" w:rsidR="001062FC" w:rsidRPr="00BE5E82" w:rsidRDefault="001062FC" w:rsidP="00BE5E82">
            <w:pPr>
              <w:pStyle w:val="IEEETableCell"/>
              <w:spacing w:line="276" w:lineRule="auto"/>
              <w:jc w:val="both"/>
              <w:rPr>
                <w:sz w:val="22"/>
                <w:szCs w:val="22"/>
              </w:rPr>
            </w:pPr>
            <w:r w:rsidRPr="00BE5E82">
              <w:rPr>
                <w:sz w:val="22"/>
                <w:szCs w:val="22"/>
                <w:lang w:val="id-ID"/>
              </w:rPr>
              <w:t>11,07</w:t>
            </w:r>
          </w:p>
        </w:tc>
      </w:tr>
      <w:tr w:rsidR="001062FC" w:rsidRPr="00BE5E82" w14:paraId="1AB4FBA1" w14:textId="77777777" w:rsidTr="00C90586">
        <w:trPr>
          <w:jc w:val="center"/>
        </w:trPr>
        <w:tc>
          <w:tcPr>
            <w:tcW w:w="547" w:type="dxa"/>
            <w:tcBorders>
              <w:top w:val="single" w:sz="4" w:space="0" w:color="auto"/>
            </w:tcBorders>
          </w:tcPr>
          <w:p w14:paraId="14B38870" w14:textId="77777777" w:rsidR="001062FC" w:rsidRPr="00BE5E82" w:rsidRDefault="001062FC" w:rsidP="00BE5E82">
            <w:pPr>
              <w:pStyle w:val="IEEETableCell"/>
              <w:spacing w:line="276" w:lineRule="auto"/>
              <w:jc w:val="both"/>
              <w:rPr>
                <w:sz w:val="22"/>
                <w:szCs w:val="22"/>
              </w:rPr>
            </w:pPr>
            <w:r w:rsidRPr="00BE5E82">
              <w:rPr>
                <w:sz w:val="22"/>
                <w:szCs w:val="22"/>
              </w:rPr>
              <w:t>2</w:t>
            </w:r>
          </w:p>
        </w:tc>
        <w:tc>
          <w:tcPr>
            <w:tcW w:w="1561" w:type="dxa"/>
            <w:tcBorders>
              <w:top w:val="single" w:sz="4" w:space="0" w:color="auto"/>
            </w:tcBorders>
          </w:tcPr>
          <w:p w14:paraId="4685FA0B" w14:textId="77777777" w:rsidR="001062FC" w:rsidRPr="00BE5E82" w:rsidRDefault="001062FC" w:rsidP="00BE5E82">
            <w:pPr>
              <w:pStyle w:val="IEEETableCell"/>
              <w:spacing w:line="276" w:lineRule="auto"/>
              <w:jc w:val="both"/>
              <w:rPr>
                <w:sz w:val="22"/>
                <w:szCs w:val="22"/>
              </w:rPr>
            </w:pPr>
            <w:r w:rsidRPr="00BE5E82">
              <w:rPr>
                <w:sz w:val="22"/>
                <w:szCs w:val="22"/>
                <w:lang w:val="id-ID"/>
              </w:rPr>
              <w:t>Eksperimen 2</w:t>
            </w:r>
          </w:p>
        </w:tc>
        <w:tc>
          <w:tcPr>
            <w:tcW w:w="1370" w:type="dxa"/>
            <w:tcBorders>
              <w:top w:val="single" w:sz="4" w:space="0" w:color="auto"/>
            </w:tcBorders>
          </w:tcPr>
          <w:p w14:paraId="1CD64B2B" w14:textId="77777777" w:rsidR="001062FC" w:rsidRPr="00BE5E82" w:rsidRDefault="001062FC" w:rsidP="00BE5E82">
            <w:pPr>
              <w:pStyle w:val="IEEETableCell"/>
              <w:spacing w:line="276" w:lineRule="auto"/>
              <w:jc w:val="both"/>
              <w:rPr>
                <w:sz w:val="22"/>
                <w:szCs w:val="22"/>
                <w:lang w:val="en-US"/>
              </w:rPr>
            </w:pPr>
            <w:r w:rsidRPr="00BE5E82">
              <w:rPr>
                <w:sz w:val="22"/>
                <w:szCs w:val="22"/>
                <w:lang w:val="en-US"/>
              </w:rPr>
              <w:t>5,571</w:t>
            </w:r>
          </w:p>
        </w:tc>
        <w:tc>
          <w:tcPr>
            <w:tcW w:w="1420" w:type="dxa"/>
            <w:tcBorders>
              <w:top w:val="single" w:sz="4" w:space="0" w:color="auto"/>
            </w:tcBorders>
          </w:tcPr>
          <w:p w14:paraId="640E7BEC" w14:textId="77777777" w:rsidR="001062FC" w:rsidRPr="00BE5E82" w:rsidRDefault="001062FC" w:rsidP="00BE5E82">
            <w:pPr>
              <w:pStyle w:val="IEEETableCell"/>
              <w:spacing w:line="276" w:lineRule="auto"/>
              <w:jc w:val="both"/>
              <w:rPr>
                <w:sz w:val="22"/>
                <w:szCs w:val="22"/>
              </w:rPr>
            </w:pPr>
            <w:r w:rsidRPr="00BE5E82">
              <w:rPr>
                <w:sz w:val="22"/>
                <w:szCs w:val="22"/>
                <w:lang w:val="id-ID"/>
              </w:rPr>
              <w:t>11,07</w:t>
            </w:r>
          </w:p>
        </w:tc>
      </w:tr>
    </w:tbl>
    <w:p w14:paraId="053C9D3C" w14:textId="643F57F0" w:rsidR="001062FC" w:rsidRPr="00BE5E82" w:rsidRDefault="001062FC" w:rsidP="00BE5E82">
      <w:pPr>
        <w:pStyle w:val="HTMLPreformatted"/>
        <w:spacing w:line="276" w:lineRule="auto"/>
        <w:ind w:left="284"/>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b/>
      </w:r>
      <w:r w:rsidRPr="00BE5E82">
        <w:rPr>
          <w:rFonts w:ascii="Times New Roman" w:hAnsi="Times New Roman" w:cs="Times New Roman"/>
          <w:color w:val="222222"/>
          <w:sz w:val="22"/>
          <w:szCs w:val="22"/>
          <w:lang w:val="en"/>
        </w:rPr>
        <w:t xml:space="preserve">From table 4 it can be seen that the post-test data obtained in the study were normally distributed in which </w:t>
      </w:r>
      <w:r w:rsidR="00A868C1" w:rsidRPr="00BE5E82">
        <w:rPr>
          <w:rFonts w:ascii="Times New Roman" w:hAnsi="Times New Roman" w:cs="Times New Roman"/>
          <w:color w:val="222222"/>
          <w:sz w:val="22"/>
          <w:szCs w:val="22"/>
          <w:lang w:val="en"/>
        </w:rPr>
        <w:t>X</w:t>
      </w:r>
      <w:r w:rsidR="00A868C1" w:rsidRPr="007C614B">
        <w:rPr>
          <w:rFonts w:ascii="Times New Roman" w:hAnsi="Times New Roman" w:cs="Times New Roman"/>
          <w:color w:val="222222"/>
          <w:sz w:val="22"/>
          <w:szCs w:val="22"/>
          <w:vertAlign w:val="superscript"/>
          <w:lang w:val="en"/>
        </w:rPr>
        <w:t>2</w:t>
      </w:r>
      <w:r w:rsidR="00A868C1" w:rsidRPr="00BE5E82">
        <w:rPr>
          <w:rFonts w:ascii="Times New Roman" w:hAnsi="Times New Roman" w:cs="Times New Roman"/>
          <w:color w:val="222222"/>
          <w:sz w:val="22"/>
          <w:szCs w:val="22"/>
          <w:lang w:val="en"/>
        </w:rPr>
        <w:t xml:space="preserve"> count </w:t>
      </w:r>
      <w:r w:rsidRPr="00BE5E82">
        <w:rPr>
          <w:rFonts w:ascii="Times New Roman" w:hAnsi="Times New Roman" w:cs="Times New Roman"/>
          <w:color w:val="222222"/>
          <w:sz w:val="22"/>
          <w:szCs w:val="22"/>
          <w:lang w:val="en"/>
        </w:rPr>
        <w:t xml:space="preserve">experimental class 1 was 9.742 and </w:t>
      </w:r>
      <w:r w:rsidR="00F662C0" w:rsidRPr="00BE5E82">
        <w:rPr>
          <w:rFonts w:ascii="Times New Roman" w:hAnsi="Times New Roman" w:cs="Times New Roman"/>
          <w:color w:val="222222"/>
          <w:sz w:val="22"/>
          <w:szCs w:val="22"/>
          <w:lang w:val="en"/>
        </w:rPr>
        <w:t>X</w:t>
      </w:r>
      <w:r w:rsidR="00F662C0" w:rsidRPr="007C614B">
        <w:rPr>
          <w:rFonts w:ascii="Times New Roman" w:hAnsi="Times New Roman" w:cs="Times New Roman"/>
          <w:color w:val="222222"/>
          <w:sz w:val="22"/>
          <w:szCs w:val="22"/>
          <w:vertAlign w:val="superscript"/>
          <w:lang w:val="en"/>
        </w:rPr>
        <w:t>2</w:t>
      </w:r>
      <w:r w:rsidR="00F662C0" w:rsidRPr="00BE5E82">
        <w:rPr>
          <w:rFonts w:ascii="Times New Roman" w:hAnsi="Times New Roman" w:cs="Times New Roman"/>
          <w:color w:val="222222"/>
          <w:sz w:val="22"/>
          <w:szCs w:val="22"/>
          <w:lang w:val="en"/>
        </w:rPr>
        <w:t xml:space="preserve"> count</w:t>
      </w:r>
      <w:r w:rsidRPr="00BE5E82">
        <w:rPr>
          <w:rFonts w:ascii="Times New Roman" w:hAnsi="Times New Roman" w:cs="Times New Roman"/>
          <w:color w:val="222222"/>
          <w:sz w:val="22"/>
          <w:szCs w:val="22"/>
          <w:lang w:val="en"/>
        </w:rPr>
        <w:t xml:space="preserve"> experimental class 2 was 5.571 smaller than </w:t>
      </w:r>
      <w:r w:rsidR="0076213C" w:rsidRPr="00BE5E82">
        <w:rPr>
          <w:rFonts w:ascii="Times New Roman" w:hAnsi="Times New Roman" w:cs="Times New Roman"/>
          <w:color w:val="222222"/>
          <w:sz w:val="22"/>
          <w:szCs w:val="22"/>
          <w:lang w:val="en"/>
        </w:rPr>
        <w:t>X</w:t>
      </w:r>
      <w:r w:rsidR="0076213C" w:rsidRPr="007C614B">
        <w:rPr>
          <w:rFonts w:ascii="Times New Roman" w:hAnsi="Times New Roman" w:cs="Times New Roman"/>
          <w:color w:val="222222"/>
          <w:sz w:val="22"/>
          <w:szCs w:val="22"/>
          <w:vertAlign w:val="superscript"/>
          <w:lang w:val="en"/>
        </w:rPr>
        <w:t>2</w:t>
      </w:r>
      <w:r w:rsidRPr="00BE5E82">
        <w:rPr>
          <w:rFonts w:ascii="Times New Roman" w:hAnsi="Times New Roman" w:cs="Times New Roman"/>
          <w:color w:val="222222"/>
          <w:sz w:val="22"/>
          <w:szCs w:val="22"/>
          <w:lang w:val="en"/>
        </w:rPr>
        <w:t>table which was 11.07.</w:t>
      </w:r>
    </w:p>
    <w:p w14:paraId="139C9AE0" w14:textId="2BBFF6B1" w:rsidR="001062FC" w:rsidRPr="00BE5E82" w:rsidRDefault="001062FC" w:rsidP="00BE5E82">
      <w:pPr>
        <w:pStyle w:val="HTMLPreformatted"/>
        <w:spacing w:line="276" w:lineRule="auto"/>
        <w:ind w:left="284"/>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To test whether the sample comes from a homogeneous population used two variance similarity test. From the results of homogeneity test calculations obtained data as stated in table 5.</w:t>
      </w:r>
    </w:p>
    <w:p w14:paraId="7E679D18" w14:textId="09F87736" w:rsidR="00FD774D" w:rsidRPr="00BE5E82" w:rsidRDefault="00FD774D" w:rsidP="00BF15EF">
      <w:pPr>
        <w:pStyle w:val="HTMLPreformatted"/>
        <w:spacing w:line="276" w:lineRule="auto"/>
        <w:jc w:val="center"/>
        <w:rPr>
          <w:rFonts w:ascii="Times New Roman" w:hAnsi="Times New Roman" w:cs="Times New Roman"/>
          <w:color w:val="222222"/>
          <w:sz w:val="22"/>
          <w:szCs w:val="22"/>
        </w:rPr>
      </w:pPr>
      <w:r w:rsidRPr="00BF15EF">
        <w:rPr>
          <w:rFonts w:ascii="Times New Roman" w:hAnsi="Times New Roman" w:cs="Times New Roman"/>
          <w:b/>
          <w:bCs/>
          <w:color w:val="222222"/>
          <w:sz w:val="22"/>
          <w:szCs w:val="22"/>
          <w:lang w:val="en"/>
        </w:rPr>
        <w:t>Table 5</w:t>
      </w:r>
      <w:r w:rsidRPr="00BE5E82">
        <w:rPr>
          <w:rFonts w:ascii="Times New Roman" w:hAnsi="Times New Roman" w:cs="Times New Roman"/>
          <w:color w:val="222222"/>
          <w:sz w:val="22"/>
          <w:szCs w:val="22"/>
          <w:lang w:val="en"/>
        </w:rPr>
        <w:t>. Homogeneity Test</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845"/>
        <w:gridCol w:w="1395"/>
        <w:gridCol w:w="1370"/>
        <w:gridCol w:w="1268"/>
      </w:tblGrid>
      <w:tr w:rsidR="00FD774D" w:rsidRPr="00BE5E82" w14:paraId="3633D128" w14:textId="77777777" w:rsidTr="00C90586">
        <w:trPr>
          <w:jc w:val="center"/>
        </w:trPr>
        <w:tc>
          <w:tcPr>
            <w:tcW w:w="1845" w:type="dxa"/>
            <w:tcBorders>
              <w:bottom w:val="single" w:sz="4" w:space="0" w:color="auto"/>
            </w:tcBorders>
          </w:tcPr>
          <w:p w14:paraId="54DF70EA" w14:textId="77777777" w:rsidR="00FD774D" w:rsidRPr="00BE5E82" w:rsidRDefault="00FD774D" w:rsidP="00BE5E82">
            <w:pPr>
              <w:pStyle w:val="IEEETableCell"/>
              <w:spacing w:line="276" w:lineRule="auto"/>
              <w:jc w:val="both"/>
              <w:rPr>
                <w:b/>
                <w:sz w:val="22"/>
                <w:szCs w:val="22"/>
              </w:rPr>
            </w:pPr>
            <w:r w:rsidRPr="00BE5E82">
              <w:rPr>
                <w:b/>
                <w:sz w:val="22"/>
                <w:szCs w:val="22"/>
              </w:rPr>
              <w:t>Class</w:t>
            </w:r>
          </w:p>
        </w:tc>
        <w:tc>
          <w:tcPr>
            <w:tcW w:w="1395" w:type="dxa"/>
            <w:tcBorders>
              <w:bottom w:val="single" w:sz="4" w:space="0" w:color="auto"/>
            </w:tcBorders>
          </w:tcPr>
          <w:p w14:paraId="1AFBA377" w14:textId="77777777" w:rsidR="00FD774D" w:rsidRPr="00BE5E82" w:rsidRDefault="00FD774D" w:rsidP="00BE5E82">
            <w:pPr>
              <w:pStyle w:val="IEEETableCell"/>
              <w:spacing w:line="276" w:lineRule="auto"/>
              <w:ind w:hanging="553"/>
              <w:jc w:val="both"/>
              <w:rPr>
                <w:b/>
                <w:sz w:val="22"/>
                <w:szCs w:val="22"/>
                <w:lang w:val="en-US"/>
              </w:rPr>
            </w:pPr>
            <w:r w:rsidRPr="00BE5E82">
              <w:rPr>
                <w:b/>
                <w:bCs/>
                <w:sz w:val="22"/>
                <w:szCs w:val="22"/>
                <w:lang w:val="en-US"/>
              </w:rPr>
              <w:t>S</w:t>
            </w:r>
            <w:r w:rsidRPr="00BE5E82">
              <w:rPr>
                <w:b/>
                <w:bCs/>
                <w:sz w:val="22"/>
                <w:szCs w:val="22"/>
                <w:vertAlign w:val="superscript"/>
                <w:lang w:val="id-ID"/>
              </w:rPr>
              <w:t xml:space="preserve">2 </w:t>
            </w:r>
            <w:r w:rsidRPr="00BE5E82">
              <w:rPr>
                <w:b/>
                <w:bCs/>
                <w:sz w:val="22"/>
                <w:szCs w:val="22"/>
                <w:lang w:val="en-US"/>
              </w:rPr>
              <w:t>accont</w:t>
            </w:r>
          </w:p>
        </w:tc>
        <w:tc>
          <w:tcPr>
            <w:tcW w:w="1370" w:type="dxa"/>
            <w:tcBorders>
              <w:bottom w:val="single" w:sz="4" w:space="0" w:color="auto"/>
            </w:tcBorders>
          </w:tcPr>
          <w:p w14:paraId="42BAD9A2" w14:textId="77777777" w:rsidR="00FD774D" w:rsidRPr="00BE5E82" w:rsidRDefault="00FD774D" w:rsidP="00BE5E82">
            <w:pPr>
              <w:pStyle w:val="IEEETableCell"/>
              <w:spacing w:line="276" w:lineRule="auto"/>
              <w:jc w:val="both"/>
              <w:rPr>
                <w:b/>
                <w:bCs/>
                <w:sz w:val="22"/>
                <w:szCs w:val="22"/>
              </w:rPr>
            </w:pPr>
            <w:r w:rsidRPr="00BE5E82">
              <w:rPr>
                <w:b/>
                <w:bCs/>
                <w:sz w:val="22"/>
                <w:szCs w:val="22"/>
                <w:lang w:val="en-US"/>
              </w:rPr>
              <w:t>F</w:t>
            </w:r>
            <w:r w:rsidRPr="00BE5E82">
              <w:rPr>
                <w:b/>
                <w:bCs/>
                <w:sz w:val="22"/>
                <w:szCs w:val="22"/>
                <w:vertAlign w:val="subscript"/>
                <w:lang w:val="en-US"/>
              </w:rPr>
              <w:t>account</w:t>
            </w:r>
          </w:p>
        </w:tc>
        <w:tc>
          <w:tcPr>
            <w:tcW w:w="1268" w:type="dxa"/>
            <w:tcBorders>
              <w:bottom w:val="single" w:sz="4" w:space="0" w:color="auto"/>
            </w:tcBorders>
          </w:tcPr>
          <w:p w14:paraId="153BE7AF" w14:textId="77777777" w:rsidR="00FD774D" w:rsidRPr="00BE5E82" w:rsidRDefault="00FD774D" w:rsidP="00BE5E82">
            <w:pPr>
              <w:pStyle w:val="IEEETableCell"/>
              <w:spacing w:line="276" w:lineRule="auto"/>
              <w:jc w:val="both"/>
              <w:rPr>
                <w:b/>
                <w:bCs/>
                <w:sz w:val="22"/>
                <w:szCs w:val="22"/>
                <w:vertAlign w:val="subscript"/>
                <w:lang w:val="en-US"/>
              </w:rPr>
            </w:pPr>
            <w:r w:rsidRPr="00BE5E82">
              <w:rPr>
                <w:b/>
                <w:bCs/>
                <w:sz w:val="22"/>
                <w:szCs w:val="22"/>
                <w:lang w:val="en-US"/>
              </w:rPr>
              <w:t>F</w:t>
            </w:r>
            <w:r w:rsidRPr="00BE5E82">
              <w:rPr>
                <w:b/>
                <w:bCs/>
                <w:sz w:val="22"/>
                <w:szCs w:val="22"/>
                <w:vertAlign w:val="subscript"/>
                <w:lang w:val="en-US"/>
              </w:rPr>
              <w:t>table</w:t>
            </w:r>
          </w:p>
        </w:tc>
      </w:tr>
      <w:tr w:rsidR="00FD774D" w:rsidRPr="00BE5E82" w14:paraId="2D63C369" w14:textId="77777777" w:rsidTr="00C90586">
        <w:trPr>
          <w:jc w:val="center"/>
        </w:trPr>
        <w:tc>
          <w:tcPr>
            <w:tcW w:w="1845" w:type="dxa"/>
            <w:tcBorders>
              <w:top w:val="single" w:sz="4" w:space="0" w:color="auto"/>
              <w:bottom w:val="single" w:sz="4" w:space="0" w:color="auto"/>
            </w:tcBorders>
          </w:tcPr>
          <w:p w14:paraId="7CEBC84A" w14:textId="77777777" w:rsidR="00FD774D" w:rsidRPr="00BE5E82" w:rsidRDefault="00FD774D" w:rsidP="00BE5E82">
            <w:pPr>
              <w:pStyle w:val="IEEETableCell"/>
              <w:spacing w:line="276" w:lineRule="auto"/>
              <w:jc w:val="both"/>
              <w:rPr>
                <w:sz w:val="22"/>
                <w:szCs w:val="22"/>
              </w:rPr>
            </w:pPr>
            <w:r w:rsidRPr="00BE5E82">
              <w:rPr>
                <w:sz w:val="22"/>
                <w:szCs w:val="22"/>
                <w:lang w:val="id-ID"/>
              </w:rPr>
              <w:t>Eksperimen 1</w:t>
            </w:r>
          </w:p>
        </w:tc>
        <w:tc>
          <w:tcPr>
            <w:tcW w:w="1395" w:type="dxa"/>
            <w:tcBorders>
              <w:top w:val="single" w:sz="4" w:space="0" w:color="auto"/>
              <w:bottom w:val="single" w:sz="4" w:space="0" w:color="auto"/>
            </w:tcBorders>
          </w:tcPr>
          <w:p w14:paraId="7C6FBA23" w14:textId="77777777" w:rsidR="00FD774D" w:rsidRPr="00BE5E82" w:rsidRDefault="00FD774D" w:rsidP="00BE5E82">
            <w:pPr>
              <w:pStyle w:val="IEEETableCell"/>
              <w:spacing w:line="276" w:lineRule="auto"/>
              <w:jc w:val="both"/>
              <w:rPr>
                <w:sz w:val="22"/>
                <w:szCs w:val="22"/>
              </w:rPr>
            </w:pPr>
            <w:r w:rsidRPr="00BE5E82">
              <w:rPr>
                <w:sz w:val="22"/>
                <w:szCs w:val="22"/>
                <w:lang w:val="id-ID"/>
              </w:rPr>
              <w:t>68,72</w:t>
            </w:r>
          </w:p>
        </w:tc>
        <w:tc>
          <w:tcPr>
            <w:tcW w:w="1370" w:type="dxa"/>
            <w:tcBorders>
              <w:top w:val="single" w:sz="4" w:space="0" w:color="auto"/>
              <w:bottom w:val="single" w:sz="4" w:space="0" w:color="auto"/>
            </w:tcBorders>
          </w:tcPr>
          <w:p w14:paraId="6544C946" w14:textId="77777777" w:rsidR="00FD774D" w:rsidRPr="00BE5E82" w:rsidRDefault="00FD774D" w:rsidP="00BE5E82">
            <w:pPr>
              <w:pStyle w:val="IEEETableCell"/>
              <w:spacing w:line="276" w:lineRule="auto"/>
              <w:jc w:val="both"/>
              <w:rPr>
                <w:sz w:val="22"/>
                <w:szCs w:val="22"/>
              </w:rPr>
            </w:pPr>
            <w:r w:rsidRPr="00BE5E82">
              <w:rPr>
                <w:sz w:val="22"/>
                <w:szCs w:val="22"/>
                <w:lang w:val="id-ID"/>
              </w:rPr>
              <w:t>1</w:t>
            </w:r>
            <w:r w:rsidRPr="00BE5E82">
              <w:rPr>
                <w:sz w:val="22"/>
                <w:szCs w:val="22"/>
                <w:lang w:val="en-US"/>
              </w:rPr>
              <w:t>,18</w:t>
            </w:r>
          </w:p>
        </w:tc>
        <w:tc>
          <w:tcPr>
            <w:tcW w:w="1268" w:type="dxa"/>
            <w:tcBorders>
              <w:top w:val="single" w:sz="4" w:space="0" w:color="auto"/>
              <w:bottom w:val="single" w:sz="4" w:space="0" w:color="auto"/>
            </w:tcBorders>
          </w:tcPr>
          <w:p w14:paraId="1AEA6650" w14:textId="77777777" w:rsidR="00FD774D" w:rsidRPr="00BE5E82" w:rsidRDefault="00FD774D" w:rsidP="00BE5E82">
            <w:pPr>
              <w:pStyle w:val="IEEETableCell"/>
              <w:spacing w:line="276" w:lineRule="auto"/>
              <w:jc w:val="both"/>
              <w:rPr>
                <w:sz w:val="22"/>
                <w:szCs w:val="22"/>
                <w:lang w:val="en-US"/>
              </w:rPr>
            </w:pPr>
            <w:r w:rsidRPr="00BE5E82">
              <w:rPr>
                <w:sz w:val="22"/>
                <w:szCs w:val="22"/>
                <w:lang w:val="id-ID"/>
              </w:rPr>
              <w:t>1</w:t>
            </w:r>
            <w:r w:rsidRPr="00BE5E82">
              <w:rPr>
                <w:sz w:val="22"/>
                <w:szCs w:val="22"/>
                <w:lang w:val="en-US"/>
              </w:rPr>
              <w:t>,795</w:t>
            </w:r>
          </w:p>
        </w:tc>
      </w:tr>
      <w:tr w:rsidR="00FD774D" w:rsidRPr="00BE5E82" w14:paraId="10668F8E" w14:textId="77777777" w:rsidTr="00C90586">
        <w:trPr>
          <w:jc w:val="center"/>
        </w:trPr>
        <w:tc>
          <w:tcPr>
            <w:tcW w:w="1845" w:type="dxa"/>
            <w:tcBorders>
              <w:top w:val="single" w:sz="4" w:space="0" w:color="auto"/>
            </w:tcBorders>
          </w:tcPr>
          <w:p w14:paraId="674C5D65" w14:textId="77777777" w:rsidR="00FD774D" w:rsidRPr="00BE5E82" w:rsidRDefault="00FD774D" w:rsidP="00BE5E82">
            <w:pPr>
              <w:pStyle w:val="IEEETableCell"/>
              <w:spacing w:line="276" w:lineRule="auto"/>
              <w:jc w:val="both"/>
              <w:rPr>
                <w:sz w:val="22"/>
                <w:szCs w:val="22"/>
              </w:rPr>
            </w:pPr>
            <w:r w:rsidRPr="00BE5E82">
              <w:rPr>
                <w:sz w:val="22"/>
                <w:szCs w:val="22"/>
                <w:lang w:val="id-ID"/>
              </w:rPr>
              <w:t>Eksperimen 2</w:t>
            </w:r>
          </w:p>
        </w:tc>
        <w:tc>
          <w:tcPr>
            <w:tcW w:w="1395" w:type="dxa"/>
            <w:tcBorders>
              <w:top w:val="single" w:sz="4" w:space="0" w:color="auto"/>
            </w:tcBorders>
          </w:tcPr>
          <w:p w14:paraId="77A7EC1E" w14:textId="77777777" w:rsidR="00FD774D" w:rsidRPr="00BE5E82" w:rsidRDefault="00FD774D" w:rsidP="00BE5E82">
            <w:pPr>
              <w:pStyle w:val="IEEETableCell"/>
              <w:spacing w:line="276" w:lineRule="auto"/>
              <w:jc w:val="both"/>
              <w:rPr>
                <w:sz w:val="22"/>
                <w:szCs w:val="22"/>
              </w:rPr>
            </w:pPr>
            <w:r w:rsidRPr="00BE5E82">
              <w:rPr>
                <w:sz w:val="22"/>
                <w:szCs w:val="22"/>
                <w:lang w:val="id-ID"/>
              </w:rPr>
              <w:t>81,36</w:t>
            </w:r>
          </w:p>
        </w:tc>
        <w:tc>
          <w:tcPr>
            <w:tcW w:w="1370" w:type="dxa"/>
            <w:tcBorders>
              <w:top w:val="single" w:sz="4" w:space="0" w:color="auto"/>
            </w:tcBorders>
          </w:tcPr>
          <w:p w14:paraId="001A217B" w14:textId="77777777" w:rsidR="00FD774D" w:rsidRPr="00BE5E82" w:rsidRDefault="00FD774D" w:rsidP="00BE5E82">
            <w:pPr>
              <w:pStyle w:val="IEEETableCell"/>
              <w:spacing w:line="276" w:lineRule="auto"/>
              <w:jc w:val="both"/>
              <w:rPr>
                <w:sz w:val="22"/>
                <w:szCs w:val="22"/>
                <w:lang w:val="en-US"/>
              </w:rPr>
            </w:pPr>
            <w:r w:rsidRPr="00BE5E82">
              <w:rPr>
                <w:sz w:val="22"/>
                <w:szCs w:val="22"/>
                <w:lang w:val="id-ID"/>
              </w:rPr>
              <w:t>1</w:t>
            </w:r>
            <w:r w:rsidRPr="00BE5E82">
              <w:rPr>
                <w:sz w:val="22"/>
                <w:szCs w:val="22"/>
                <w:lang w:val="en-US"/>
              </w:rPr>
              <w:t>,18</w:t>
            </w:r>
          </w:p>
        </w:tc>
        <w:tc>
          <w:tcPr>
            <w:tcW w:w="1268" w:type="dxa"/>
            <w:tcBorders>
              <w:top w:val="single" w:sz="4" w:space="0" w:color="auto"/>
            </w:tcBorders>
          </w:tcPr>
          <w:p w14:paraId="0583126D" w14:textId="77777777" w:rsidR="00FD774D" w:rsidRPr="00BE5E82" w:rsidRDefault="00FD774D" w:rsidP="00BE5E82">
            <w:pPr>
              <w:pStyle w:val="IEEETableCell"/>
              <w:spacing w:line="276" w:lineRule="auto"/>
              <w:jc w:val="both"/>
              <w:rPr>
                <w:sz w:val="22"/>
                <w:szCs w:val="22"/>
                <w:lang w:val="en-US"/>
              </w:rPr>
            </w:pPr>
            <w:r w:rsidRPr="00BE5E82">
              <w:rPr>
                <w:sz w:val="22"/>
                <w:szCs w:val="22"/>
                <w:lang w:val="id-ID"/>
              </w:rPr>
              <w:t>1</w:t>
            </w:r>
            <w:r w:rsidRPr="00BE5E82">
              <w:rPr>
                <w:sz w:val="22"/>
                <w:szCs w:val="22"/>
                <w:lang w:val="en-US"/>
              </w:rPr>
              <w:t>,795</w:t>
            </w:r>
          </w:p>
        </w:tc>
      </w:tr>
    </w:tbl>
    <w:p w14:paraId="12957428" w14:textId="77777777" w:rsidR="00FD774D" w:rsidRPr="00BE5E82" w:rsidRDefault="00FD774D" w:rsidP="00BE5E82">
      <w:pPr>
        <w:pStyle w:val="HTMLPreformatted"/>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b/>
      </w:r>
      <w:r w:rsidRPr="00BE5E82">
        <w:rPr>
          <w:rFonts w:ascii="Times New Roman" w:hAnsi="Times New Roman" w:cs="Times New Roman"/>
          <w:color w:val="222222"/>
          <w:sz w:val="22"/>
          <w:szCs w:val="22"/>
          <w:lang w:val="en"/>
        </w:rPr>
        <w:t>Test criteria are if Fcount &lt; Ftable, it can be declared homogeneous at a significant level α = 0.05. Based on the table above it can be seen that F</w:t>
      </w:r>
      <w:r w:rsidRPr="00DB5D3F">
        <w:rPr>
          <w:rFonts w:ascii="Times New Roman" w:hAnsi="Times New Roman" w:cs="Times New Roman"/>
          <w:color w:val="222222"/>
          <w:sz w:val="22"/>
          <w:szCs w:val="22"/>
          <w:vertAlign w:val="subscript"/>
          <w:lang w:val="en"/>
        </w:rPr>
        <w:t>count</w:t>
      </w:r>
      <w:r w:rsidRPr="00BE5E82">
        <w:rPr>
          <w:rFonts w:ascii="Times New Roman" w:hAnsi="Times New Roman" w:cs="Times New Roman"/>
          <w:color w:val="222222"/>
          <w:sz w:val="22"/>
          <w:szCs w:val="22"/>
          <w:lang w:val="en"/>
        </w:rPr>
        <w:t xml:space="preserve"> &lt; </w:t>
      </w:r>
      <w:r w:rsidRPr="00DB5D3F">
        <w:rPr>
          <w:rFonts w:ascii="Times New Roman" w:hAnsi="Times New Roman" w:cs="Times New Roman"/>
          <w:color w:val="222222"/>
          <w:sz w:val="22"/>
          <w:szCs w:val="22"/>
          <w:vertAlign w:val="subscript"/>
          <w:lang w:val="en"/>
        </w:rPr>
        <w:t>Ftable</w:t>
      </w:r>
      <w:r w:rsidRPr="00BE5E82">
        <w:rPr>
          <w:rFonts w:ascii="Times New Roman" w:hAnsi="Times New Roman" w:cs="Times New Roman"/>
          <w:color w:val="222222"/>
          <w:sz w:val="22"/>
          <w:szCs w:val="22"/>
          <w:lang w:val="en"/>
        </w:rPr>
        <w:t xml:space="preserve"> so that it can be stated that both sample groups have homogeneous variance. </w:t>
      </w:r>
    </w:p>
    <w:p w14:paraId="7FC193B5" w14:textId="734E3CC1" w:rsidR="00FD774D" w:rsidRPr="00BE5E82" w:rsidRDefault="00FD774D" w:rsidP="00BE5E82">
      <w:pPr>
        <w:pStyle w:val="HTMLPreformatted"/>
        <w:spacing w:line="276" w:lineRule="auto"/>
        <w:jc w:val="both"/>
        <w:rPr>
          <w:rFonts w:ascii="Times New Roman" w:hAnsi="Times New Roman" w:cs="Times New Roman"/>
          <w:color w:val="222222"/>
          <w:sz w:val="22"/>
          <w:szCs w:val="22"/>
          <w:shd w:val="clear" w:color="auto" w:fill="FFFFFF" w:themeFill="background1"/>
          <w:lang w:val="en"/>
        </w:rPr>
      </w:pPr>
      <w:r w:rsidRPr="00BE5E82">
        <w:rPr>
          <w:rFonts w:ascii="Times New Roman" w:hAnsi="Times New Roman" w:cs="Times New Roman"/>
          <w:color w:val="222222"/>
          <w:sz w:val="22"/>
          <w:szCs w:val="22"/>
          <w:lang w:val="en"/>
        </w:rPr>
        <w:tab/>
      </w:r>
      <w:r w:rsidRPr="00BE5E82">
        <w:rPr>
          <w:rFonts w:ascii="Times New Roman" w:hAnsi="Times New Roman" w:cs="Times New Roman"/>
          <w:color w:val="222222"/>
          <w:sz w:val="22"/>
          <w:szCs w:val="22"/>
          <w:shd w:val="clear" w:color="auto" w:fill="FFFFFF" w:themeFill="background1"/>
        </w:rPr>
        <w:t>Based on the calculation of normalized gain in experimental class 1 it is concluded that the average experimental class 1 falls into the medium gain category (g = 0.54), in experimental class 2 the average experimental class 2 falls into the high gain category (g = 0 , 70). Then it can be concluded that the increase in learning outcomes of experimental class 2 students is higher than the learning outcomes of experimental class 1. The magnitude of the difference in the increase in learning outcomes of experimental class 2 students with experimental class 1 is 16%.</w:t>
      </w:r>
    </w:p>
    <w:p w14:paraId="404C8635" w14:textId="77777777" w:rsidR="00FD774D" w:rsidRPr="00BE5E82" w:rsidRDefault="00FD774D" w:rsidP="00BE5E82">
      <w:pPr>
        <w:pStyle w:val="HTMLPreformatted"/>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The hypothesis in this study as stated earlier is as follows:</w:t>
      </w:r>
    </w:p>
    <w:p w14:paraId="5599FA75" w14:textId="14CBBB7E" w:rsidR="00FD774D" w:rsidRPr="00BE5E82" w:rsidRDefault="00FD774D" w:rsidP="00BE5E82">
      <w:pPr>
        <w:pStyle w:val="HTMLPreformatted"/>
        <w:spacing w:line="276" w:lineRule="auto"/>
        <w:ind w:left="284"/>
        <w:jc w:val="both"/>
        <w:rPr>
          <w:rFonts w:ascii="Times New Roman" w:hAnsi="Times New Roman" w:cs="Times New Roman"/>
          <w:color w:val="222222"/>
          <w:sz w:val="22"/>
          <w:szCs w:val="22"/>
          <w:lang w:val="en"/>
        </w:rPr>
      </w:pPr>
      <w:r w:rsidRPr="00BE5E82">
        <w:rPr>
          <w:rFonts w:ascii="Times New Roman" w:hAnsi="Times New Roman" w:cs="Times New Roman"/>
          <w:b/>
          <w:bCs/>
          <w:color w:val="222222"/>
          <w:sz w:val="22"/>
          <w:szCs w:val="22"/>
          <w:lang w:val="en"/>
        </w:rPr>
        <w:t>Ha:</w:t>
      </w:r>
      <w:r w:rsidRPr="00BE5E82">
        <w:rPr>
          <w:rFonts w:ascii="Times New Roman" w:hAnsi="Times New Roman" w:cs="Times New Roman"/>
          <w:color w:val="222222"/>
          <w:sz w:val="22"/>
          <w:szCs w:val="22"/>
          <w:lang w:val="en"/>
        </w:rPr>
        <w:t xml:space="preserve"> There are significant differences in student learning outcomes by applying discovery learning using concept maps and computer animation on hydrocarbon material.</w:t>
      </w:r>
    </w:p>
    <w:p w14:paraId="20DC81AD" w14:textId="5EEC0D71" w:rsidR="00BE769C" w:rsidRPr="00BE5E82" w:rsidRDefault="00BE769C" w:rsidP="00BE5E82">
      <w:pPr>
        <w:pStyle w:val="HTMLPreformatted"/>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 xml:space="preserve">To test the hypothesis, a two-party t-test is used using normalized gain data. Ha is accepted if t&gt; t table, at the level of α = 0.05 and dk = (n1 + n2 -2). From the calculation results obtained that </w:t>
      </w:r>
      <w:r w:rsidR="007B2A92" w:rsidRPr="00BE5E82">
        <w:rPr>
          <w:rFonts w:ascii="Times New Roman" w:hAnsi="Times New Roman" w:cs="Times New Roman"/>
          <w:color w:val="222222"/>
          <w:sz w:val="22"/>
          <w:szCs w:val="22"/>
          <w:lang w:val="en"/>
        </w:rPr>
        <w:t>t</w:t>
      </w:r>
      <w:r w:rsidR="007B2A92" w:rsidRPr="007B2A92">
        <w:rPr>
          <w:rFonts w:ascii="Times New Roman" w:hAnsi="Times New Roman" w:cs="Times New Roman"/>
          <w:color w:val="222222"/>
          <w:sz w:val="22"/>
          <w:szCs w:val="22"/>
          <w:vertAlign w:val="subscript"/>
          <w:lang w:val="en"/>
        </w:rPr>
        <w:t>count</w:t>
      </w:r>
      <w:r w:rsidRPr="00BE5E82">
        <w:rPr>
          <w:rFonts w:ascii="Times New Roman" w:hAnsi="Times New Roman" w:cs="Times New Roman"/>
          <w:color w:val="222222"/>
          <w:sz w:val="22"/>
          <w:szCs w:val="22"/>
          <w:lang w:val="en"/>
        </w:rPr>
        <w:t xml:space="preserve"> = </w:t>
      </w:r>
      <w:r w:rsidRPr="00BE5E82">
        <w:rPr>
          <w:rFonts w:ascii="Times New Roman" w:hAnsi="Times New Roman" w:cs="Times New Roman"/>
          <w:color w:val="222222"/>
          <w:sz w:val="22"/>
          <w:szCs w:val="22"/>
          <w:lang w:val="en"/>
        </w:rPr>
        <w:lastRenderedPageBreak/>
        <w:t>5.56 while t</w:t>
      </w:r>
      <w:r w:rsidRPr="007B2A92">
        <w:rPr>
          <w:rFonts w:ascii="Times New Roman" w:hAnsi="Times New Roman" w:cs="Times New Roman"/>
          <w:color w:val="222222"/>
          <w:sz w:val="22"/>
          <w:szCs w:val="22"/>
          <w:vertAlign w:val="subscript"/>
          <w:lang w:val="en"/>
        </w:rPr>
        <w:t>table</w:t>
      </w:r>
      <w:r w:rsidRPr="00BE5E82">
        <w:rPr>
          <w:rFonts w:ascii="Times New Roman" w:hAnsi="Times New Roman" w:cs="Times New Roman"/>
          <w:color w:val="222222"/>
          <w:sz w:val="22"/>
          <w:szCs w:val="22"/>
          <w:lang w:val="en"/>
        </w:rPr>
        <w:t xml:space="preserve"> = 1.6671 at dk = 78. Thus t</w:t>
      </w:r>
      <w:r w:rsidRPr="007B2A92">
        <w:rPr>
          <w:rFonts w:ascii="Times New Roman" w:hAnsi="Times New Roman" w:cs="Times New Roman"/>
          <w:color w:val="222222"/>
          <w:sz w:val="22"/>
          <w:szCs w:val="22"/>
          <w:vertAlign w:val="subscript"/>
          <w:lang w:val="en"/>
        </w:rPr>
        <w:t>count</w:t>
      </w:r>
      <w:r w:rsidRPr="00BE5E82">
        <w:rPr>
          <w:rFonts w:ascii="Times New Roman" w:hAnsi="Times New Roman" w:cs="Times New Roman"/>
          <w:color w:val="222222"/>
          <w:sz w:val="22"/>
          <w:szCs w:val="22"/>
          <w:lang w:val="en"/>
        </w:rPr>
        <w:t>&gt; t</w:t>
      </w:r>
      <w:r w:rsidRPr="007B2A92">
        <w:rPr>
          <w:rFonts w:ascii="Times New Roman" w:hAnsi="Times New Roman" w:cs="Times New Roman"/>
          <w:color w:val="222222"/>
          <w:sz w:val="22"/>
          <w:szCs w:val="22"/>
          <w:vertAlign w:val="subscript"/>
          <w:lang w:val="en"/>
        </w:rPr>
        <w:t>table</w:t>
      </w:r>
      <w:r w:rsidRPr="00BE5E82">
        <w:rPr>
          <w:rFonts w:ascii="Times New Roman" w:hAnsi="Times New Roman" w:cs="Times New Roman"/>
          <w:color w:val="222222"/>
          <w:sz w:val="22"/>
          <w:szCs w:val="22"/>
          <w:lang w:val="en"/>
        </w:rPr>
        <w:t>, so H</w:t>
      </w:r>
      <w:r w:rsidRPr="007B2A92">
        <w:rPr>
          <w:rFonts w:ascii="Times New Roman" w:hAnsi="Times New Roman" w:cs="Times New Roman"/>
          <w:color w:val="222222"/>
          <w:sz w:val="22"/>
          <w:szCs w:val="22"/>
          <w:vertAlign w:val="subscript"/>
          <w:lang w:val="en"/>
        </w:rPr>
        <w:t>0</w:t>
      </w:r>
      <w:r w:rsidRPr="00BE5E82">
        <w:rPr>
          <w:rFonts w:ascii="Times New Roman" w:hAnsi="Times New Roman" w:cs="Times New Roman"/>
          <w:color w:val="222222"/>
          <w:sz w:val="22"/>
          <w:szCs w:val="22"/>
          <w:lang w:val="en"/>
        </w:rPr>
        <w:t xml:space="preserve"> is rejected. This means that there are significant differences in student learning outcomes by applying discovery learning using concept maps and computer animation on hydrocarbon material. </w:t>
      </w:r>
    </w:p>
    <w:p w14:paraId="466799CC" w14:textId="692893B9" w:rsidR="00BE769C" w:rsidRPr="00BE5E82" w:rsidRDefault="00BE769C" w:rsidP="00BE5E82">
      <w:pPr>
        <w:pStyle w:val="HTMLPreformatted"/>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rPr>
        <w:tab/>
      </w:r>
      <w:r w:rsidRPr="00BE5E82">
        <w:rPr>
          <w:rFonts w:ascii="Times New Roman" w:hAnsi="Times New Roman" w:cs="Times New Roman"/>
          <w:color w:val="222222"/>
          <w:sz w:val="22"/>
          <w:szCs w:val="22"/>
          <w:lang w:val="en"/>
        </w:rPr>
        <w:t xml:space="preserve">This research uses discovery learning which can make students better </w:t>
      </w:r>
      <w:r w:rsidR="006B10ED">
        <w:rPr>
          <w:rFonts w:ascii="Times New Roman" w:hAnsi="Times New Roman" w:cs="Times New Roman"/>
          <w:color w:val="222222"/>
          <w:sz w:val="22"/>
          <w:szCs w:val="22"/>
          <w:lang w:val="en"/>
        </w:rPr>
        <w:t xml:space="preserve">to </w:t>
      </w:r>
      <w:r w:rsidRPr="00BE5E82">
        <w:rPr>
          <w:rFonts w:ascii="Times New Roman" w:hAnsi="Times New Roman" w:cs="Times New Roman"/>
          <w:color w:val="222222"/>
          <w:sz w:val="22"/>
          <w:szCs w:val="22"/>
          <w:lang w:val="en"/>
        </w:rPr>
        <w:t xml:space="preserve">understand about hydrocarbons. During the learning process where students get a stimulus to be able to focus more and make it easier to understand the material provided, with the help of media that makes students easy to understand about hydrocarbons. </w:t>
      </w:r>
    </w:p>
    <w:p w14:paraId="0F83F9AF" w14:textId="77777777" w:rsidR="00BE769C" w:rsidRPr="00BE5E82" w:rsidRDefault="00BE769C" w:rsidP="00BE5E82">
      <w:pPr>
        <w:pStyle w:val="HTMLPreformatted"/>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rPr>
        <w:tab/>
      </w:r>
      <w:r w:rsidRPr="00BE5E82">
        <w:rPr>
          <w:rFonts w:ascii="Times New Roman" w:hAnsi="Times New Roman" w:cs="Times New Roman"/>
          <w:color w:val="222222"/>
          <w:sz w:val="22"/>
          <w:szCs w:val="22"/>
          <w:lang w:val="en"/>
        </w:rPr>
        <w:t>The hypothesis testing shows that student learning outcomes with discovery learning models using computer animation are higher than learning outcomes taught with discovery learning models using concept maps media on hydrocarbon material. Based on the results obtained, it can be said that the use of learning models with computer animation to increase student learning outcomes is quite good because it can improve learning outcomes.</w:t>
      </w:r>
    </w:p>
    <w:p w14:paraId="66E49914" w14:textId="77777777" w:rsidR="00BE769C" w:rsidRPr="00AE3191" w:rsidRDefault="00BE769C" w:rsidP="00AE3191">
      <w:pPr>
        <w:pStyle w:val="HTMLPreformatted"/>
        <w:spacing w:line="360" w:lineRule="auto"/>
        <w:ind w:left="284"/>
        <w:jc w:val="both"/>
        <w:rPr>
          <w:rFonts w:ascii="Times New Roman" w:hAnsi="Times New Roman" w:cs="Times New Roman"/>
          <w:color w:val="222222"/>
          <w:sz w:val="24"/>
          <w:szCs w:val="24"/>
          <w:lang w:val="en"/>
        </w:rPr>
      </w:pPr>
    </w:p>
    <w:p w14:paraId="0D5BFBD7" w14:textId="77777777" w:rsidR="0062033E" w:rsidRPr="00AE3191" w:rsidRDefault="009C30E3" w:rsidP="00AE3191">
      <w:pPr>
        <w:pStyle w:val="IEEEHeading1"/>
        <w:numPr>
          <w:ilvl w:val="0"/>
          <w:numId w:val="11"/>
        </w:numPr>
        <w:spacing w:before="0" w:after="0" w:line="360" w:lineRule="auto"/>
        <w:jc w:val="both"/>
        <w:rPr>
          <w:b/>
          <w:sz w:val="24"/>
          <w:lang w:val="en-US"/>
        </w:rPr>
      </w:pPr>
      <w:r w:rsidRPr="00AE3191">
        <w:rPr>
          <w:b/>
          <w:sz w:val="24"/>
          <w:lang w:val="id-ID"/>
        </w:rPr>
        <w:t>CONCLUSION AND ADVICE</w:t>
      </w:r>
    </w:p>
    <w:p w14:paraId="449562CF" w14:textId="25D67FE5" w:rsidR="00DA4F1D" w:rsidRPr="00BE5E82" w:rsidRDefault="0032215E" w:rsidP="00BE5E82">
      <w:pPr>
        <w:pStyle w:val="HTMLPreformatted"/>
        <w:spacing w:line="276" w:lineRule="auto"/>
        <w:jc w:val="both"/>
        <w:rPr>
          <w:rFonts w:ascii="Times New Roman" w:hAnsi="Times New Roman" w:cs="Times New Roman"/>
          <w:color w:val="222222"/>
          <w:sz w:val="22"/>
          <w:szCs w:val="22"/>
          <w:lang w:val="en"/>
        </w:rPr>
      </w:pPr>
      <w:r w:rsidRPr="00AE3191">
        <w:rPr>
          <w:rFonts w:ascii="Times New Roman" w:hAnsi="Times New Roman" w:cs="Times New Roman"/>
          <w:color w:val="222222"/>
          <w:sz w:val="24"/>
          <w:szCs w:val="24"/>
          <w:lang w:val="en"/>
        </w:rPr>
        <w:tab/>
      </w:r>
      <w:r w:rsidR="00DA4F1D" w:rsidRPr="00BE5E82">
        <w:rPr>
          <w:rFonts w:ascii="Times New Roman" w:hAnsi="Times New Roman" w:cs="Times New Roman"/>
          <w:color w:val="222222"/>
          <w:sz w:val="22"/>
          <w:szCs w:val="22"/>
          <w:lang w:val="en"/>
        </w:rPr>
        <w:t xml:space="preserve">Based on the results of research conducted, several conclusions have been drawn: </w:t>
      </w:r>
    </w:p>
    <w:p w14:paraId="2010CA9C" w14:textId="7DF1825E" w:rsidR="00DA4F1D" w:rsidRPr="00BE5E82" w:rsidRDefault="00DA4F1D" w:rsidP="00BE5E82">
      <w:pPr>
        <w:pStyle w:val="HTMLPreformatted"/>
        <w:numPr>
          <w:ilvl w:val="0"/>
          <w:numId w:val="15"/>
        </w:numPr>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Student learning outcomes taught by applying discovery learning using concept maps and computer animation there are significant differences. This can be seen from the results of t-test analysis obtained t</w:t>
      </w:r>
      <w:r w:rsidRPr="006C350C">
        <w:rPr>
          <w:rFonts w:ascii="Times New Roman" w:hAnsi="Times New Roman" w:cs="Times New Roman"/>
          <w:color w:val="222222"/>
          <w:sz w:val="22"/>
          <w:szCs w:val="22"/>
          <w:vertAlign w:val="subscript"/>
          <w:lang w:val="en"/>
        </w:rPr>
        <w:t>count</w:t>
      </w:r>
      <w:r w:rsidRPr="00BE5E82">
        <w:rPr>
          <w:rFonts w:ascii="Times New Roman" w:hAnsi="Times New Roman" w:cs="Times New Roman"/>
          <w:color w:val="222222"/>
          <w:sz w:val="22"/>
          <w:szCs w:val="22"/>
          <w:lang w:val="en"/>
        </w:rPr>
        <w:t>&gt; t</w:t>
      </w:r>
      <w:r w:rsidRPr="006C350C">
        <w:rPr>
          <w:rFonts w:ascii="Times New Roman" w:hAnsi="Times New Roman" w:cs="Times New Roman"/>
          <w:color w:val="222222"/>
          <w:sz w:val="22"/>
          <w:szCs w:val="22"/>
          <w:vertAlign w:val="subscript"/>
          <w:lang w:val="en"/>
        </w:rPr>
        <w:t>table</w:t>
      </w:r>
      <w:r w:rsidRPr="00BE5E82">
        <w:rPr>
          <w:rFonts w:ascii="Times New Roman" w:hAnsi="Times New Roman" w:cs="Times New Roman"/>
          <w:color w:val="222222"/>
          <w:sz w:val="22"/>
          <w:szCs w:val="22"/>
          <w:lang w:val="en"/>
        </w:rPr>
        <w:t xml:space="preserve"> (5.56 &lt;1.6671) at a significant level α = 0.05.</w:t>
      </w:r>
    </w:p>
    <w:p w14:paraId="5679F6CA" w14:textId="4DEB67C8" w:rsidR="00BE6562" w:rsidRPr="00BE5E82" w:rsidRDefault="00DA4F1D" w:rsidP="00BE5E82">
      <w:pPr>
        <w:pStyle w:val="HTMLPreformatted"/>
        <w:numPr>
          <w:ilvl w:val="0"/>
          <w:numId w:val="15"/>
        </w:numPr>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Based on the normalized gain data, the magnitude of the increase in student learning outcomes with discovery learning learning models using computer animation is 70% and the increase in learning outcomes using concept maps is 54%. The magnitude of the difference in the increase in student learning outcomes is 16%.</w:t>
      </w:r>
    </w:p>
    <w:p w14:paraId="582566AE" w14:textId="45B26C8C" w:rsidR="00A2253B" w:rsidRPr="00BE5E82" w:rsidRDefault="0032215E" w:rsidP="00BE5E82">
      <w:pPr>
        <w:pStyle w:val="HTMLPreformatted"/>
        <w:tabs>
          <w:tab w:val="clear" w:pos="916"/>
          <w:tab w:val="left" w:pos="993"/>
        </w:tabs>
        <w:spacing w:line="276" w:lineRule="auto"/>
        <w:ind w:left="360"/>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ab/>
      </w:r>
      <w:r w:rsidR="00A2253B" w:rsidRPr="00BE5E82">
        <w:rPr>
          <w:rFonts w:ascii="Times New Roman" w:hAnsi="Times New Roman" w:cs="Times New Roman"/>
          <w:color w:val="222222"/>
          <w:sz w:val="22"/>
          <w:szCs w:val="22"/>
          <w:lang w:val="en"/>
        </w:rPr>
        <w:t>Based on the conclusions from the results of the study, the authors suggest the following:</w:t>
      </w:r>
    </w:p>
    <w:p w14:paraId="1E538641" w14:textId="77777777" w:rsidR="0032215E" w:rsidRPr="00BE5E82" w:rsidRDefault="00A2253B" w:rsidP="00BE5E82">
      <w:pPr>
        <w:pStyle w:val="HTMLPreformatted"/>
        <w:numPr>
          <w:ilvl w:val="0"/>
          <w:numId w:val="16"/>
        </w:numPr>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It is expected that prospective educators who want to apply discovery learning models with computer animation can use the time in accordance with what was planned in the learning implementation plan.</w:t>
      </w:r>
      <w:r w:rsidR="0032215E" w:rsidRPr="00BE5E82">
        <w:rPr>
          <w:rFonts w:ascii="Times New Roman" w:hAnsi="Times New Roman" w:cs="Times New Roman"/>
          <w:color w:val="222222"/>
          <w:sz w:val="22"/>
          <w:szCs w:val="22"/>
          <w:lang w:val="en"/>
        </w:rPr>
        <w:t xml:space="preserve"> </w:t>
      </w:r>
    </w:p>
    <w:p w14:paraId="252F89B5" w14:textId="77777777" w:rsidR="0032215E" w:rsidRPr="00BE5E82" w:rsidRDefault="00A2253B" w:rsidP="00BE5E82">
      <w:pPr>
        <w:pStyle w:val="HTMLPreformatted"/>
        <w:numPr>
          <w:ilvl w:val="0"/>
          <w:numId w:val="16"/>
        </w:numPr>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It is expected that educators learn technology in the use of learning media in the learning process.</w:t>
      </w:r>
      <w:r w:rsidR="0032215E" w:rsidRPr="00BE5E82">
        <w:rPr>
          <w:rFonts w:ascii="Times New Roman" w:hAnsi="Times New Roman" w:cs="Times New Roman"/>
          <w:color w:val="222222"/>
          <w:sz w:val="22"/>
          <w:szCs w:val="22"/>
          <w:lang w:val="en"/>
        </w:rPr>
        <w:t xml:space="preserve"> </w:t>
      </w:r>
    </w:p>
    <w:p w14:paraId="5AA2BC07" w14:textId="0D8E851B" w:rsidR="00A2253B" w:rsidRPr="00BE5E82" w:rsidRDefault="00A2253B" w:rsidP="00BE5E82">
      <w:pPr>
        <w:pStyle w:val="HTMLPreformatted"/>
        <w:numPr>
          <w:ilvl w:val="0"/>
          <w:numId w:val="16"/>
        </w:numPr>
        <w:spacing w:line="276" w:lineRule="auto"/>
        <w:jc w:val="both"/>
        <w:rPr>
          <w:rFonts w:ascii="Times New Roman" w:hAnsi="Times New Roman" w:cs="Times New Roman"/>
          <w:color w:val="222222"/>
          <w:sz w:val="22"/>
          <w:szCs w:val="22"/>
          <w:lang w:val="en"/>
        </w:rPr>
      </w:pPr>
      <w:r w:rsidRPr="00BE5E82">
        <w:rPr>
          <w:rFonts w:ascii="Times New Roman" w:hAnsi="Times New Roman" w:cs="Times New Roman"/>
          <w:color w:val="222222"/>
          <w:sz w:val="22"/>
          <w:szCs w:val="22"/>
          <w:lang w:val="en"/>
        </w:rPr>
        <w:t>To other researchers who will examine this research with different subjects th</w:t>
      </w:r>
      <w:r w:rsidR="0073011A">
        <w:rPr>
          <w:rFonts w:ascii="Times New Roman" w:hAnsi="Times New Roman" w:cs="Times New Roman"/>
          <w:color w:val="222222"/>
          <w:sz w:val="22"/>
          <w:szCs w:val="22"/>
          <w:lang w:val="en"/>
        </w:rPr>
        <w:t xml:space="preserve">is </w:t>
      </w:r>
      <w:r w:rsidRPr="00BE5E82">
        <w:rPr>
          <w:rFonts w:ascii="Times New Roman" w:hAnsi="Times New Roman" w:cs="Times New Roman"/>
          <w:color w:val="222222"/>
          <w:sz w:val="22"/>
          <w:szCs w:val="22"/>
          <w:lang w:val="en"/>
        </w:rPr>
        <w:t xml:space="preserve">can be used as a comparative study in improving the quality of education, especially </w:t>
      </w:r>
      <w:r w:rsidR="0073011A">
        <w:rPr>
          <w:rFonts w:ascii="Times New Roman" w:hAnsi="Times New Roman" w:cs="Times New Roman"/>
          <w:color w:val="222222"/>
          <w:sz w:val="22"/>
          <w:szCs w:val="22"/>
          <w:lang w:val="en"/>
        </w:rPr>
        <w:t>at</w:t>
      </w:r>
      <w:r w:rsidRPr="00BE5E82">
        <w:rPr>
          <w:rFonts w:ascii="Times New Roman" w:hAnsi="Times New Roman" w:cs="Times New Roman"/>
          <w:color w:val="222222"/>
          <w:sz w:val="22"/>
          <w:szCs w:val="22"/>
          <w:lang w:val="en"/>
        </w:rPr>
        <w:t xml:space="preserve"> chemistry subjects. </w:t>
      </w:r>
    </w:p>
    <w:p w14:paraId="5AF9509A" w14:textId="77777777" w:rsidR="00BE6562" w:rsidRPr="00AE3191" w:rsidRDefault="00BE6562" w:rsidP="00085561">
      <w:pPr>
        <w:pStyle w:val="HTMLPreformatted"/>
        <w:tabs>
          <w:tab w:val="left" w:pos="720"/>
        </w:tabs>
        <w:spacing w:line="360" w:lineRule="auto"/>
        <w:ind w:left="720"/>
        <w:jc w:val="both"/>
        <w:rPr>
          <w:rFonts w:ascii="Times New Roman" w:hAnsi="Times New Roman" w:cs="Times New Roman"/>
          <w:color w:val="222222"/>
          <w:sz w:val="24"/>
          <w:szCs w:val="24"/>
          <w:lang w:val="en"/>
        </w:rPr>
      </w:pPr>
    </w:p>
    <w:p w14:paraId="478FDB59" w14:textId="55E030AB" w:rsidR="00BB5C2C" w:rsidRPr="00B01011" w:rsidRDefault="00B01011" w:rsidP="00B01011">
      <w:pPr>
        <w:pStyle w:val="IEEEHeading1"/>
        <w:numPr>
          <w:ilvl w:val="0"/>
          <w:numId w:val="0"/>
        </w:numPr>
        <w:spacing w:line="276" w:lineRule="auto"/>
        <w:jc w:val="left"/>
        <w:rPr>
          <w:rFonts w:asciiTheme="majorHAnsi" w:hAnsiTheme="majorHAnsi"/>
          <w:b/>
          <w:sz w:val="22"/>
          <w:szCs w:val="22"/>
          <w:lang w:val="en-US"/>
        </w:rPr>
      </w:pPr>
      <w:r>
        <w:rPr>
          <w:rFonts w:asciiTheme="majorHAnsi" w:hAnsiTheme="majorHAnsi"/>
          <w:b/>
          <w:sz w:val="22"/>
          <w:szCs w:val="22"/>
          <w:lang w:val="en-US"/>
        </w:rPr>
        <w:t>REFERENCES</w:t>
      </w:r>
    </w:p>
    <w:p w14:paraId="74AF663F" w14:textId="403F8900" w:rsidR="00155E94" w:rsidRPr="00155E94" w:rsidRDefault="00155E94" w:rsidP="00155E94">
      <w:pPr>
        <w:widowControl w:val="0"/>
        <w:autoSpaceDE w:val="0"/>
        <w:autoSpaceDN w:val="0"/>
        <w:adjustRightInd w:val="0"/>
        <w:ind w:left="480" w:hanging="480"/>
        <w:rPr>
          <w:rFonts w:ascii="Cambria" w:hAnsi="Cambria"/>
          <w:noProof/>
          <w:sz w:val="22"/>
        </w:rPr>
      </w:pPr>
      <w:r>
        <w:rPr>
          <w:rFonts w:asciiTheme="majorHAnsi" w:hAnsiTheme="majorHAnsi"/>
          <w:b/>
          <w:color w:val="FF0000"/>
          <w:sz w:val="22"/>
          <w:szCs w:val="22"/>
        </w:rPr>
        <w:fldChar w:fldCharType="begin" w:fldLock="1"/>
      </w:r>
      <w:r>
        <w:rPr>
          <w:rFonts w:asciiTheme="majorHAnsi" w:hAnsiTheme="majorHAnsi"/>
          <w:b/>
          <w:color w:val="FF0000"/>
          <w:sz w:val="22"/>
          <w:szCs w:val="22"/>
        </w:rPr>
        <w:instrText xml:space="preserve">ADDIN Mendeley Bibliography CSL_BIBLIOGRAPHY </w:instrText>
      </w:r>
      <w:r>
        <w:rPr>
          <w:rFonts w:asciiTheme="majorHAnsi" w:hAnsiTheme="majorHAnsi"/>
          <w:b/>
          <w:color w:val="FF0000"/>
          <w:sz w:val="22"/>
          <w:szCs w:val="22"/>
        </w:rPr>
        <w:fldChar w:fldCharType="separate"/>
      </w:r>
      <w:r w:rsidRPr="00155E94">
        <w:rPr>
          <w:rFonts w:ascii="Cambria" w:hAnsi="Cambria"/>
          <w:noProof/>
          <w:sz w:val="22"/>
        </w:rPr>
        <w:t xml:space="preserve">Boujaoude, S., &amp; Attieh, M. (2008). The effect of using concept maps as study tools on achievement in chemistry. </w:t>
      </w:r>
      <w:r w:rsidRPr="00155E94">
        <w:rPr>
          <w:rFonts w:ascii="Cambria" w:hAnsi="Cambria"/>
          <w:i/>
          <w:iCs/>
          <w:noProof/>
          <w:sz w:val="22"/>
        </w:rPr>
        <w:t>Eurasia Journal of Mathematics, Science and Technology Education</w:t>
      </w:r>
      <w:r w:rsidRPr="00155E94">
        <w:rPr>
          <w:rFonts w:ascii="Cambria" w:hAnsi="Cambria"/>
          <w:noProof/>
          <w:sz w:val="22"/>
        </w:rPr>
        <w:t xml:space="preserve">, </w:t>
      </w:r>
      <w:r w:rsidRPr="00155E94">
        <w:rPr>
          <w:rFonts w:ascii="Cambria" w:hAnsi="Cambria"/>
          <w:i/>
          <w:iCs/>
          <w:noProof/>
          <w:sz w:val="22"/>
        </w:rPr>
        <w:t>4</w:t>
      </w:r>
      <w:r w:rsidRPr="00155E94">
        <w:rPr>
          <w:rFonts w:ascii="Cambria" w:hAnsi="Cambria"/>
          <w:noProof/>
          <w:sz w:val="22"/>
        </w:rPr>
        <w:t>(3), 233–246. https://doi.org/10.12973/ejmste/75345</w:t>
      </w:r>
    </w:p>
    <w:p w14:paraId="07F2725B"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Catur Saputro, A. N., Istiana, G., &amp; Sukardjo, J. (2015). Penerapan Model Pembelajaran Discovery Learning Untuk Meningkatkan Aktivitas Dan Prestasi Belajar Pokok Bahasan Larutan Penyangga Pada Siswa Kelas Xi Ipa Semester Ii Sma Negeri 1 Ngemplak Tahun Pelajaran 2013/2014. </w:t>
      </w:r>
      <w:r w:rsidRPr="00155E94">
        <w:rPr>
          <w:rFonts w:ascii="Cambria" w:hAnsi="Cambria"/>
          <w:i/>
          <w:iCs/>
          <w:noProof/>
          <w:sz w:val="22"/>
        </w:rPr>
        <w:t>Jurnal Pendidikan Kimia Universitas Sebelas Maret</w:t>
      </w:r>
      <w:r w:rsidRPr="00155E94">
        <w:rPr>
          <w:rFonts w:ascii="Cambria" w:hAnsi="Cambria"/>
          <w:noProof/>
          <w:sz w:val="22"/>
        </w:rPr>
        <w:t xml:space="preserve">, </w:t>
      </w:r>
      <w:r w:rsidRPr="00155E94">
        <w:rPr>
          <w:rFonts w:ascii="Cambria" w:hAnsi="Cambria"/>
          <w:i/>
          <w:iCs/>
          <w:noProof/>
          <w:sz w:val="22"/>
        </w:rPr>
        <w:t>4</w:t>
      </w:r>
      <w:r w:rsidRPr="00155E94">
        <w:rPr>
          <w:rFonts w:ascii="Cambria" w:hAnsi="Cambria"/>
          <w:noProof/>
          <w:sz w:val="22"/>
        </w:rPr>
        <w:t>(2), 65–73.</w:t>
      </w:r>
    </w:p>
    <w:p w14:paraId="7B19BD16"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Catur Saputro, A. N., Puspitasari, N., &amp; Ashadi, A. (2015). Studi Komparasi Penggunaan Media Animasi Dan Media Lks Dalam Pembelajaran Kooperatif Metode Teams Games Tournament (Tgt) Pada Materi Pokok Sistem Koloid Kelas Xi Ipa Sman 1 Sukoharjo Tahun Pelajaran 2013/2014. </w:t>
      </w:r>
      <w:r w:rsidRPr="00155E94">
        <w:rPr>
          <w:rFonts w:ascii="Cambria" w:hAnsi="Cambria"/>
          <w:i/>
          <w:iCs/>
          <w:noProof/>
          <w:sz w:val="22"/>
        </w:rPr>
        <w:t>Jurnal Pendidikan Kimia</w:t>
      </w:r>
      <w:r w:rsidRPr="00155E94">
        <w:rPr>
          <w:rFonts w:ascii="Cambria" w:hAnsi="Cambria"/>
          <w:noProof/>
          <w:sz w:val="22"/>
        </w:rPr>
        <w:t xml:space="preserve">, </w:t>
      </w:r>
      <w:r w:rsidRPr="00155E94">
        <w:rPr>
          <w:rFonts w:ascii="Cambria" w:hAnsi="Cambria"/>
          <w:i/>
          <w:iCs/>
          <w:noProof/>
          <w:sz w:val="22"/>
        </w:rPr>
        <w:t>4</w:t>
      </w:r>
      <w:r w:rsidRPr="00155E94">
        <w:rPr>
          <w:rFonts w:ascii="Cambria" w:hAnsi="Cambria"/>
          <w:noProof/>
          <w:sz w:val="22"/>
        </w:rPr>
        <w:t>(2), 8–14.</w:t>
      </w:r>
    </w:p>
    <w:p w14:paraId="2577DF64"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Fitriani, A., Danial, M., &amp; Wijaya, M. (2014). Pengaruh Penggunaan Media Animasi pada Model Discovery Learning terhadap Hasil Belajar Kimia Peserta Didik Kelas X MIA SMAN 1 Bungoro (Studi pada Materi Pokok Ikatan Kimia). </w:t>
      </w:r>
      <w:r w:rsidRPr="00155E94">
        <w:rPr>
          <w:rFonts w:ascii="Cambria" w:hAnsi="Cambria"/>
          <w:i/>
          <w:iCs/>
          <w:noProof/>
          <w:sz w:val="22"/>
        </w:rPr>
        <w:t>Chemica</w:t>
      </w:r>
      <w:r w:rsidRPr="00155E94">
        <w:rPr>
          <w:rFonts w:ascii="Cambria" w:hAnsi="Cambria"/>
          <w:noProof/>
          <w:sz w:val="22"/>
        </w:rPr>
        <w:t xml:space="preserve">, </w:t>
      </w:r>
      <w:r w:rsidRPr="00155E94">
        <w:rPr>
          <w:rFonts w:ascii="Cambria" w:hAnsi="Cambria"/>
          <w:i/>
          <w:iCs/>
          <w:noProof/>
          <w:sz w:val="22"/>
        </w:rPr>
        <w:t>15</w:t>
      </w:r>
      <w:r w:rsidRPr="00155E94">
        <w:rPr>
          <w:rFonts w:ascii="Cambria" w:hAnsi="Cambria"/>
          <w:noProof/>
          <w:sz w:val="22"/>
        </w:rPr>
        <w:t>(2), 114–122.</w:t>
      </w:r>
    </w:p>
    <w:p w14:paraId="02C1D679"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lastRenderedPageBreak/>
        <w:t xml:space="preserve">Hatika, R. G. (2016). Peningkatan Hasil Belajar Fisika Dengan Menerapkan Model Pembelajaran Advance Organizer Berbantu Animasi Komputer. </w:t>
      </w:r>
      <w:r w:rsidRPr="00155E94">
        <w:rPr>
          <w:rFonts w:ascii="Cambria" w:hAnsi="Cambria"/>
          <w:i/>
          <w:iCs/>
          <w:noProof/>
          <w:sz w:val="22"/>
        </w:rPr>
        <w:t>Jurnal Pendidikan Fisika Indonesia</w:t>
      </w:r>
      <w:r w:rsidRPr="00155E94">
        <w:rPr>
          <w:rFonts w:ascii="Cambria" w:hAnsi="Cambria"/>
          <w:noProof/>
          <w:sz w:val="22"/>
        </w:rPr>
        <w:t xml:space="preserve">, </w:t>
      </w:r>
      <w:r w:rsidRPr="00155E94">
        <w:rPr>
          <w:rFonts w:ascii="Cambria" w:hAnsi="Cambria"/>
          <w:i/>
          <w:iCs/>
          <w:noProof/>
          <w:sz w:val="22"/>
        </w:rPr>
        <w:t>12</w:t>
      </w:r>
      <w:r w:rsidRPr="00155E94">
        <w:rPr>
          <w:rFonts w:ascii="Cambria" w:hAnsi="Cambria"/>
          <w:noProof/>
          <w:sz w:val="22"/>
        </w:rPr>
        <w:t>(2), 13–117. https://doi.org/10.15294/jpfi.v12i2.5210</w:t>
      </w:r>
    </w:p>
    <w:p w14:paraId="614D9CF2"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Ismail, M., Lukman, &amp; Alio, L. (2013). Meningkatkan hasil belajar ikatan kimia dengan menerapkan strategi pembelajaran peta konsep pada siswa kelas X di SMA Negeri I Telaga. </w:t>
      </w:r>
      <w:r w:rsidRPr="00155E94">
        <w:rPr>
          <w:rFonts w:ascii="Cambria" w:hAnsi="Cambria"/>
          <w:i/>
          <w:iCs/>
          <w:noProof/>
          <w:sz w:val="22"/>
        </w:rPr>
        <w:t>Jurnal Entropi</w:t>
      </w:r>
      <w:r w:rsidRPr="00155E94">
        <w:rPr>
          <w:rFonts w:ascii="Cambria" w:hAnsi="Cambria"/>
          <w:noProof/>
          <w:sz w:val="22"/>
        </w:rPr>
        <w:t xml:space="preserve">, </w:t>
      </w:r>
      <w:r w:rsidRPr="00155E94">
        <w:rPr>
          <w:rFonts w:ascii="Cambria" w:hAnsi="Cambria"/>
          <w:i/>
          <w:iCs/>
          <w:noProof/>
          <w:sz w:val="22"/>
        </w:rPr>
        <w:t>8</w:t>
      </w:r>
      <w:r w:rsidRPr="00155E94">
        <w:rPr>
          <w:rFonts w:ascii="Cambria" w:hAnsi="Cambria"/>
          <w:noProof/>
          <w:sz w:val="22"/>
        </w:rPr>
        <w:t>(1), 1–10.</w:t>
      </w:r>
    </w:p>
    <w:p w14:paraId="798AEA92"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Kurnianto, H., Masykuri, M., &amp; Yamtinah, S. (2015). Pengaruh Model Pembelajaran Discovery Learning Disertai Lembar Kegiatan Siswa (Lks) Terhadap Prestasi Belajar Siswa Pada Materi Hidrolisis Garam Kelas Xi Sma Negeri 1 Karanganyar Tahun Pelajaran 2014/2015. </w:t>
      </w:r>
      <w:r w:rsidRPr="00155E94">
        <w:rPr>
          <w:rFonts w:ascii="Cambria" w:hAnsi="Cambria"/>
          <w:i/>
          <w:iCs/>
          <w:noProof/>
          <w:sz w:val="22"/>
        </w:rPr>
        <w:t>Jurnal Pendidikan Kimia Universitas Sebelas Maret</w:t>
      </w:r>
      <w:r w:rsidRPr="00155E94">
        <w:rPr>
          <w:rFonts w:ascii="Cambria" w:hAnsi="Cambria"/>
          <w:noProof/>
          <w:sz w:val="22"/>
        </w:rPr>
        <w:t xml:space="preserve">, </w:t>
      </w:r>
      <w:r w:rsidRPr="00155E94">
        <w:rPr>
          <w:rFonts w:ascii="Cambria" w:hAnsi="Cambria"/>
          <w:i/>
          <w:iCs/>
          <w:noProof/>
          <w:sz w:val="22"/>
        </w:rPr>
        <w:t>5</w:t>
      </w:r>
      <w:r w:rsidRPr="00155E94">
        <w:rPr>
          <w:rFonts w:ascii="Cambria" w:hAnsi="Cambria"/>
          <w:noProof/>
          <w:sz w:val="22"/>
        </w:rPr>
        <w:t>(1), 32–40.</w:t>
      </w:r>
    </w:p>
    <w:p w14:paraId="6155E124"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Miller, K. J., Koury, K. A., Fitzgerald, G. E., Hollingsead, C., Mitchem, K. J., Tsai, H.-H., &amp; Meeaeng Ko Park. (2009). Concept Mapping as a Research Tool to Evaluate Conceptual Change Related to Instructional Methods. </w:t>
      </w:r>
      <w:r w:rsidRPr="00155E94">
        <w:rPr>
          <w:rFonts w:ascii="Cambria" w:hAnsi="Cambria"/>
          <w:i/>
          <w:iCs/>
          <w:noProof/>
          <w:sz w:val="22"/>
        </w:rPr>
        <w:t>Teacher Education and Special Education: The Journal of the Teacher Education Division of the Council for Exceptional Children</w:t>
      </w:r>
      <w:r w:rsidRPr="00155E94">
        <w:rPr>
          <w:rFonts w:ascii="Cambria" w:hAnsi="Cambria"/>
          <w:noProof/>
          <w:sz w:val="22"/>
        </w:rPr>
        <w:t xml:space="preserve">, </w:t>
      </w:r>
      <w:r w:rsidRPr="00155E94">
        <w:rPr>
          <w:rFonts w:ascii="Cambria" w:hAnsi="Cambria"/>
          <w:i/>
          <w:iCs/>
          <w:noProof/>
          <w:sz w:val="22"/>
        </w:rPr>
        <w:t>32</w:t>
      </w:r>
      <w:r w:rsidRPr="00155E94">
        <w:rPr>
          <w:rFonts w:ascii="Cambria" w:hAnsi="Cambria"/>
          <w:noProof/>
          <w:sz w:val="22"/>
        </w:rPr>
        <w:t>(4), 365–378. https://doi.org/10.1177/0888406409346149</w:t>
      </w:r>
    </w:p>
    <w:p w14:paraId="36AB16E4"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Nbina, J. B., &amp; Obomanu, B. J. (2010). The meaning of scientific literacy: A model of relevance in science education. </w:t>
      </w:r>
      <w:r w:rsidRPr="00155E94">
        <w:rPr>
          <w:rFonts w:ascii="Cambria" w:hAnsi="Cambria"/>
          <w:i/>
          <w:iCs/>
          <w:noProof/>
          <w:sz w:val="22"/>
        </w:rPr>
        <w:t>Academic Leadership</w:t>
      </w:r>
      <w:r w:rsidRPr="00155E94">
        <w:rPr>
          <w:rFonts w:ascii="Cambria" w:hAnsi="Cambria"/>
          <w:noProof/>
          <w:sz w:val="22"/>
        </w:rPr>
        <w:t xml:space="preserve">, </w:t>
      </w:r>
      <w:r w:rsidRPr="00155E94">
        <w:rPr>
          <w:rFonts w:ascii="Cambria" w:hAnsi="Cambria"/>
          <w:i/>
          <w:iCs/>
          <w:noProof/>
          <w:sz w:val="22"/>
        </w:rPr>
        <w:t>8</w:t>
      </w:r>
      <w:r w:rsidRPr="00155E94">
        <w:rPr>
          <w:rFonts w:ascii="Cambria" w:hAnsi="Cambria"/>
          <w:noProof/>
          <w:sz w:val="22"/>
        </w:rPr>
        <w:t>(4).</w:t>
      </w:r>
    </w:p>
    <w:p w14:paraId="5C9A097C"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Putrayasa, I. M., Syahruddin, H., &amp; Mergunayasa, I. G. (2014). Pengaruh Model Pembelajaran Discovery Learning Dan Minat Belajar Terhadap Hasil Belajar Ipa Siswa. </w:t>
      </w:r>
      <w:r w:rsidRPr="00155E94">
        <w:rPr>
          <w:rFonts w:ascii="Cambria" w:hAnsi="Cambria"/>
          <w:i/>
          <w:iCs/>
          <w:noProof/>
          <w:sz w:val="22"/>
        </w:rPr>
        <w:t>Jurnal Mimbar PGSD Universitas Pendidikan Ganesha</w:t>
      </w:r>
      <w:r w:rsidRPr="00155E94">
        <w:rPr>
          <w:rFonts w:ascii="Cambria" w:hAnsi="Cambria"/>
          <w:noProof/>
          <w:sz w:val="22"/>
        </w:rPr>
        <w:t xml:space="preserve">, </w:t>
      </w:r>
      <w:r w:rsidRPr="00155E94">
        <w:rPr>
          <w:rFonts w:ascii="Cambria" w:hAnsi="Cambria"/>
          <w:i/>
          <w:iCs/>
          <w:noProof/>
          <w:sz w:val="22"/>
        </w:rPr>
        <w:t>2</w:t>
      </w:r>
      <w:r w:rsidRPr="00155E94">
        <w:rPr>
          <w:rFonts w:ascii="Cambria" w:hAnsi="Cambria"/>
          <w:noProof/>
          <w:sz w:val="22"/>
        </w:rPr>
        <w:t>(1), 1–11. https://doi.org/10.1093/brain/awt103</w:t>
      </w:r>
    </w:p>
    <w:p w14:paraId="1C6AC007"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Setiyawan, D., &amp; Indrowati, M. (2014). </w:t>
      </w:r>
      <w:r w:rsidRPr="00155E94">
        <w:rPr>
          <w:rFonts w:ascii="Cambria" w:hAnsi="Cambria"/>
          <w:i/>
          <w:iCs/>
          <w:noProof/>
          <w:sz w:val="22"/>
        </w:rPr>
        <w:t>the Comparison Between Discovery Learning With Concept Map and Discovery Learning To Understanding Concept Protista of X Grade Students Sma Negeri</w:t>
      </w:r>
      <w:r w:rsidRPr="00155E94">
        <w:rPr>
          <w:rFonts w:ascii="Cambria" w:hAnsi="Cambria"/>
          <w:noProof/>
          <w:sz w:val="22"/>
        </w:rPr>
        <w:t xml:space="preserve">. </w:t>
      </w:r>
      <w:r w:rsidRPr="00155E94">
        <w:rPr>
          <w:rFonts w:ascii="Cambria" w:hAnsi="Cambria"/>
          <w:i/>
          <w:iCs/>
          <w:noProof/>
          <w:sz w:val="22"/>
        </w:rPr>
        <w:t>5</w:t>
      </w:r>
      <w:r w:rsidRPr="00155E94">
        <w:rPr>
          <w:rFonts w:ascii="Cambria" w:hAnsi="Cambria"/>
          <w:noProof/>
          <w:sz w:val="22"/>
        </w:rPr>
        <w:t>(April).</w:t>
      </w:r>
    </w:p>
    <w:p w14:paraId="46558830" w14:textId="77777777" w:rsidR="00155E94" w:rsidRPr="00155E94" w:rsidRDefault="00155E94" w:rsidP="00155E94">
      <w:pPr>
        <w:widowControl w:val="0"/>
        <w:autoSpaceDE w:val="0"/>
        <w:autoSpaceDN w:val="0"/>
        <w:adjustRightInd w:val="0"/>
        <w:ind w:left="480" w:hanging="480"/>
        <w:rPr>
          <w:rFonts w:ascii="Cambria" w:hAnsi="Cambria"/>
          <w:noProof/>
          <w:sz w:val="22"/>
        </w:rPr>
      </w:pPr>
      <w:r w:rsidRPr="00155E94">
        <w:rPr>
          <w:rFonts w:ascii="Cambria" w:hAnsi="Cambria"/>
          <w:noProof/>
          <w:sz w:val="22"/>
        </w:rPr>
        <w:t xml:space="preserve">Swaak, J., De Jong, T., &amp; Van Joolingen, W. R. (2004). The effects of discovery learning and expository instruction on the acquisition of definitional and intuitive knowledge. </w:t>
      </w:r>
      <w:r w:rsidRPr="00155E94">
        <w:rPr>
          <w:rFonts w:ascii="Cambria" w:hAnsi="Cambria"/>
          <w:i/>
          <w:iCs/>
          <w:noProof/>
          <w:sz w:val="22"/>
        </w:rPr>
        <w:t>Journal of Computer Assisted Learning</w:t>
      </w:r>
      <w:r w:rsidRPr="00155E94">
        <w:rPr>
          <w:rFonts w:ascii="Cambria" w:hAnsi="Cambria"/>
          <w:noProof/>
          <w:sz w:val="22"/>
        </w:rPr>
        <w:t xml:space="preserve">, </w:t>
      </w:r>
      <w:r w:rsidRPr="00155E94">
        <w:rPr>
          <w:rFonts w:ascii="Cambria" w:hAnsi="Cambria"/>
          <w:i/>
          <w:iCs/>
          <w:noProof/>
          <w:sz w:val="22"/>
        </w:rPr>
        <w:t>20</w:t>
      </w:r>
      <w:r w:rsidRPr="00155E94">
        <w:rPr>
          <w:rFonts w:ascii="Cambria" w:hAnsi="Cambria"/>
          <w:noProof/>
          <w:sz w:val="22"/>
        </w:rPr>
        <w:t>(4), 225–234. https://doi.org/10.1111/j.1365-2729.2004.00092.x</w:t>
      </w:r>
    </w:p>
    <w:p w14:paraId="183E56C1" w14:textId="2979C9CD" w:rsidR="004F6B51" w:rsidRPr="00724B17" w:rsidRDefault="00155E94" w:rsidP="00EC1C35">
      <w:pPr>
        <w:pStyle w:val="References"/>
        <w:spacing w:line="276" w:lineRule="auto"/>
        <w:rPr>
          <w:rFonts w:asciiTheme="majorHAnsi" w:hAnsiTheme="majorHAnsi"/>
          <w:b/>
          <w:color w:val="FF0000"/>
          <w:sz w:val="22"/>
          <w:szCs w:val="22"/>
        </w:rPr>
      </w:pPr>
      <w:r>
        <w:rPr>
          <w:rFonts w:asciiTheme="majorHAnsi" w:hAnsiTheme="majorHAnsi"/>
          <w:b/>
          <w:color w:val="FF0000"/>
          <w:sz w:val="22"/>
          <w:szCs w:val="22"/>
        </w:rPr>
        <w:fldChar w:fldCharType="end"/>
      </w:r>
    </w:p>
    <w:sectPr w:rsidR="004F6B51" w:rsidRPr="00724B17" w:rsidSect="00AE3191">
      <w:type w:val="continuous"/>
      <w:pgSz w:w="11906" w:h="16838" w:code="9"/>
      <w:pgMar w:top="1701" w:right="1418" w:bottom="1418" w:left="1418" w:header="567" w:footer="567"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FC663" w14:textId="77777777" w:rsidR="00C55FB1" w:rsidRDefault="00C55FB1" w:rsidP="00A1414F">
      <w:r>
        <w:separator/>
      </w:r>
    </w:p>
  </w:endnote>
  <w:endnote w:type="continuationSeparator" w:id="0">
    <w:p w14:paraId="69C312B5" w14:textId="77777777" w:rsidR="00C55FB1" w:rsidRDefault="00C55FB1"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360824"/>
      <w:docPartObj>
        <w:docPartGallery w:val="Page Numbers (Bottom of Page)"/>
        <w:docPartUnique/>
      </w:docPartObj>
    </w:sdtPr>
    <w:sdtEndPr/>
    <w:sdtContent>
      <w:p w14:paraId="33F2352A" w14:textId="77777777" w:rsidR="00427112" w:rsidRDefault="00427112" w:rsidP="00427112">
        <w:pPr>
          <w:pStyle w:val="Footer"/>
          <w:jc w:val="center"/>
        </w:pPr>
      </w:p>
      <w:p w14:paraId="6DEE59CE" w14:textId="77777777" w:rsidR="00F22C0B" w:rsidRDefault="00842B65" w:rsidP="00427112">
        <w:pPr>
          <w:pStyle w:val="Footer"/>
          <w:jc w:val="center"/>
        </w:pPr>
        <w:r>
          <w:fldChar w:fldCharType="begin"/>
        </w:r>
        <w:r>
          <w:instrText xml:space="preserve"> PAGE   \* MERGEFORMAT </w:instrText>
        </w:r>
        <w:r>
          <w:fldChar w:fldCharType="separate"/>
        </w:r>
        <w:r w:rsidR="007E7CA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63D18" w14:textId="77777777" w:rsidR="00C55FB1" w:rsidRDefault="00C55FB1" w:rsidP="00A1414F">
      <w:r>
        <w:separator/>
      </w:r>
    </w:p>
  </w:footnote>
  <w:footnote w:type="continuationSeparator" w:id="0">
    <w:p w14:paraId="1CE16011" w14:textId="77777777" w:rsidR="00C55FB1" w:rsidRDefault="00C55FB1"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8EADC" w14:textId="77777777" w:rsidR="00310DCB" w:rsidRDefault="00310DCB" w:rsidP="006079BE">
    <w:pPr>
      <w:pStyle w:val="Header"/>
      <w:tabs>
        <w:tab w:val="clear" w:pos="9360"/>
      </w:tabs>
      <w:rPr>
        <w:rFonts w:ascii="Century Gothic" w:hAnsi="Century Gothic"/>
        <w:smallCaps/>
        <w:sz w:val="20"/>
        <w:szCs w:val="20"/>
        <w:lang w:val="en-US"/>
      </w:rPr>
    </w:pPr>
  </w:p>
  <w:p w14:paraId="0F36A708" w14:textId="77777777" w:rsidR="00742F8E" w:rsidRPr="00742F8E" w:rsidRDefault="00515557"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7E7CA0">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742F8E" w:rsidRPr="00742F8E">
      <w:rPr>
        <w:rFonts w:ascii="Century Gothic" w:hAnsi="Century Gothic"/>
        <w:b/>
        <w:color w:val="000000"/>
        <w:sz w:val="20"/>
        <w:szCs w:val="20"/>
        <w:shd w:val="clear" w:color="auto" w:fill="FFFFFF"/>
      </w:rPr>
      <w:t>IJECA (International Journal of Education and Curriculum Application)</w:t>
    </w:r>
  </w:p>
  <w:p w14:paraId="3EB29EB8" w14:textId="77777777" w:rsidR="0000069A" w:rsidRPr="00742F8E" w:rsidRDefault="00742F8E"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en-US"/>
      </w:rPr>
      <w:t xml:space="preserve">        </w:t>
    </w:r>
    <w:r w:rsidR="00E20C19" w:rsidRPr="00742F8E">
      <w:rPr>
        <w:rFonts w:ascii="Century Gothic" w:hAnsi="Century Gothic"/>
        <w:sz w:val="20"/>
        <w:szCs w:val="20"/>
        <w:lang w:val="id-ID"/>
      </w:rPr>
      <w:t>Vol.</w:t>
    </w:r>
    <w:r w:rsidR="00A12127" w:rsidRPr="00742F8E">
      <w:rPr>
        <w:rFonts w:ascii="Century Gothic" w:hAnsi="Century Gothic"/>
        <w:sz w:val="20"/>
        <w:szCs w:val="20"/>
        <w:lang w:val="en-US"/>
      </w:rPr>
      <w:t xml:space="preserve"> </w:t>
    </w:r>
    <w:r>
      <w:rPr>
        <w:rFonts w:ascii="Century Gothic" w:hAnsi="Century Gothic"/>
        <w:sz w:val="20"/>
        <w:szCs w:val="20"/>
        <w:lang w:val="en-US"/>
      </w:rPr>
      <w:t>X</w:t>
    </w:r>
    <w:r w:rsidR="00E20C19" w:rsidRPr="00742F8E">
      <w:rPr>
        <w:rFonts w:ascii="Century Gothic" w:hAnsi="Century Gothic"/>
        <w:sz w:val="20"/>
        <w:szCs w:val="20"/>
        <w:lang w:val="id-ID"/>
      </w:rPr>
      <w:t>, No.</w:t>
    </w:r>
    <w:r w:rsidR="00332EA4" w:rsidRPr="00742F8E">
      <w:rPr>
        <w:rFonts w:ascii="Century Gothic" w:hAnsi="Century Gothic"/>
        <w:sz w:val="20"/>
        <w:szCs w:val="20"/>
        <w:lang w:val="en-US"/>
      </w:rPr>
      <w:t xml:space="preserve"> </w:t>
    </w:r>
    <w:r>
      <w:rPr>
        <w:rFonts w:ascii="Century Gothic" w:hAnsi="Century Gothic"/>
        <w:sz w:val="20"/>
        <w:szCs w:val="20"/>
        <w:lang w:val="en-US"/>
      </w:rPr>
      <w:t>X</w:t>
    </w:r>
    <w:r w:rsidR="00E20C19" w:rsidRPr="00742F8E">
      <w:rPr>
        <w:rFonts w:ascii="Century Gothic" w:hAnsi="Century Gothic"/>
        <w:sz w:val="20"/>
        <w:szCs w:val="20"/>
        <w:lang w:val="id-ID"/>
      </w:rPr>
      <w:t xml:space="preserve">, </w:t>
    </w:r>
    <w:r>
      <w:rPr>
        <w:rFonts w:ascii="Century Gothic" w:hAnsi="Century Gothic"/>
        <w:sz w:val="20"/>
        <w:szCs w:val="20"/>
        <w:lang w:val="en-US"/>
      </w:rPr>
      <w:t>Month</w:t>
    </w:r>
    <w:r w:rsidR="00332EA4" w:rsidRPr="00742F8E">
      <w:rPr>
        <w:rFonts w:ascii="Century Gothic" w:hAnsi="Century Gothic"/>
        <w:sz w:val="20"/>
        <w:szCs w:val="20"/>
        <w:lang w:val="en-US"/>
      </w:rPr>
      <w:t xml:space="preserve"> </w:t>
    </w:r>
    <w:r w:rsidR="009B0A53" w:rsidRPr="00742F8E">
      <w:rPr>
        <w:rFonts w:ascii="Century Gothic" w:hAnsi="Century Gothic"/>
        <w:sz w:val="20"/>
        <w:szCs w:val="20"/>
        <w:lang w:val="en-US"/>
      </w:rPr>
      <w:t>20</w:t>
    </w:r>
    <w:r>
      <w:rPr>
        <w:rFonts w:ascii="Century Gothic" w:hAnsi="Century Gothic"/>
        <w:sz w:val="20"/>
        <w:szCs w:val="20"/>
        <w:lang w:val="en-US"/>
      </w:rPr>
      <w:t>XX</w:t>
    </w:r>
    <w:r w:rsidR="0000069A" w:rsidRPr="00742F8E">
      <w:rPr>
        <w:rFonts w:ascii="Century Gothic" w:hAnsi="Century Gothic"/>
        <w:sz w:val="20"/>
        <w:szCs w:val="20"/>
        <w:lang w:val="id-ID"/>
      </w:rPr>
      <w:t xml:space="preserve">, </w:t>
    </w:r>
    <w:r w:rsidR="009B0A53" w:rsidRPr="00742F8E">
      <w:rPr>
        <w:rFonts w:ascii="Century Gothic" w:hAnsi="Century Gothic"/>
        <w:sz w:val="20"/>
        <w:szCs w:val="20"/>
        <w:lang w:val="en-US"/>
      </w:rPr>
      <w:t>pp.</w:t>
    </w:r>
    <w:r w:rsidR="0000069A" w:rsidRPr="00742F8E">
      <w:rPr>
        <w:rFonts w:ascii="Century Gothic" w:hAnsi="Century Gothic"/>
        <w:sz w:val="20"/>
        <w:szCs w:val="20"/>
        <w:lang w:val="en-US"/>
      </w:rPr>
      <w:t xml:space="preserve"> </w:t>
    </w:r>
    <w:r w:rsidR="00A12127" w:rsidRPr="00742F8E">
      <w:rPr>
        <w:rFonts w:ascii="Century Gothic" w:hAnsi="Century Gothic"/>
        <w:sz w:val="20"/>
        <w:szCs w:val="20"/>
        <w:lang w:val="en-US"/>
      </w:rPr>
      <w:t>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1AD5B" w14:textId="77777777"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D47EA8">
      <w:rPr>
        <w:i/>
        <w:sz w:val="20"/>
        <w:szCs w:val="20"/>
        <w:lang w:val="en-US"/>
      </w:rPr>
      <w:t>Corresponding Authors</w:t>
    </w:r>
    <w:r w:rsidRPr="001A1D29">
      <w:rPr>
        <w:i/>
        <w:sz w:val="20"/>
        <w:szCs w:val="20"/>
        <w:lang w:val="id-ID"/>
      </w:rPr>
      <w:t xml:space="preserve">, </w:t>
    </w:r>
    <w:r w:rsidR="00D47EA8">
      <w:rPr>
        <w:i/>
        <w:sz w:val="20"/>
        <w:szCs w:val="20"/>
        <w:lang w:val="en-US"/>
      </w:rPr>
      <w:t>Title in</w:t>
    </w:r>
    <w:r w:rsidRPr="001A1D29">
      <w:rPr>
        <w:i/>
        <w:sz w:val="20"/>
        <w:szCs w:val="20"/>
        <w:lang w:val="id-ID"/>
      </w:rPr>
      <w:t xml:space="preserve"> 3 </w:t>
    </w:r>
    <w:r w:rsidR="00D47EA8">
      <w:rPr>
        <w:i/>
        <w:sz w:val="20"/>
        <w:szCs w:val="20"/>
        <w:lang w:val="en-US"/>
      </w:rPr>
      <w:t>Words</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7E7CA0">
      <w:rPr>
        <w:noProof/>
        <w:sz w:val="20"/>
        <w:szCs w:val="20"/>
      </w:rPr>
      <w:t>3</w:t>
    </w:r>
    <w:r w:rsidR="00842B65" w:rsidRPr="001A1D29">
      <w:rPr>
        <w:noProof/>
        <w:sz w:val="20"/>
        <w:szCs w:val="20"/>
      </w:rPr>
      <w:fldChar w:fldCharType="end"/>
    </w:r>
  </w:p>
  <w:p w14:paraId="4814669B"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CC9D2" w14:textId="77777777" w:rsidR="00BF4618" w:rsidRPr="00B24C52" w:rsidRDefault="00C55FB1" w:rsidP="00B867D4">
    <w:pPr>
      <w:pStyle w:val="Header"/>
      <w:tabs>
        <w:tab w:val="clear" w:pos="4680"/>
        <w:tab w:val="clear" w:pos="9360"/>
        <w:tab w:val="left" w:pos="3944"/>
      </w:tabs>
    </w:pPr>
    <w:r>
      <w:rPr>
        <w:noProof/>
        <w:lang w:val="en-US" w:eastAsia="en-US"/>
      </w:rPr>
      <w:pict w14:anchorId="715620A6">
        <v:shapetype id="_x0000_t202" coordsize="21600,21600" o:spt="202" path="m,l,21600r21600,l21600,xe">
          <v:stroke joinstyle="miter"/>
          <v:path gradientshapeok="t" o:connecttype="rect"/>
        </v:shapetype>
        <v:shape id="_x0000_s2055" type="#_x0000_t202" style="position:absolute;margin-left:38.85pt;margin-top:-2.95pt;width:205.7pt;height:67.5pt;z-index:-251658752" strokecolor="white [3212]" strokeweight="0">
          <v:fill opacity="0"/>
          <v:textbox style="mso-next-textbox:#_x0000_s2055">
            <w:txbxContent>
              <w:p w14:paraId="4954F60A" w14:textId="77777777" w:rsidR="00B24C52" w:rsidRPr="00731B02" w:rsidRDefault="00B867D4" w:rsidP="00E135B9">
                <w:pPr>
                  <w:jc w:val="both"/>
                  <w:rPr>
                    <w:rFonts w:ascii="Century Gothic" w:hAnsi="Century Gothic"/>
                    <w:b/>
                    <w:sz w:val="26"/>
                    <w:szCs w:val="16"/>
                  </w:rPr>
                </w:pPr>
                <w:r w:rsidRPr="00E135B9">
                  <w:rPr>
                    <w:rFonts w:ascii="Century Gothic" w:hAnsi="Century Gothic"/>
                    <w:b/>
                    <w:szCs w:val="16"/>
                  </w:rPr>
                  <w:t>IJECA</w:t>
                </w:r>
              </w:p>
              <w:p w14:paraId="5B6FAE08" w14:textId="77777777" w:rsidR="00B24C52" w:rsidRPr="00922923" w:rsidRDefault="00B867D4" w:rsidP="00E135B9">
                <w:pPr>
                  <w:jc w:val="both"/>
                  <w:rPr>
                    <w:rFonts w:ascii="Century Gothic" w:hAnsi="Century Gothic"/>
                    <w:i/>
                    <w:sz w:val="18"/>
                    <w:szCs w:val="16"/>
                  </w:rPr>
                </w:pPr>
                <w:r w:rsidRPr="00922923">
                  <w:rPr>
                    <w:rFonts w:ascii="Century Gothic" w:hAnsi="Century Gothic"/>
                    <w:i/>
                    <w:sz w:val="18"/>
                    <w:szCs w:val="16"/>
                  </w:rPr>
                  <w:t>International Journal of</w:t>
                </w:r>
              </w:p>
              <w:p w14:paraId="66743EEC" w14:textId="77777777" w:rsidR="00B867D4" w:rsidRDefault="00B867D4" w:rsidP="00E135B9">
                <w:pPr>
                  <w:jc w:val="both"/>
                  <w:rPr>
                    <w:rFonts w:ascii="Century Gothic" w:hAnsi="Century Gothic"/>
                    <w:i/>
                    <w:sz w:val="18"/>
                    <w:szCs w:val="16"/>
                  </w:rPr>
                </w:pPr>
                <w:r w:rsidRPr="00922923">
                  <w:rPr>
                    <w:rFonts w:ascii="Century Gothic" w:hAnsi="Century Gothic"/>
                    <w:i/>
                    <w:sz w:val="18"/>
                    <w:szCs w:val="16"/>
                  </w:rPr>
                  <w:t>Education &amp; Curriculum A</w:t>
                </w:r>
                <w:r w:rsidR="00922923">
                  <w:rPr>
                    <w:rFonts w:ascii="Century Gothic" w:hAnsi="Century Gothic"/>
                    <w:i/>
                    <w:sz w:val="18"/>
                    <w:szCs w:val="16"/>
                  </w:rPr>
                  <w:t>p</w:t>
                </w:r>
                <w:r w:rsidRPr="00922923">
                  <w:rPr>
                    <w:rFonts w:ascii="Century Gothic" w:hAnsi="Century Gothic"/>
                    <w:i/>
                    <w:sz w:val="18"/>
                    <w:szCs w:val="16"/>
                  </w:rPr>
                  <w:t>plication</w:t>
                </w:r>
              </w:p>
              <w:p w14:paraId="149ED1A8" w14:textId="77777777" w:rsidR="00E135B9" w:rsidRPr="00731B02" w:rsidRDefault="00C55FB1" w:rsidP="00E135B9">
                <w:pPr>
                  <w:jc w:val="both"/>
                  <w:rPr>
                    <w:rFonts w:ascii="Century Gothic" w:hAnsi="Century Gothic"/>
                    <w:sz w:val="16"/>
                    <w:szCs w:val="16"/>
                  </w:rPr>
                </w:pPr>
                <w:hyperlink r:id="rId1" w:history="1">
                  <w:r w:rsidR="00E135B9" w:rsidRPr="00D824BA">
                    <w:rPr>
                      <w:rStyle w:val="Hyperlink"/>
                      <w:rFonts w:ascii="Century Gothic" w:hAnsi="Century Gothic"/>
                      <w:sz w:val="16"/>
                      <w:szCs w:val="16"/>
                    </w:rPr>
                    <w:t>http://journal.ummat.ac.id/index.php/IJECA</w:t>
                  </w:r>
                </w:hyperlink>
                <w:r w:rsidR="00E135B9">
                  <w:rPr>
                    <w:rFonts w:ascii="Century Gothic" w:hAnsi="Century Gothic"/>
                    <w:sz w:val="16"/>
                    <w:szCs w:val="16"/>
                  </w:rPr>
                  <w:t xml:space="preserve"> </w:t>
                </w:r>
              </w:p>
              <w:p w14:paraId="2BDDDF6B" w14:textId="77777777" w:rsidR="00922923" w:rsidRPr="00731B02" w:rsidRDefault="00B24C52" w:rsidP="00E135B9">
                <w:pPr>
                  <w:jc w:val="both"/>
                  <w:rPr>
                    <w:rFonts w:ascii="Century Gothic" w:hAnsi="Century Gothic"/>
                    <w:sz w:val="16"/>
                    <w:szCs w:val="16"/>
                  </w:rPr>
                </w:pPr>
                <w:r w:rsidRPr="00E135B9">
                  <w:rPr>
                    <w:rFonts w:ascii="Century Gothic" w:hAnsi="Century Gothic"/>
                    <w:b/>
                    <w:sz w:val="16"/>
                    <w:szCs w:val="16"/>
                  </w:rPr>
                  <w:t xml:space="preserve">ISSN </w:t>
                </w:r>
                <w:r w:rsidR="00E135B9" w:rsidRPr="00E135B9">
                  <w:rPr>
                    <w:rFonts w:ascii="Century Gothic" w:hAnsi="Century Gothic"/>
                    <w:b/>
                    <w:color w:val="000000"/>
                    <w:sz w:val="16"/>
                    <w:szCs w:val="16"/>
                    <w:shd w:val="clear" w:color="auto" w:fill="FFFFFF"/>
                  </w:rPr>
                  <w:t>2614-3380</w:t>
                </w:r>
                <w:r w:rsidR="00922923">
                  <w:rPr>
                    <w:rFonts w:ascii="Century Gothic" w:hAnsi="Century Gothic"/>
                    <w:b/>
                    <w:sz w:val="16"/>
                    <w:szCs w:val="16"/>
                  </w:rPr>
                  <w:t xml:space="preserve"> | Vol. </w:t>
                </w:r>
                <w:r w:rsidR="00AA10C4">
                  <w:rPr>
                    <w:rFonts w:ascii="Century Gothic" w:hAnsi="Century Gothic"/>
                    <w:b/>
                    <w:sz w:val="16"/>
                    <w:szCs w:val="16"/>
                  </w:rPr>
                  <w:t>X</w:t>
                </w:r>
                <w:r w:rsidR="00922923">
                  <w:rPr>
                    <w:rFonts w:ascii="Century Gothic" w:hAnsi="Century Gothic"/>
                    <w:b/>
                    <w:sz w:val="16"/>
                    <w:szCs w:val="16"/>
                  </w:rPr>
                  <w:t xml:space="preserve">, No. </w:t>
                </w:r>
                <w:r w:rsidR="00AA10C4">
                  <w:rPr>
                    <w:rFonts w:ascii="Century Gothic" w:hAnsi="Century Gothic"/>
                    <w:b/>
                    <w:sz w:val="16"/>
                    <w:szCs w:val="16"/>
                  </w:rPr>
                  <w:t>X</w:t>
                </w:r>
                <w:r w:rsidR="00922923">
                  <w:rPr>
                    <w:rFonts w:ascii="Century Gothic" w:hAnsi="Century Gothic"/>
                    <w:b/>
                    <w:sz w:val="16"/>
                    <w:szCs w:val="16"/>
                  </w:rPr>
                  <w:t xml:space="preserve">, </w:t>
                </w:r>
                <w:r w:rsidR="00AA10C4">
                  <w:rPr>
                    <w:rFonts w:ascii="Century Gothic" w:hAnsi="Century Gothic"/>
                    <w:b/>
                    <w:sz w:val="16"/>
                    <w:szCs w:val="16"/>
                  </w:rPr>
                  <w:t>Month</w:t>
                </w:r>
                <w:r w:rsidR="00922923">
                  <w:rPr>
                    <w:rFonts w:ascii="Century Gothic" w:hAnsi="Century Gothic"/>
                    <w:b/>
                    <w:sz w:val="16"/>
                    <w:szCs w:val="16"/>
                  </w:rPr>
                  <w:t xml:space="preserve"> 20</w:t>
                </w:r>
                <w:r w:rsidR="00AA10C4">
                  <w:rPr>
                    <w:rFonts w:ascii="Century Gothic" w:hAnsi="Century Gothic"/>
                    <w:b/>
                    <w:sz w:val="16"/>
                    <w:szCs w:val="16"/>
                  </w:rPr>
                  <w:t>XX</w:t>
                </w:r>
              </w:p>
              <w:p w14:paraId="79D0C6FC" w14:textId="77777777" w:rsidR="00B24C52" w:rsidRPr="00731B02" w:rsidRDefault="00B24C52" w:rsidP="00E135B9">
                <w:pPr>
                  <w:jc w:val="both"/>
                  <w:rPr>
                    <w:rFonts w:ascii="Century Gothic" w:hAnsi="Century Gothic"/>
                    <w:sz w:val="16"/>
                    <w:szCs w:val="16"/>
                  </w:rPr>
                </w:pPr>
              </w:p>
            </w:txbxContent>
          </v:textbox>
        </v:shape>
      </w:pict>
    </w:r>
    <w:r w:rsidR="00E135B9">
      <w:rPr>
        <w:rFonts w:asciiTheme="majorHAnsi" w:hAnsiTheme="majorHAnsi"/>
        <w:noProof/>
        <w:sz w:val="22"/>
        <w:szCs w:val="22"/>
        <w:lang w:val="en-US" w:eastAsia="en-US"/>
      </w:rPr>
      <w:drawing>
        <wp:inline distT="0" distB="0" distL="0" distR="0" wp14:anchorId="102F733F" wp14:editId="076503F1">
          <wp:extent cx="542852" cy="755374"/>
          <wp:effectExtent l="0" t="0" r="0" b="0"/>
          <wp:docPr id="4" name="Picture 4" descr="D:\OJSQ\JTAM\Cover\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SQ\JTAM\Cover\homepageImage_en_U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647" cy="7578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345F22"/>
    <w:multiLevelType w:val="hybridMultilevel"/>
    <w:tmpl w:val="D3D6444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8D0367B"/>
    <w:multiLevelType w:val="hybridMultilevel"/>
    <w:tmpl w:val="D3D6444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1"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8"/>
  </w:num>
  <w:num w:numId="2">
    <w:abstractNumId w:val="9"/>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2"/>
  </w:num>
  <w:num w:numId="9">
    <w:abstractNumId w:val="12"/>
  </w:num>
  <w:num w:numId="10">
    <w:abstractNumId w:val="3"/>
  </w:num>
  <w:num w:numId="11">
    <w:abstractNumId w:val="6"/>
  </w:num>
  <w:num w:numId="12">
    <w:abstractNumId w:val="10"/>
    <w:lvlOverride w:ilvl="0">
      <w:startOverride w:val="1"/>
    </w:lvlOverride>
  </w:num>
  <w:num w:numId="13">
    <w:abstractNumId w:val="0"/>
  </w:num>
  <w:num w:numId="14">
    <w:abstractNumId w:val="11"/>
  </w:num>
  <w:num w:numId="15">
    <w:abstractNumId w:val="5"/>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ID"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0793"/>
    <w:rsid w:val="00002AE5"/>
    <w:rsid w:val="00004C08"/>
    <w:rsid w:val="000069C7"/>
    <w:rsid w:val="00017719"/>
    <w:rsid w:val="00020A6F"/>
    <w:rsid w:val="000227C5"/>
    <w:rsid w:val="00027F1D"/>
    <w:rsid w:val="0003296C"/>
    <w:rsid w:val="00053481"/>
    <w:rsid w:val="00053BA2"/>
    <w:rsid w:val="00054421"/>
    <w:rsid w:val="00054970"/>
    <w:rsid w:val="00056CE7"/>
    <w:rsid w:val="00062122"/>
    <w:rsid w:val="00062E46"/>
    <w:rsid w:val="00066CB7"/>
    <w:rsid w:val="0006703C"/>
    <w:rsid w:val="00074AC8"/>
    <w:rsid w:val="00081408"/>
    <w:rsid w:val="00081EBE"/>
    <w:rsid w:val="00082A45"/>
    <w:rsid w:val="00085561"/>
    <w:rsid w:val="0008577D"/>
    <w:rsid w:val="00086EDC"/>
    <w:rsid w:val="00093581"/>
    <w:rsid w:val="000A6695"/>
    <w:rsid w:val="000B02B6"/>
    <w:rsid w:val="000B36A3"/>
    <w:rsid w:val="000B4A2C"/>
    <w:rsid w:val="000C013C"/>
    <w:rsid w:val="000D4841"/>
    <w:rsid w:val="000D67E4"/>
    <w:rsid w:val="000E3F84"/>
    <w:rsid w:val="000E4F95"/>
    <w:rsid w:val="00103C8B"/>
    <w:rsid w:val="00103E04"/>
    <w:rsid w:val="00104C9F"/>
    <w:rsid w:val="001056DF"/>
    <w:rsid w:val="001062FC"/>
    <w:rsid w:val="00114025"/>
    <w:rsid w:val="00115691"/>
    <w:rsid w:val="001160D2"/>
    <w:rsid w:val="001218D3"/>
    <w:rsid w:val="00131344"/>
    <w:rsid w:val="001348A5"/>
    <w:rsid w:val="0013730E"/>
    <w:rsid w:val="00140C4C"/>
    <w:rsid w:val="00140FB9"/>
    <w:rsid w:val="00146992"/>
    <w:rsid w:val="0015135B"/>
    <w:rsid w:val="00151B8E"/>
    <w:rsid w:val="00155E94"/>
    <w:rsid w:val="0017312A"/>
    <w:rsid w:val="001747C8"/>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872E7"/>
    <w:rsid w:val="00290E1B"/>
    <w:rsid w:val="002913EC"/>
    <w:rsid w:val="00291B17"/>
    <w:rsid w:val="00292EFC"/>
    <w:rsid w:val="002A02B7"/>
    <w:rsid w:val="002A2FD6"/>
    <w:rsid w:val="002A6742"/>
    <w:rsid w:val="002B09BC"/>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2215E"/>
    <w:rsid w:val="003303CD"/>
    <w:rsid w:val="00331F84"/>
    <w:rsid w:val="00332EA4"/>
    <w:rsid w:val="003366F9"/>
    <w:rsid w:val="00346122"/>
    <w:rsid w:val="00347F48"/>
    <w:rsid w:val="00353F69"/>
    <w:rsid w:val="00355B72"/>
    <w:rsid w:val="00360589"/>
    <w:rsid w:val="00360C6A"/>
    <w:rsid w:val="00360D09"/>
    <w:rsid w:val="00366B29"/>
    <w:rsid w:val="003717D0"/>
    <w:rsid w:val="00382C1E"/>
    <w:rsid w:val="00382E62"/>
    <w:rsid w:val="00394DC4"/>
    <w:rsid w:val="003950A4"/>
    <w:rsid w:val="00397E48"/>
    <w:rsid w:val="003C3E37"/>
    <w:rsid w:val="003C7209"/>
    <w:rsid w:val="003D138F"/>
    <w:rsid w:val="003D3E2E"/>
    <w:rsid w:val="003D4C64"/>
    <w:rsid w:val="003E1255"/>
    <w:rsid w:val="003E3577"/>
    <w:rsid w:val="003F38E5"/>
    <w:rsid w:val="003F3A61"/>
    <w:rsid w:val="003F3AB6"/>
    <w:rsid w:val="00400DC7"/>
    <w:rsid w:val="00403498"/>
    <w:rsid w:val="00410A5D"/>
    <w:rsid w:val="00414909"/>
    <w:rsid w:val="004202C3"/>
    <w:rsid w:val="004211FE"/>
    <w:rsid w:val="004216B1"/>
    <w:rsid w:val="00425A6A"/>
    <w:rsid w:val="00426FBB"/>
    <w:rsid w:val="00427112"/>
    <w:rsid w:val="004337B8"/>
    <w:rsid w:val="00437E30"/>
    <w:rsid w:val="00437E48"/>
    <w:rsid w:val="0044773F"/>
    <w:rsid w:val="004524DF"/>
    <w:rsid w:val="0046428B"/>
    <w:rsid w:val="00471085"/>
    <w:rsid w:val="004728B9"/>
    <w:rsid w:val="0047429A"/>
    <w:rsid w:val="004772BF"/>
    <w:rsid w:val="004778A8"/>
    <w:rsid w:val="0048374C"/>
    <w:rsid w:val="0048707A"/>
    <w:rsid w:val="0048771D"/>
    <w:rsid w:val="004A1511"/>
    <w:rsid w:val="004A6605"/>
    <w:rsid w:val="004B0DB7"/>
    <w:rsid w:val="004B519F"/>
    <w:rsid w:val="004B5BFE"/>
    <w:rsid w:val="004B7F34"/>
    <w:rsid w:val="004C3335"/>
    <w:rsid w:val="004C4227"/>
    <w:rsid w:val="004C45FA"/>
    <w:rsid w:val="004C4D2E"/>
    <w:rsid w:val="004D395E"/>
    <w:rsid w:val="004D7355"/>
    <w:rsid w:val="004E1BD8"/>
    <w:rsid w:val="004E452A"/>
    <w:rsid w:val="004E78E3"/>
    <w:rsid w:val="004F6B51"/>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5B5B"/>
    <w:rsid w:val="005628CD"/>
    <w:rsid w:val="00564397"/>
    <w:rsid w:val="00564BFC"/>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6BEF"/>
    <w:rsid w:val="005F6DC3"/>
    <w:rsid w:val="006017FD"/>
    <w:rsid w:val="00601A8E"/>
    <w:rsid w:val="00602488"/>
    <w:rsid w:val="006079BE"/>
    <w:rsid w:val="0062033E"/>
    <w:rsid w:val="00624482"/>
    <w:rsid w:val="00630921"/>
    <w:rsid w:val="00633178"/>
    <w:rsid w:val="006343E3"/>
    <w:rsid w:val="00643796"/>
    <w:rsid w:val="0064799C"/>
    <w:rsid w:val="00654156"/>
    <w:rsid w:val="006916CD"/>
    <w:rsid w:val="00693118"/>
    <w:rsid w:val="00694D34"/>
    <w:rsid w:val="00695864"/>
    <w:rsid w:val="006977E6"/>
    <w:rsid w:val="006A3AE1"/>
    <w:rsid w:val="006A4145"/>
    <w:rsid w:val="006A636B"/>
    <w:rsid w:val="006B09B8"/>
    <w:rsid w:val="006B10ED"/>
    <w:rsid w:val="006B28CD"/>
    <w:rsid w:val="006B47CA"/>
    <w:rsid w:val="006C350C"/>
    <w:rsid w:val="006C3E9C"/>
    <w:rsid w:val="006C5BDA"/>
    <w:rsid w:val="006C7AAA"/>
    <w:rsid w:val="006D1C2A"/>
    <w:rsid w:val="006D264F"/>
    <w:rsid w:val="006D3F45"/>
    <w:rsid w:val="006E2A8D"/>
    <w:rsid w:val="006E35C8"/>
    <w:rsid w:val="006E4AB3"/>
    <w:rsid w:val="006E6304"/>
    <w:rsid w:val="006E6B57"/>
    <w:rsid w:val="006E7574"/>
    <w:rsid w:val="006E7E35"/>
    <w:rsid w:val="006F4323"/>
    <w:rsid w:val="00701D28"/>
    <w:rsid w:val="00703430"/>
    <w:rsid w:val="007069BE"/>
    <w:rsid w:val="00711BD2"/>
    <w:rsid w:val="00711FEB"/>
    <w:rsid w:val="00721E2E"/>
    <w:rsid w:val="007227F5"/>
    <w:rsid w:val="00724B17"/>
    <w:rsid w:val="0072566E"/>
    <w:rsid w:val="0073011A"/>
    <w:rsid w:val="00733156"/>
    <w:rsid w:val="00733E74"/>
    <w:rsid w:val="0074085C"/>
    <w:rsid w:val="00742F8E"/>
    <w:rsid w:val="00745C86"/>
    <w:rsid w:val="0076213C"/>
    <w:rsid w:val="00764603"/>
    <w:rsid w:val="0076604D"/>
    <w:rsid w:val="00772049"/>
    <w:rsid w:val="00777E9D"/>
    <w:rsid w:val="00781DBA"/>
    <w:rsid w:val="00784428"/>
    <w:rsid w:val="0078621C"/>
    <w:rsid w:val="00790909"/>
    <w:rsid w:val="0079301B"/>
    <w:rsid w:val="007A77C6"/>
    <w:rsid w:val="007B2A92"/>
    <w:rsid w:val="007B5A07"/>
    <w:rsid w:val="007B668E"/>
    <w:rsid w:val="007C614B"/>
    <w:rsid w:val="007C7D51"/>
    <w:rsid w:val="007D3E71"/>
    <w:rsid w:val="007E132A"/>
    <w:rsid w:val="007E34AA"/>
    <w:rsid w:val="007E5D6A"/>
    <w:rsid w:val="007E645D"/>
    <w:rsid w:val="007E7CA0"/>
    <w:rsid w:val="007F7260"/>
    <w:rsid w:val="007F75CA"/>
    <w:rsid w:val="00815DBA"/>
    <w:rsid w:val="00816EA9"/>
    <w:rsid w:val="00820A91"/>
    <w:rsid w:val="00821E08"/>
    <w:rsid w:val="00825A13"/>
    <w:rsid w:val="00834154"/>
    <w:rsid w:val="00834EFD"/>
    <w:rsid w:val="00841914"/>
    <w:rsid w:val="00842B65"/>
    <w:rsid w:val="0084308D"/>
    <w:rsid w:val="00844B24"/>
    <w:rsid w:val="0084515F"/>
    <w:rsid w:val="0085092D"/>
    <w:rsid w:val="00854ED5"/>
    <w:rsid w:val="00865FB3"/>
    <w:rsid w:val="00873013"/>
    <w:rsid w:val="008746C3"/>
    <w:rsid w:val="008757E0"/>
    <w:rsid w:val="00877D4C"/>
    <w:rsid w:val="0089763B"/>
    <w:rsid w:val="008A0B0A"/>
    <w:rsid w:val="008A1519"/>
    <w:rsid w:val="008A2479"/>
    <w:rsid w:val="008B114A"/>
    <w:rsid w:val="008B6295"/>
    <w:rsid w:val="008B6AE3"/>
    <w:rsid w:val="008C1428"/>
    <w:rsid w:val="008D1045"/>
    <w:rsid w:val="008E2316"/>
    <w:rsid w:val="008E5277"/>
    <w:rsid w:val="008E5996"/>
    <w:rsid w:val="008F1272"/>
    <w:rsid w:val="008F5AA7"/>
    <w:rsid w:val="00901AE1"/>
    <w:rsid w:val="00901EFD"/>
    <w:rsid w:val="00904754"/>
    <w:rsid w:val="00905356"/>
    <w:rsid w:val="009205B4"/>
    <w:rsid w:val="009223D5"/>
    <w:rsid w:val="00922923"/>
    <w:rsid w:val="0092396D"/>
    <w:rsid w:val="00932F60"/>
    <w:rsid w:val="00933295"/>
    <w:rsid w:val="00937F31"/>
    <w:rsid w:val="009408BA"/>
    <w:rsid w:val="00946DC6"/>
    <w:rsid w:val="009507C0"/>
    <w:rsid w:val="009537A7"/>
    <w:rsid w:val="009550E8"/>
    <w:rsid w:val="00955B59"/>
    <w:rsid w:val="009570BE"/>
    <w:rsid w:val="009671E5"/>
    <w:rsid w:val="009703B1"/>
    <w:rsid w:val="00971BB3"/>
    <w:rsid w:val="00971EBF"/>
    <w:rsid w:val="00985DB4"/>
    <w:rsid w:val="00991EED"/>
    <w:rsid w:val="00992262"/>
    <w:rsid w:val="009926BC"/>
    <w:rsid w:val="00993DEB"/>
    <w:rsid w:val="00997F50"/>
    <w:rsid w:val="009A09C7"/>
    <w:rsid w:val="009A4319"/>
    <w:rsid w:val="009A6C3F"/>
    <w:rsid w:val="009A6E9C"/>
    <w:rsid w:val="009B0A53"/>
    <w:rsid w:val="009B57A9"/>
    <w:rsid w:val="009B73F2"/>
    <w:rsid w:val="009C12BD"/>
    <w:rsid w:val="009C30E3"/>
    <w:rsid w:val="009C50FE"/>
    <w:rsid w:val="009D2660"/>
    <w:rsid w:val="009D34EA"/>
    <w:rsid w:val="009D3C51"/>
    <w:rsid w:val="00A03A12"/>
    <w:rsid w:val="00A03E75"/>
    <w:rsid w:val="00A04DC8"/>
    <w:rsid w:val="00A04FD7"/>
    <w:rsid w:val="00A10B7C"/>
    <w:rsid w:val="00A11080"/>
    <w:rsid w:val="00A12127"/>
    <w:rsid w:val="00A1414F"/>
    <w:rsid w:val="00A20D66"/>
    <w:rsid w:val="00A213E2"/>
    <w:rsid w:val="00A2253B"/>
    <w:rsid w:val="00A22FE0"/>
    <w:rsid w:val="00A32C03"/>
    <w:rsid w:val="00A37654"/>
    <w:rsid w:val="00A4337B"/>
    <w:rsid w:val="00A45FCE"/>
    <w:rsid w:val="00A64A36"/>
    <w:rsid w:val="00A7266B"/>
    <w:rsid w:val="00A75671"/>
    <w:rsid w:val="00A773CC"/>
    <w:rsid w:val="00A8527D"/>
    <w:rsid w:val="00A868C1"/>
    <w:rsid w:val="00A87305"/>
    <w:rsid w:val="00A9318B"/>
    <w:rsid w:val="00A94AC1"/>
    <w:rsid w:val="00A95B87"/>
    <w:rsid w:val="00A9735F"/>
    <w:rsid w:val="00AA10C4"/>
    <w:rsid w:val="00AA5A8D"/>
    <w:rsid w:val="00AB18B7"/>
    <w:rsid w:val="00AB2575"/>
    <w:rsid w:val="00AB734F"/>
    <w:rsid w:val="00AC157F"/>
    <w:rsid w:val="00AD2BAB"/>
    <w:rsid w:val="00AD335D"/>
    <w:rsid w:val="00AE1477"/>
    <w:rsid w:val="00AE14FC"/>
    <w:rsid w:val="00AE3191"/>
    <w:rsid w:val="00AF792B"/>
    <w:rsid w:val="00B00190"/>
    <w:rsid w:val="00B01011"/>
    <w:rsid w:val="00B026E8"/>
    <w:rsid w:val="00B0294E"/>
    <w:rsid w:val="00B1015E"/>
    <w:rsid w:val="00B10F2B"/>
    <w:rsid w:val="00B213DE"/>
    <w:rsid w:val="00B24C52"/>
    <w:rsid w:val="00B333DE"/>
    <w:rsid w:val="00B3521D"/>
    <w:rsid w:val="00B55D5E"/>
    <w:rsid w:val="00B56B16"/>
    <w:rsid w:val="00B57570"/>
    <w:rsid w:val="00B717BA"/>
    <w:rsid w:val="00B735B0"/>
    <w:rsid w:val="00B75787"/>
    <w:rsid w:val="00B81E91"/>
    <w:rsid w:val="00B82DCE"/>
    <w:rsid w:val="00B867D4"/>
    <w:rsid w:val="00B91814"/>
    <w:rsid w:val="00B92B81"/>
    <w:rsid w:val="00B94516"/>
    <w:rsid w:val="00B97407"/>
    <w:rsid w:val="00BA183C"/>
    <w:rsid w:val="00BA665D"/>
    <w:rsid w:val="00BA7955"/>
    <w:rsid w:val="00BB13C6"/>
    <w:rsid w:val="00BB2855"/>
    <w:rsid w:val="00BB3407"/>
    <w:rsid w:val="00BB5C2C"/>
    <w:rsid w:val="00BC4871"/>
    <w:rsid w:val="00BC57FF"/>
    <w:rsid w:val="00BC6B25"/>
    <w:rsid w:val="00BC7909"/>
    <w:rsid w:val="00BD19C1"/>
    <w:rsid w:val="00BD25B8"/>
    <w:rsid w:val="00BD34C2"/>
    <w:rsid w:val="00BE5E82"/>
    <w:rsid w:val="00BE6562"/>
    <w:rsid w:val="00BE769C"/>
    <w:rsid w:val="00BF097D"/>
    <w:rsid w:val="00BF1228"/>
    <w:rsid w:val="00BF15EF"/>
    <w:rsid w:val="00BF4618"/>
    <w:rsid w:val="00C0011E"/>
    <w:rsid w:val="00C012E1"/>
    <w:rsid w:val="00C026EE"/>
    <w:rsid w:val="00C029BD"/>
    <w:rsid w:val="00C06BB4"/>
    <w:rsid w:val="00C10D20"/>
    <w:rsid w:val="00C12AC4"/>
    <w:rsid w:val="00C12E0C"/>
    <w:rsid w:val="00C14968"/>
    <w:rsid w:val="00C21916"/>
    <w:rsid w:val="00C2650B"/>
    <w:rsid w:val="00C32E48"/>
    <w:rsid w:val="00C457CA"/>
    <w:rsid w:val="00C500EF"/>
    <w:rsid w:val="00C50BA0"/>
    <w:rsid w:val="00C52304"/>
    <w:rsid w:val="00C52BD2"/>
    <w:rsid w:val="00C55FB1"/>
    <w:rsid w:val="00C57FB7"/>
    <w:rsid w:val="00C62CEB"/>
    <w:rsid w:val="00C65F3F"/>
    <w:rsid w:val="00C72414"/>
    <w:rsid w:val="00C77686"/>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D7428"/>
    <w:rsid w:val="00CE34BC"/>
    <w:rsid w:val="00CE562B"/>
    <w:rsid w:val="00CE7337"/>
    <w:rsid w:val="00CF0E87"/>
    <w:rsid w:val="00CF75F6"/>
    <w:rsid w:val="00D0283E"/>
    <w:rsid w:val="00D05BEA"/>
    <w:rsid w:val="00D150AD"/>
    <w:rsid w:val="00D17D7F"/>
    <w:rsid w:val="00D2480A"/>
    <w:rsid w:val="00D30F2D"/>
    <w:rsid w:val="00D3112E"/>
    <w:rsid w:val="00D311F8"/>
    <w:rsid w:val="00D33134"/>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A39BD"/>
    <w:rsid w:val="00DA4F1D"/>
    <w:rsid w:val="00DB16E0"/>
    <w:rsid w:val="00DB2DF9"/>
    <w:rsid w:val="00DB383B"/>
    <w:rsid w:val="00DB5D3F"/>
    <w:rsid w:val="00DB7E63"/>
    <w:rsid w:val="00DC2055"/>
    <w:rsid w:val="00DD16DC"/>
    <w:rsid w:val="00DD5882"/>
    <w:rsid w:val="00DD71E8"/>
    <w:rsid w:val="00DD7F83"/>
    <w:rsid w:val="00DE335E"/>
    <w:rsid w:val="00DF1B93"/>
    <w:rsid w:val="00DF22FB"/>
    <w:rsid w:val="00DF68F5"/>
    <w:rsid w:val="00DF6A46"/>
    <w:rsid w:val="00DF7CA2"/>
    <w:rsid w:val="00E0641E"/>
    <w:rsid w:val="00E06664"/>
    <w:rsid w:val="00E11080"/>
    <w:rsid w:val="00E135B9"/>
    <w:rsid w:val="00E20C19"/>
    <w:rsid w:val="00E2370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2F35"/>
    <w:rsid w:val="00E8787B"/>
    <w:rsid w:val="00E94339"/>
    <w:rsid w:val="00E97563"/>
    <w:rsid w:val="00EB0B63"/>
    <w:rsid w:val="00EB2163"/>
    <w:rsid w:val="00EC1C35"/>
    <w:rsid w:val="00EC265C"/>
    <w:rsid w:val="00EC65B7"/>
    <w:rsid w:val="00ED25B0"/>
    <w:rsid w:val="00ED61CB"/>
    <w:rsid w:val="00EE4353"/>
    <w:rsid w:val="00EF2488"/>
    <w:rsid w:val="00EF24B2"/>
    <w:rsid w:val="00EF290B"/>
    <w:rsid w:val="00EF3452"/>
    <w:rsid w:val="00EF61AD"/>
    <w:rsid w:val="00F062D8"/>
    <w:rsid w:val="00F06A72"/>
    <w:rsid w:val="00F06C6A"/>
    <w:rsid w:val="00F1242E"/>
    <w:rsid w:val="00F136F0"/>
    <w:rsid w:val="00F153C0"/>
    <w:rsid w:val="00F20BBB"/>
    <w:rsid w:val="00F20DCD"/>
    <w:rsid w:val="00F22C0B"/>
    <w:rsid w:val="00F317E5"/>
    <w:rsid w:val="00F34AE2"/>
    <w:rsid w:val="00F359FA"/>
    <w:rsid w:val="00F4394A"/>
    <w:rsid w:val="00F43BD8"/>
    <w:rsid w:val="00F44208"/>
    <w:rsid w:val="00F55879"/>
    <w:rsid w:val="00F562F3"/>
    <w:rsid w:val="00F57140"/>
    <w:rsid w:val="00F662C0"/>
    <w:rsid w:val="00F66CC2"/>
    <w:rsid w:val="00F67BC3"/>
    <w:rsid w:val="00F73EC9"/>
    <w:rsid w:val="00F74B89"/>
    <w:rsid w:val="00F75133"/>
    <w:rsid w:val="00F76246"/>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D774D"/>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14:docId w14:val="247324FF"/>
  <w15:docId w15:val="{77E2073A-AE1C-42FC-A540-15586859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HTMLPreformatted">
    <w:name w:val="HTML Preformatted"/>
    <w:basedOn w:val="Normal"/>
    <w:link w:val="HTMLPreformattedChar"/>
    <w:uiPriority w:val="99"/>
    <w:unhideWhenUsed/>
    <w:rsid w:val="00BB5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B5C2C"/>
    <w:rPr>
      <w:rFonts w:ascii="Courier New" w:eastAsia="Times New Roman" w:hAnsi="Courier New" w:cs="Courier New"/>
      <w:lang w:val="en-ID" w:eastAsia="en-ID"/>
    </w:rPr>
  </w:style>
  <w:style w:type="paragraph" w:customStyle="1" w:styleId="Default">
    <w:name w:val="Default"/>
    <w:rsid w:val="00A32C03"/>
    <w:pPr>
      <w:autoSpaceDE w:val="0"/>
      <w:autoSpaceDN w:val="0"/>
      <w:adjustRightInd w:val="0"/>
    </w:pPr>
    <w:rPr>
      <w:rFonts w:eastAsia="Calibr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368021337">
      <w:bodyDiv w:val="1"/>
      <w:marLeft w:val="0"/>
      <w:marRight w:val="0"/>
      <w:marTop w:val="0"/>
      <w:marBottom w:val="0"/>
      <w:divBdr>
        <w:top w:val="none" w:sz="0" w:space="0" w:color="auto"/>
        <w:left w:val="none" w:sz="0" w:space="0" w:color="auto"/>
        <w:bottom w:val="none" w:sz="0" w:space="0" w:color="auto"/>
        <w:right w:val="none" w:sz="0" w:space="0" w:color="auto"/>
      </w:divBdr>
    </w:div>
    <w:div w:id="1555240442">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man@ummat.ac.id" TargetMode="External"/><Relationship Id="rId13" Type="http://schemas.openxmlformats.org/officeDocument/2006/relationships/image" Target="media/image2.jpe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https://doi.org/10.31764/ijeca.vXiX.YYYY" TargetMode="Externa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oleObject" Target="embeddings/oleObject5.bin"/></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IJ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5782-3546-4B5A-9AB1-E6800E4D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6737</Words>
  <Characters>38402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User</cp:lastModifiedBy>
  <cp:revision>216</cp:revision>
  <cp:lastPrinted>2017-04-18T03:46:00Z</cp:lastPrinted>
  <dcterms:created xsi:type="dcterms:W3CDTF">2013-02-05T02:20:00Z</dcterms:created>
  <dcterms:modified xsi:type="dcterms:W3CDTF">2020-07-30T10:35:00Z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f506f123-4eda-3516-a200-4459aac9ae1f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