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5F" w:rsidRPr="00D50A7E" w:rsidRDefault="008F425F">
      <w:pPr>
        <w:tabs>
          <w:tab w:val="left" w:pos="4860"/>
        </w:tabs>
        <w:spacing w:after="0" w:line="240" w:lineRule="auto"/>
        <w:jc w:val="center"/>
        <w:rPr>
          <w:rFonts w:ascii="Book Antiqua" w:hAnsi="Book Antiqua" w:cs="Times New Roman"/>
          <w:b/>
          <w:bCs/>
          <w:color w:val="000000"/>
          <w:sz w:val="28"/>
          <w:szCs w:val="28"/>
        </w:rPr>
      </w:pPr>
      <w:r w:rsidRPr="00D50A7E">
        <w:rPr>
          <w:rFonts w:ascii="Book Antiqua" w:hAnsi="Book Antiqua" w:cs="Times New Roman"/>
          <w:noProof/>
          <w:sz w:val="28"/>
          <w:szCs w:val="28"/>
        </w:rPr>
        <w:pict>
          <v:oval id="1026" o:spid="_x0000_s1026" style="position:absolute;left:0;text-align:left;margin-left:379.35pt;margin-top:-84.15pt;width:38.25pt;height:33pt;z-index:2;visibility:visible;mso-wrap-distance-left:0;mso-wrap-distance-right:0" stroked="f"/>
        </w:pict>
      </w:r>
      <w:r w:rsidR="00A82E0E" w:rsidRPr="00D50A7E">
        <w:rPr>
          <w:rFonts w:ascii="Book Antiqua" w:hAnsi="Book Antiqua" w:cs="Times New Roman"/>
          <w:b/>
          <w:bCs/>
          <w:color w:val="000000"/>
          <w:sz w:val="28"/>
          <w:szCs w:val="28"/>
          <w:lang w:val="id-ID"/>
        </w:rPr>
        <w:t>P</w:t>
      </w:r>
      <w:r w:rsidR="00A82E0E" w:rsidRPr="00D50A7E">
        <w:rPr>
          <w:rFonts w:ascii="Book Antiqua" w:hAnsi="Book Antiqua" w:cs="Times New Roman"/>
          <w:b/>
          <w:bCs/>
          <w:color w:val="000000"/>
          <w:sz w:val="28"/>
          <w:szCs w:val="28"/>
        </w:rPr>
        <w:t xml:space="preserve">ERLINDUNGAN </w:t>
      </w:r>
      <w:r w:rsidR="00A82E0E" w:rsidRPr="00D50A7E">
        <w:rPr>
          <w:rFonts w:ascii="Book Antiqua" w:hAnsi="Book Antiqua" w:cs="Times New Roman"/>
          <w:b/>
          <w:bCs/>
          <w:color w:val="000000"/>
          <w:sz w:val="28"/>
          <w:szCs w:val="28"/>
          <w:lang w:val="id-ID"/>
        </w:rPr>
        <w:t>H</w:t>
      </w:r>
      <w:r w:rsidR="00A82E0E" w:rsidRPr="00D50A7E">
        <w:rPr>
          <w:rFonts w:ascii="Book Antiqua" w:hAnsi="Book Antiqua" w:cs="Times New Roman"/>
          <w:b/>
          <w:bCs/>
          <w:color w:val="000000"/>
          <w:sz w:val="28"/>
          <w:szCs w:val="28"/>
        </w:rPr>
        <w:t xml:space="preserve">UKUM BAGI </w:t>
      </w:r>
      <w:r w:rsidR="00A82E0E" w:rsidRPr="00D50A7E">
        <w:rPr>
          <w:rFonts w:ascii="Book Antiqua" w:hAnsi="Book Antiqua" w:cs="Times New Roman"/>
          <w:b/>
          <w:bCs/>
          <w:color w:val="000000"/>
          <w:sz w:val="28"/>
          <w:szCs w:val="28"/>
          <w:lang w:val="id-ID"/>
        </w:rPr>
        <w:t>T</w:t>
      </w:r>
      <w:r w:rsidR="00A82E0E" w:rsidRPr="00D50A7E">
        <w:rPr>
          <w:rFonts w:ascii="Book Antiqua" w:hAnsi="Book Antiqua" w:cs="Times New Roman"/>
          <w:b/>
          <w:bCs/>
          <w:color w:val="000000"/>
          <w:sz w:val="28"/>
          <w:szCs w:val="28"/>
        </w:rPr>
        <w:t xml:space="preserve">ERTANGGUNG AKIBAT KECELAKAAN BERMOTOR DITINJAU </w:t>
      </w:r>
    </w:p>
    <w:p w:rsidR="008F425F" w:rsidRPr="00D50A7E" w:rsidRDefault="00A82E0E">
      <w:pPr>
        <w:tabs>
          <w:tab w:val="left" w:pos="4860"/>
        </w:tabs>
        <w:spacing w:after="0" w:line="240" w:lineRule="auto"/>
        <w:jc w:val="center"/>
        <w:rPr>
          <w:rFonts w:ascii="Book Antiqua" w:hAnsi="Book Antiqua" w:cs="Times New Roman"/>
          <w:color w:val="000000"/>
          <w:sz w:val="28"/>
          <w:szCs w:val="28"/>
        </w:rPr>
      </w:pPr>
      <w:r w:rsidRPr="00D50A7E">
        <w:rPr>
          <w:rFonts w:ascii="Book Antiqua" w:hAnsi="Book Antiqua" w:cs="Times New Roman"/>
          <w:b/>
          <w:bCs/>
          <w:color w:val="000000"/>
          <w:sz w:val="28"/>
          <w:szCs w:val="28"/>
        </w:rPr>
        <w:t>DARI HUKUM POSITIF</w:t>
      </w:r>
    </w:p>
    <w:p w:rsidR="008F425F" w:rsidRPr="00D50A7E" w:rsidRDefault="008F425F">
      <w:pPr>
        <w:tabs>
          <w:tab w:val="left" w:pos="4860"/>
        </w:tabs>
        <w:spacing w:after="0" w:line="240" w:lineRule="auto"/>
        <w:rPr>
          <w:rFonts w:ascii="Book Antiqua" w:hAnsi="Book Antiqua" w:cs="Times New Roman"/>
          <w:color w:val="000000"/>
          <w:sz w:val="28"/>
          <w:szCs w:val="28"/>
        </w:rPr>
      </w:pPr>
    </w:p>
    <w:p w:rsidR="008F425F" w:rsidRPr="00D50A7E" w:rsidRDefault="00A82E0E">
      <w:pPr>
        <w:spacing w:after="0" w:line="240" w:lineRule="auto"/>
        <w:jc w:val="center"/>
        <w:rPr>
          <w:rStyle w:val="fontstyle31"/>
          <w:rFonts w:cs="Times New Roman"/>
          <w:color w:val="0000FF"/>
        </w:rPr>
      </w:pPr>
      <w:r w:rsidRPr="00D50A7E">
        <w:rPr>
          <w:rStyle w:val="fontstyle01"/>
          <w:rFonts w:cs="Times New Roman"/>
        </w:rPr>
        <w:t>Edi Yanto</w:t>
      </w:r>
      <w:r w:rsidR="00D50A7E" w:rsidRPr="00D50A7E">
        <w:rPr>
          <w:rStyle w:val="fontstyle01"/>
          <w:rFonts w:cs="Times New Roman"/>
          <w:vertAlign w:val="superscript"/>
        </w:rPr>
        <w:t>1</w:t>
      </w:r>
      <w:r w:rsidRPr="00D50A7E">
        <w:rPr>
          <w:rFonts w:ascii="Book Antiqua" w:hAnsi="Book Antiqua" w:cs="Times New Roman"/>
          <w:b/>
          <w:bCs/>
          <w:color w:val="000000"/>
          <w:sz w:val="24"/>
          <w:szCs w:val="24"/>
        </w:rPr>
        <w:br/>
      </w:r>
      <w:r w:rsidRPr="00D50A7E">
        <w:rPr>
          <w:rStyle w:val="fontstyle21"/>
          <w:rFonts w:cs="Times New Roman"/>
        </w:rPr>
        <w:t>Dosen Fakultas Hukum Universitas Muhammadiyah Mataram</w:t>
      </w:r>
      <w:r w:rsidRPr="00D50A7E">
        <w:rPr>
          <w:rFonts w:ascii="Book Antiqua" w:hAnsi="Book Antiqua" w:cs="Times New Roman"/>
          <w:color w:val="000000"/>
        </w:rPr>
        <w:br/>
      </w:r>
      <w:r w:rsidRPr="00D50A7E">
        <w:rPr>
          <w:rStyle w:val="fontstyle31"/>
          <w:rFonts w:cs="Times New Roman"/>
        </w:rPr>
        <w:t xml:space="preserve">E-mail: </w:t>
      </w:r>
      <w:r w:rsidRPr="00D50A7E">
        <w:rPr>
          <w:rStyle w:val="fontstyle31"/>
          <w:rFonts w:cs="Times New Roman"/>
          <w:color w:val="0000FF"/>
        </w:rPr>
        <w:t>Edidinata85@gmail.com</w:t>
      </w:r>
      <w:r w:rsidRPr="00D50A7E">
        <w:rPr>
          <w:rFonts w:ascii="Book Antiqua" w:hAnsi="Book Antiqua" w:cs="Times New Roman"/>
          <w:i/>
          <w:iCs/>
          <w:color w:val="0000FF"/>
        </w:rPr>
        <w:br/>
      </w:r>
      <w:r w:rsidRPr="00D50A7E">
        <w:rPr>
          <w:rStyle w:val="fontstyle01"/>
          <w:rFonts w:cs="Times New Roman"/>
        </w:rPr>
        <w:t>Imawanto</w:t>
      </w:r>
      <w:r w:rsidR="00D50A7E" w:rsidRPr="00D50A7E">
        <w:rPr>
          <w:rStyle w:val="fontstyle01"/>
          <w:rFonts w:cs="Times New Roman"/>
          <w:vertAlign w:val="superscript"/>
        </w:rPr>
        <w:t>2</w:t>
      </w:r>
      <w:r w:rsidRPr="00D50A7E">
        <w:rPr>
          <w:rFonts w:ascii="Book Antiqua" w:hAnsi="Book Antiqua" w:cs="Times New Roman"/>
          <w:b/>
          <w:bCs/>
          <w:color w:val="000000"/>
          <w:sz w:val="24"/>
          <w:szCs w:val="24"/>
        </w:rPr>
        <w:br/>
      </w:r>
      <w:r w:rsidRPr="00D50A7E">
        <w:rPr>
          <w:rStyle w:val="fontstyle21"/>
          <w:rFonts w:cs="Times New Roman"/>
        </w:rPr>
        <w:t>Dosen Fakultas Hukum Universitas Muhammadiyah Mataram</w:t>
      </w:r>
      <w:r w:rsidRPr="00D50A7E">
        <w:rPr>
          <w:rFonts w:ascii="Book Antiqua" w:hAnsi="Book Antiqua" w:cs="Times New Roman"/>
          <w:color w:val="000000"/>
        </w:rPr>
        <w:br/>
      </w:r>
      <w:r w:rsidRPr="00D50A7E">
        <w:rPr>
          <w:rStyle w:val="fontstyle31"/>
          <w:rFonts w:cs="Times New Roman"/>
        </w:rPr>
        <w:t xml:space="preserve">E-mail: </w:t>
      </w:r>
      <w:r w:rsidRPr="00D50A7E">
        <w:rPr>
          <w:rStyle w:val="fontstyle31"/>
          <w:rFonts w:cs="Times New Roman"/>
          <w:color w:val="0000FF"/>
        </w:rPr>
        <w:t>Imawanto123@gmail.com</w:t>
      </w:r>
    </w:p>
    <w:p w:rsidR="00D50A7E" w:rsidRPr="00D50A7E" w:rsidRDefault="00D50A7E" w:rsidP="00D50A7E">
      <w:pPr>
        <w:spacing w:after="0" w:line="240" w:lineRule="auto"/>
        <w:ind w:firstLine="540"/>
        <w:jc w:val="center"/>
        <w:rPr>
          <w:rFonts w:ascii="Book Antiqua" w:hAnsi="Book Antiqua" w:cs="Times New Roman"/>
          <w:b/>
          <w:bCs/>
          <w:color w:val="000000"/>
        </w:rPr>
      </w:pPr>
    </w:p>
    <w:p w:rsidR="00D50A7E" w:rsidRPr="00D50A7E" w:rsidRDefault="00D50A7E" w:rsidP="00D50A7E">
      <w:pPr>
        <w:spacing w:after="0" w:line="240" w:lineRule="auto"/>
        <w:ind w:firstLine="540"/>
        <w:jc w:val="center"/>
        <w:rPr>
          <w:rFonts w:ascii="Book Antiqua" w:hAnsi="Book Antiqua" w:cs="Times New Roman"/>
          <w:b/>
          <w:bCs/>
          <w:i/>
          <w:color w:val="000000"/>
          <w:sz w:val="24"/>
          <w:szCs w:val="24"/>
        </w:rPr>
      </w:pPr>
      <w:r w:rsidRPr="00D50A7E">
        <w:rPr>
          <w:rFonts w:ascii="Book Antiqua" w:hAnsi="Book Antiqua" w:cs="Times New Roman"/>
          <w:b/>
          <w:bCs/>
          <w:i/>
          <w:color w:val="000000"/>
          <w:sz w:val="24"/>
          <w:szCs w:val="24"/>
        </w:rPr>
        <w:t>ABSTRACT</w:t>
      </w:r>
    </w:p>
    <w:p w:rsidR="00D50A7E" w:rsidRPr="00D50A7E" w:rsidRDefault="00D50A7E" w:rsidP="002B5511">
      <w:pPr>
        <w:spacing w:after="0" w:line="240" w:lineRule="auto"/>
        <w:rPr>
          <w:rFonts w:ascii="Book Antiqua" w:hAnsi="Book Antiqua" w:cs="Times New Roman"/>
          <w:i/>
          <w:color w:val="000000"/>
          <w:sz w:val="24"/>
          <w:szCs w:val="24"/>
        </w:rPr>
      </w:pPr>
      <w:r w:rsidRPr="00D50A7E">
        <w:rPr>
          <w:rFonts w:ascii="Book Antiqua" w:hAnsi="Book Antiqua" w:cs="Times New Roman"/>
          <w:i/>
          <w:color w:val="000000"/>
          <w:sz w:val="24"/>
          <w:szCs w:val="24"/>
        </w:rPr>
        <w:t>This article discusses the issues related to frequent motorized vehicle accidents, causing losses to both motorists as the insured on Jasa Raharja insurance and to victims including the general public as the party when the loser is injured. Because most people or the insured do not understand their rights and obligations which are regulated in statutory regulations, including the form of legal protection provided by the State as a form of counter-achievement from the mandatory premium payment. This type of research uses normative legal research with a statutory approach. The results of the study, Forms of legal protection Legal protection for the insured due to motorized accidents in terms of positive law, that basically the State has been present in order to guarantee and provide legal protection for the public when a motorized accident occurs with an insurance program managed by State-Owned Enterprises (BUMN) through PT. Jasa Raharja. Indeed, this insurance program is slightly different from insurance in general where the program is compulsory insurance which is carried out based on several laws and regulations stipulated by the Government. The administration of social insurance is a state agency or an organization under the authority and supervision of the state. In this case the state has the position of being the guarantor and at the same time as the ruler and manager of funds. Because it is insurance, the amount of premium payment is determined by the government and the payment is made at the same time as the motor vehicle tax payment.</w:t>
      </w:r>
    </w:p>
    <w:p w:rsidR="00D50A7E" w:rsidRPr="00D50A7E" w:rsidRDefault="00D50A7E" w:rsidP="00D50A7E">
      <w:pPr>
        <w:spacing w:after="0" w:line="240" w:lineRule="auto"/>
        <w:rPr>
          <w:rFonts w:ascii="Book Antiqua" w:hAnsi="Book Antiqua" w:cs="Times New Roman"/>
          <w:i/>
          <w:color w:val="000000"/>
          <w:sz w:val="24"/>
          <w:szCs w:val="24"/>
        </w:rPr>
      </w:pPr>
      <w:r w:rsidRPr="00D50A7E">
        <w:rPr>
          <w:rFonts w:ascii="Book Antiqua" w:hAnsi="Book Antiqua" w:cs="Times New Roman"/>
          <w:b/>
          <w:bCs/>
          <w:i/>
          <w:iCs/>
          <w:color w:val="000000"/>
          <w:sz w:val="24"/>
          <w:szCs w:val="24"/>
        </w:rPr>
        <w:t>Keywords</w:t>
      </w:r>
      <w:r w:rsidR="00A50A74">
        <w:rPr>
          <w:rFonts w:ascii="Book Antiqua" w:hAnsi="Book Antiqua" w:cs="Times New Roman"/>
          <w:i/>
          <w:color w:val="000000"/>
          <w:sz w:val="24"/>
          <w:szCs w:val="24"/>
        </w:rPr>
        <w:t>: Protection; Covered; Accident;</w:t>
      </w:r>
      <w:r w:rsidRPr="00D50A7E">
        <w:rPr>
          <w:rFonts w:ascii="Book Antiqua" w:hAnsi="Book Antiqua" w:cs="Times New Roman"/>
          <w:i/>
          <w:color w:val="000000"/>
          <w:sz w:val="24"/>
          <w:szCs w:val="24"/>
        </w:rPr>
        <w:t xml:space="preserve"> Motorized</w:t>
      </w:r>
      <w:r w:rsidR="00A50A74">
        <w:rPr>
          <w:rFonts w:ascii="Book Antiqua" w:hAnsi="Book Antiqua" w:cs="Times New Roman"/>
          <w:i/>
          <w:color w:val="000000"/>
          <w:sz w:val="24"/>
          <w:szCs w:val="24"/>
        </w:rPr>
        <w:t>.</w:t>
      </w:r>
    </w:p>
    <w:p w:rsidR="00D50A7E" w:rsidRPr="00D50A7E" w:rsidRDefault="00D50A7E" w:rsidP="00D50A7E">
      <w:pPr>
        <w:spacing w:after="0" w:line="240" w:lineRule="auto"/>
        <w:ind w:firstLine="540"/>
        <w:rPr>
          <w:rFonts w:ascii="Book Antiqua" w:hAnsi="Book Antiqua" w:cs="Times New Roman"/>
          <w:i/>
          <w:color w:val="000000"/>
          <w:sz w:val="24"/>
          <w:szCs w:val="24"/>
        </w:rPr>
      </w:pPr>
    </w:p>
    <w:p w:rsidR="00D50A7E" w:rsidRPr="00D50A7E" w:rsidRDefault="00D50A7E" w:rsidP="00D50A7E">
      <w:pPr>
        <w:spacing w:after="0" w:line="240" w:lineRule="auto"/>
        <w:ind w:firstLine="540"/>
        <w:rPr>
          <w:rFonts w:ascii="Book Antiqua" w:hAnsi="Book Antiqua" w:cs="Times New Roman"/>
          <w:color w:val="000000"/>
          <w:sz w:val="24"/>
          <w:szCs w:val="24"/>
        </w:rPr>
      </w:pPr>
    </w:p>
    <w:p w:rsidR="00D50A7E" w:rsidRPr="00D50A7E" w:rsidRDefault="00D50A7E" w:rsidP="00D50A7E">
      <w:pPr>
        <w:spacing w:after="0" w:line="240" w:lineRule="auto"/>
        <w:ind w:firstLine="540"/>
        <w:rPr>
          <w:rFonts w:ascii="Book Antiqua" w:hAnsi="Book Antiqua" w:cs="Times New Roman"/>
          <w:color w:val="000000"/>
          <w:sz w:val="24"/>
          <w:szCs w:val="24"/>
        </w:rPr>
      </w:pPr>
    </w:p>
    <w:p w:rsidR="008F425F" w:rsidRPr="00D50A7E" w:rsidRDefault="00A50A74">
      <w:pPr>
        <w:tabs>
          <w:tab w:val="left" w:pos="4860"/>
        </w:tabs>
        <w:spacing w:after="0" w:line="240" w:lineRule="auto"/>
        <w:ind w:left="360" w:firstLine="540"/>
        <w:jc w:val="center"/>
        <w:rPr>
          <w:rFonts w:ascii="Book Antiqua" w:hAnsi="Book Antiqua"/>
          <w:b/>
          <w:bCs/>
          <w:i/>
          <w:iCs/>
          <w:color w:val="000000"/>
          <w:sz w:val="24"/>
          <w:szCs w:val="24"/>
        </w:rPr>
      </w:pPr>
      <w:r w:rsidRPr="00A50A74">
        <w:rPr>
          <w:rFonts w:ascii="Book Antiqua" w:hAnsi="Book Antiqua"/>
          <w:b/>
          <w:bCs/>
          <w:iCs/>
          <w:color w:val="000000"/>
          <w:sz w:val="24"/>
          <w:szCs w:val="24"/>
        </w:rPr>
        <w:t>ABSTRAK</w:t>
      </w:r>
    </w:p>
    <w:p w:rsidR="008F425F" w:rsidRPr="00D50A7E" w:rsidRDefault="00A82E0E" w:rsidP="00D50A7E">
      <w:pPr>
        <w:tabs>
          <w:tab w:val="left" w:pos="4860"/>
        </w:tabs>
        <w:spacing w:after="0" w:line="240" w:lineRule="auto"/>
        <w:rPr>
          <w:rStyle w:val="fontstyle01"/>
          <w:rFonts w:cs="Times New Roman"/>
          <w:b w:val="0"/>
          <w:color w:val="auto"/>
        </w:rPr>
      </w:pPr>
      <w:r w:rsidRPr="00D50A7E">
        <w:rPr>
          <w:rFonts w:ascii="Book Antiqua" w:hAnsi="Book Antiqua" w:cs="Times New Roman"/>
          <w:bCs/>
          <w:sz w:val="24"/>
          <w:szCs w:val="24"/>
        </w:rPr>
        <w:t>Artikel ini membahas persoalan terikait sering terjadinya kecelakaan kendaraan yang bermotor, sehingga menimbulkan</w:t>
      </w:r>
      <w:r w:rsidRPr="00D50A7E">
        <w:rPr>
          <w:rFonts w:ascii="Book Antiqua" w:hAnsi="Book Antiqua" w:cs="Times New Roman"/>
          <w:color w:val="000000"/>
          <w:sz w:val="24"/>
          <w:szCs w:val="24"/>
        </w:rPr>
        <w:t xml:space="preserve"> </w:t>
      </w:r>
      <w:r w:rsidRPr="00D50A7E">
        <w:rPr>
          <w:rFonts w:ascii="Book Antiqua" w:hAnsi="Book Antiqua" w:cs="Times New Roman"/>
          <w:bCs/>
          <w:sz w:val="24"/>
          <w:szCs w:val="24"/>
        </w:rPr>
        <w:t>kerugian baik bagi pengendara selaku tertanggung pada asuransi Jasa raharja maupun bagi korban termasu</w:t>
      </w:r>
      <w:r w:rsidRPr="00D50A7E">
        <w:rPr>
          <w:rFonts w:ascii="Book Antiqua" w:hAnsi="Book Antiqua" w:cs="Times New Roman"/>
          <w:bCs/>
          <w:sz w:val="24"/>
          <w:szCs w:val="24"/>
        </w:rPr>
        <w:t xml:space="preserve">k masyarakat umum selaku pihak ketika yang dirugikan. Karena Kebanyakan masyarakat atau tertanggung selama ini tidak </w:t>
      </w:r>
      <w:r w:rsidRPr="00D50A7E">
        <w:rPr>
          <w:rFonts w:ascii="Book Antiqua" w:hAnsi="Book Antiqua" w:cs="Times New Roman"/>
          <w:bCs/>
          <w:sz w:val="24"/>
          <w:szCs w:val="24"/>
        </w:rPr>
        <w:lastRenderedPageBreak/>
        <w:t>mengerti tentang hak dan kewajibannya yang sudah diatur dalam peraturan perundang-undangan termasuk bentuk perlindungan hukumnya yang diber</w:t>
      </w:r>
      <w:r w:rsidRPr="00D50A7E">
        <w:rPr>
          <w:rFonts w:ascii="Book Antiqua" w:hAnsi="Book Antiqua" w:cs="Times New Roman"/>
          <w:bCs/>
          <w:sz w:val="24"/>
          <w:szCs w:val="24"/>
        </w:rPr>
        <w:t>ikan oleh Negara sebagai wujud kontraprestasi dari pembayaran premi yang sifatnya wajib. Jenis</w:t>
      </w:r>
      <w:r w:rsidRPr="00D50A7E">
        <w:rPr>
          <w:rFonts w:ascii="Book Antiqua" w:hAnsi="Book Antiqua" w:cs="Times New Roman"/>
          <w:color w:val="000000"/>
          <w:sz w:val="24"/>
          <w:szCs w:val="24"/>
        </w:rPr>
        <w:t xml:space="preserve"> </w:t>
      </w:r>
      <w:r w:rsidRPr="00D50A7E">
        <w:rPr>
          <w:rFonts w:ascii="Book Antiqua" w:hAnsi="Book Antiqua" w:cs="Times New Roman"/>
          <w:bCs/>
          <w:sz w:val="24"/>
          <w:szCs w:val="24"/>
        </w:rPr>
        <w:t>penelitian ini menggunakan penelitian hukum normatif dengan</w:t>
      </w:r>
      <w:r w:rsidRPr="00D50A7E">
        <w:rPr>
          <w:rFonts w:ascii="Book Antiqua" w:hAnsi="Book Antiqua" w:cs="Times New Roman"/>
          <w:color w:val="000000"/>
          <w:sz w:val="24"/>
          <w:szCs w:val="24"/>
        </w:rPr>
        <w:t xml:space="preserve"> </w:t>
      </w:r>
      <w:r w:rsidRPr="00D50A7E">
        <w:rPr>
          <w:rFonts w:ascii="Book Antiqua" w:hAnsi="Book Antiqua" w:cs="Times New Roman"/>
          <w:bCs/>
          <w:sz w:val="24"/>
          <w:szCs w:val="24"/>
        </w:rPr>
        <w:t>pendekatan perundang-undangan. Hasil penelitian,</w:t>
      </w:r>
      <w:r w:rsidRPr="00D50A7E">
        <w:rPr>
          <w:rStyle w:val="fontstyle01"/>
          <w:rFonts w:cs="Times New Roman"/>
        </w:rPr>
        <w:t xml:space="preserve"> </w:t>
      </w:r>
      <w:r w:rsidRPr="00D50A7E">
        <w:rPr>
          <w:rFonts w:ascii="Book Antiqua" w:hAnsi="Book Antiqua" w:cs="Times New Roman"/>
          <w:color w:val="000000"/>
          <w:sz w:val="24"/>
          <w:szCs w:val="24"/>
        </w:rPr>
        <w:t xml:space="preserve">Bentuk </w:t>
      </w:r>
      <w:r w:rsidRPr="00D50A7E">
        <w:rPr>
          <w:rFonts w:ascii="Book Antiqua" w:hAnsi="Book Antiqua" w:cs="Times New Roman"/>
          <w:color w:val="000000"/>
          <w:sz w:val="24"/>
          <w:szCs w:val="24"/>
        </w:rPr>
        <w:t>perlindungan</w:t>
      </w:r>
      <w:r w:rsidRPr="00D50A7E">
        <w:rPr>
          <w:rFonts w:ascii="Book Antiqua" w:hAnsi="Book Antiqua" w:cs="Times New Roman"/>
          <w:color w:val="000000"/>
          <w:sz w:val="24"/>
          <w:szCs w:val="24"/>
        </w:rPr>
        <w:t xml:space="preserve"> hukum </w:t>
      </w:r>
      <w:r w:rsidRPr="00D50A7E">
        <w:rPr>
          <w:rFonts w:ascii="Book Antiqua" w:hAnsi="Book Antiqua" w:cs="Times New Roman"/>
          <w:bCs/>
          <w:color w:val="000000"/>
          <w:sz w:val="24"/>
          <w:szCs w:val="24"/>
          <w:lang w:val="id-ID"/>
        </w:rPr>
        <w:t>P</w:t>
      </w:r>
      <w:r w:rsidRPr="00D50A7E">
        <w:rPr>
          <w:rFonts w:ascii="Book Antiqua" w:hAnsi="Book Antiqua" w:cs="Times New Roman"/>
          <w:bCs/>
          <w:color w:val="000000"/>
          <w:sz w:val="24"/>
          <w:szCs w:val="24"/>
        </w:rPr>
        <w:t xml:space="preserve">erlindungan </w:t>
      </w:r>
      <w:r w:rsidRPr="00D50A7E">
        <w:rPr>
          <w:rFonts w:ascii="Book Antiqua" w:hAnsi="Book Antiqua" w:cs="Times New Roman"/>
          <w:bCs/>
          <w:color w:val="000000"/>
          <w:sz w:val="24"/>
          <w:szCs w:val="24"/>
          <w:lang w:val="id-ID"/>
        </w:rPr>
        <w:t>h</w:t>
      </w:r>
      <w:r w:rsidRPr="00D50A7E">
        <w:rPr>
          <w:rFonts w:ascii="Book Antiqua" w:hAnsi="Book Antiqua" w:cs="Times New Roman"/>
          <w:bCs/>
          <w:color w:val="000000"/>
          <w:sz w:val="24"/>
          <w:szCs w:val="24"/>
        </w:rPr>
        <w:t xml:space="preserve">ukum bagi </w:t>
      </w:r>
      <w:r w:rsidRPr="00D50A7E">
        <w:rPr>
          <w:rFonts w:ascii="Book Antiqua" w:hAnsi="Book Antiqua" w:cs="Times New Roman"/>
          <w:bCs/>
          <w:color w:val="000000"/>
          <w:sz w:val="24"/>
          <w:szCs w:val="24"/>
          <w:lang w:val="id-ID"/>
        </w:rPr>
        <w:t>t</w:t>
      </w:r>
      <w:r w:rsidRPr="00D50A7E">
        <w:rPr>
          <w:rFonts w:ascii="Book Antiqua" w:hAnsi="Book Antiqua" w:cs="Times New Roman"/>
          <w:bCs/>
          <w:color w:val="000000"/>
          <w:sz w:val="24"/>
          <w:szCs w:val="24"/>
        </w:rPr>
        <w:t>ertanggung akibat kecelakaan bermotor ditinjau dari hukum positif</w:t>
      </w:r>
      <w:r w:rsidRPr="00D50A7E">
        <w:rPr>
          <w:rFonts w:ascii="Book Antiqua" w:hAnsi="Book Antiqua" w:cs="Times New Roman"/>
          <w:color w:val="000000"/>
          <w:sz w:val="24"/>
          <w:szCs w:val="24"/>
        </w:rPr>
        <w:t>, bahwa pada dasarnya Negara telah hadir dalam rangka menjamin dan memberikan perlindungan hukum bagi masyarakat ketika terjadi kecelakaan bermotor dengan program asuransi yang dikelolah oleh</w:t>
      </w:r>
      <w:r w:rsidRPr="00D50A7E">
        <w:rPr>
          <w:rFonts w:ascii="Book Antiqua" w:hAnsi="Book Antiqua" w:cs="Times New Roman"/>
          <w:color w:val="000000"/>
          <w:sz w:val="24"/>
          <w:szCs w:val="24"/>
        </w:rPr>
        <w:t xml:space="preserve"> Badan Usaha milik Negara (BUMN) melalui PT. Jasa Raharja. Memang program asuransi ini sedikit berbeda dengan asuransi pada umumnya dimana programnya bersifat </w:t>
      </w:r>
      <w:r w:rsidRPr="00D50A7E">
        <w:rPr>
          <w:rFonts w:ascii="Book Antiqua" w:hAnsi="Book Antiqua" w:cs="Times New Roman"/>
          <w:color w:val="000000"/>
          <w:sz w:val="24"/>
          <w:szCs w:val="24"/>
        </w:rPr>
        <w:t>asuransi wajib yang dilakukan berdasarkan beberapa peraturan perundang-undangan yang ditetapkan o</w:t>
      </w:r>
      <w:r w:rsidRPr="00D50A7E">
        <w:rPr>
          <w:rFonts w:ascii="Book Antiqua" w:hAnsi="Book Antiqua" w:cs="Times New Roman"/>
          <w:color w:val="000000"/>
          <w:sz w:val="24"/>
          <w:szCs w:val="24"/>
        </w:rPr>
        <w:t>leh Pemerintah. Penyelenggaraan asuransi sosial merupakan badan-badan negara atau suatu organisasi dibawah wewenang dan pengawasan negara. Dalam hal ini negara berkedudukan sebagai penanggung dan sekaligus sebagai penguasa dan pengelola dana. Karena sifatn</w:t>
      </w:r>
      <w:r w:rsidRPr="00D50A7E">
        <w:rPr>
          <w:rFonts w:ascii="Book Antiqua" w:hAnsi="Book Antiqua" w:cs="Times New Roman"/>
          <w:color w:val="000000"/>
          <w:sz w:val="24"/>
          <w:szCs w:val="24"/>
        </w:rPr>
        <w:t xml:space="preserve">ya asuransi maka besarnya pembayaran premi ditentukan oleh pemerintah dan pembayarannya dilakukan pada saat bersamaan dengan pembayaran pajak kendaraan bermotor. </w:t>
      </w:r>
    </w:p>
    <w:p w:rsidR="008F425F" w:rsidRPr="00D50A7E" w:rsidRDefault="00A82E0E" w:rsidP="00A50A74">
      <w:pPr>
        <w:spacing w:after="0" w:line="240" w:lineRule="auto"/>
        <w:rPr>
          <w:rFonts w:ascii="Book Antiqua" w:hAnsi="Book Antiqua" w:cs="Times New Roman"/>
          <w:i/>
          <w:iCs/>
          <w:color w:val="000000"/>
          <w:sz w:val="24"/>
          <w:szCs w:val="24"/>
        </w:rPr>
      </w:pPr>
      <w:r w:rsidRPr="00D50A7E">
        <w:rPr>
          <w:rFonts w:ascii="Book Antiqua" w:hAnsi="Book Antiqua" w:cs="Times New Roman"/>
          <w:b/>
          <w:bCs/>
          <w:color w:val="000000"/>
          <w:sz w:val="24"/>
          <w:szCs w:val="24"/>
        </w:rPr>
        <w:t>Kata Kunci</w:t>
      </w:r>
      <w:r w:rsidRPr="00D50A7E">
        <w:rPr>
          <w:rFonts w:ascii="Book Antiqua" w:hAnsi="Book Antiqua" w:cs="Times New Roman"/>
          <w:color w:val="000000"/>
          <w:sz w:val="24"/>
          <w:szCs w:val="24"/>
        </w:rPr>
        <w:t xml:space="preserve">: </w:t>
      </w:r>
      <w:r w:rsidR="00D50A7E" w:rsidRPr="00D50A7E">
        <w:rPr>
          <w:rFonts w:ascii="Book Antiqua" w:hAnsi="Book Antiqua" w:cs="Times New Roman"/>
          <w:i/>
          <w:iCs/>
          <w:color w:val="000000"/>
          <w:sz w:val="24"/>
          <w:szCs w:val="24"/>
        </w:rPr>
        <w:t>Perlindungan; Tertangung; Kecelakaan;</w:t>
      </w:r>
      <w:r w:rsidRPr="00D50A7E">
        <w:rPr>
          <w:rFonts w:ascii="Book Antiqua" w:hAnsi="Book Antiqua" w:cs="Times New Roman"/>
          <w:i/>
          <w:iCs/>
          <w:color w:val="000000"/>
          <w:sz w:val="24"/>
          <w:szCs w:val="24"/>
        </w:rPr>
        <w:t xml:space="preserve"> Bermotor</w:t>
      </w:r>
      <w:r w:rsidR="00D50A7E" w:rsidRPr="00D50A7E">
        <w:rPr>
          <w:rFonts w:ascii="Book Antiqua" w:hAnsi="Book Antiqua" w:cs="Times New Roman"/>
          <w:i/>
          <w:iCs/>
          <w:color w:val="000000"/>
          <w:sz w:val="24"/>
          <w:szCs w:val="24"/>
        </w:rPr>
        <w:t>.</w:t>
      </w:r>
    </w:p>
    <w:p w:rsidR="008F425F" w:rsidRPr="00D50A7E" w:rsidRDefault="008F425F">
      <w:pPr>
        <w:spacing w:after="0" w:line="240" w:lineRule="auto"/>
        <w:ind w:firstLine="540"/>
        <w:rPr>
          <w:rFonts w:ascii="Book Antiqua" w:hAnsi="Book Antiqua" w:cs="Times New Roman"/>
          <w:color w:val="000000"/>
          <w:sz w:val="24"/>
          <w:szCs w:val="24"/>
        </w:rPr>
      </w:pPr>
    </w:p>
    <w:p w:rsidR="008F425F" w:rsidRPr="00D50A7E" w:rsidRDefault="00A82E0E" w:rsidP="000B18CE">
      <w:pPr>
        <w:spacing w:after="0"/>
        <w:rPr>
          <w:rFonts w:ascii="Book Antiqua" w:hAnsi="Book Antiqua" w:cs="Times New Roman"/>
          <w:b/>
          <w:bCs/>
          <w:color w:val="000000"/>
          <w:sz w:val="24"/>
          <w:szCs w:val="24"/>
        </w:rPr>
      </w:pPr>
      <w:r w:rsidRPr="00D50A7E">
        <w:rPr>
          <w:rFonts w:ascii="Book Antiqua" w:hAnsi="Book Antiqua" w:cs="Times New Roman"/>
          <w:b/>
          <w:bCs/>
          <w:color w:val="000000"/>
          <w:sz w:val="24"/>
          <w:szCs w:val="24"/>
        </w:rPr>
        <w:t>PENDAHULUAN</w:t>
      </w:r>
    </w:p>
    <w:p w:rsidR="008F425F" w:rsidRPr="00D50A7E" w:rsidRDefault="00A82E0E" w:rsidP="000B18CE">
      <w:pPr>
        <w:pStyle w:val="ListParagraph"/>
        <w:spacing w:after="0"/>
        <w:ind w:left="0" w:firstLine="567"/>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Transportasi merupakan salah satu kebutuhan manusia yang </w:t>
      </w:r>
      <w:r w:rsidRPr="00D50A7E">
        <w:rPr>
          <w:rFonts w:ascii="Book Antiqua" w:hAnsi="Book Antiqua" w:cs="Times New Roman"/>
          <w:color w:val="000000"/>
          <w:sz w:val="24"/>
          <w:szCs w:val="24"/>
        </w:rPr>
        <w:t>sangat penting dalam memenuhi kebutuhan sehari-harinya dalam mobilisasi dari satu tempat ke tempat lain. Seiring perkembangan zaman dan kemajuan teknologi, khususnya di bidang lalu intas dan transportasi, ternyata tidak hanya memberikan manfaat dan pengaru</w:t>
      </w:r>
      <w:r w:rsidRPr="00D50A7E">
        <w:rPr>
          <w:rFonts w:ascii="Book Antiqua" w:hAnsi="Book Antiqua" w:cs="Times New Roman"/>
          <w:color w:val="000000"/>
          <w:sz w:val="24"/>
          <w:szCs w:val="24"/>
        </w:rPr>
        <w:t>h positif terhadap perilaku kehidupan masyarakat, namun juga membawa dampak negatif antara lain timbulnya masalah-masalah di bidang lalu lintas seperti kecelakaan lalu lintas. Korban kecelakaan lalu lintas baik luka ringan maupun luka berat bahkan korban m</w:t>
      </w:r>
      <w:r w:rsidRPr="00D50A7E">
        <w:rPr>
          <w:rFonts w:ascii="Book Antiqua" w:hAnsi="Book Antiqua" w:cs="Times New Roman"/>
          <w:color w:val="000000"/>
          <w:sz w:val="24"/>
          <w:szCs w:val="24"/>
        </w:rPr>
        <w:t>eninggal dunia.</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Perkembangan dalam bidang transportasi, turut diikuti pula oleh perkembangan fasilitas pendukung lain guna menjamin kenyamanan dan keamanan para pengguna transportasi. Modifikasi pada kendaraan yang semakin canggih untuk efisiensi waktu dan</w:t>
      </w:r>
      <w:r w:rsidRPr="00D50A7E">
        <w:rPr>
          <w:rFonts w:ascii="Book Antiqua" w:hAnsi="Book Antiqua" w:cs="Times New Roman"/>
          <w:color w:val="000000"/>
          <w:sz w:val="24"/>
          <w:szCs w:val="24"/>
        </w:rPr>
        <w:t xml:space="preserve"> estimasi biaya demi kenyamanan turut diciptakan. Namun, bukan hanya kenyamanan yang perlu diperhatikan, tapi perlu juga dibarengi dengan perhatian terhadap keamanan transportasi itu sendiri. </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Aktifitas transportasi sangat banyak dan padat khususnya di kot</w:t>
      </w:r>
      <w:r w:rsidRPr="00D50A7E">
        <w:rPr>
          <w:rFonts w:ascii="Book Antiqua" w:hAnsi="Book Antiqua" w:cs="Times New Roman"/>
          <w:color w:val="000000"/>
          <w:sz w:val="24"/>
          <w:szCs w:val="24"/>
        </w:rPr>
        <w:t>a besar memikili tingkat angka mobilitas masyarakat sangatlah tinggi dalam hal penggunaan kendaraan, baik kendaraan pribadi maupun kendaraan umum, sehingga sangat sering terjadinya kecelakaan lalu lintas, baik disebabkan oleh unsur kesengajaan ataupun kela</w:t>
      </w:r>
      <w:r w:rsidRPr="00D50A7E">
        <w:rPr>
          <w:rFonts w:ascii="Book Antiqua" w:hAnsi="Book Antiqua" w:cs="Times New Roman"/>
          <w:color w:val="000000"/>
          <w:sz w:val="24"/>
          <w:szCs w:val="24"/>
        </w:rPr>
        <w:t>laian pengguna transportasi yang tentu mengancam risiko keselamatan jiwa dan harta benda para pengguna kendaraan.</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Salah satu upaya negara untuk melindungi warga negara, khususnya dari risiko kecelakaan lalu lintas jalan adalah dengan mengeluarkan produk hu</w:t>
      </w:r>
      <w:r w:rsidRPr="00D50A7E">
        <w:rPr>
          <w:rFonts w:ascii="Book Antiqua" w:hAnsi="Book Antiqua" w:cs="Times New Roman"/>
          <w:color w:val="000000"/>
          <w:sz w:val="24"/>
          <w:szCs w:val="24"/>
        </w:rPr>
        <w:t>kum yang menjamin kepastian hukum bagi setiap pengguna jalan. Dalam hal menjamin keselamatan sebagai upaya pemerintah dalam melindungi warga negaranya dari kerugian akibat kecelakaan lalu lintas adalah melalui asuransi PT. Jasa Raharja (Persero).</w:t>
      </w:r>
    </w:p>
    <w:p w:rsidR="000B18CE" w:rsidRDefault="000B18CE" w:rsidP="000B18CE">
      <w:pPr>
        <w:spacing w:after="0" w:line="240" w:lineRule="auto"/>
        <w:rPr>
          <w:rFonts w:ascii="Book Antiqua" w:hAnsi="Book Antiqua" w:cs="Times New Roman"/>
          <w:b/>
          <w:bCs/>
          <w:color w:val="000000"/>
          <w:sz w:val="24"/>
          <w:szCs w:val="24"/>
        </w:rPr>
      </w:pPr>
    </w:p>
    <w:p w:rsidR="008F425F" w:rsidRPr="00D50A7E" w:rsidRDefault="00A82E0E" w:rsidP="000B18CE">
      <w:pPr>
        <w:spacing w:after="0"/>
        <w:rPr>
          <w:rFonts w:ascii="Book Antiqua" w:hAnsi="Book Antiqua" w:cs="Times New Roman"/>
          <w:b/>
          <w:bCs/>
          <w:color w:val="000000"/>
          <w:sz w:val="24"/>
          <w:szCs w:val="24"/>
        </w:rPr>
      </w:pPr>
      <w:r w:rsidRPr="00D50A7E">
        <w:rPr>
          <w:rFonts w:ascii="Book Antiqua" w:hAnsi="Book Antiqua" w:cs="Times New Roman"/>
          <w:b/>
          <w:bCs/>
          <w:color w:val="000000"/>
          <w:sz w:val="24"/>
          <w:szCs w:val="24"/>
        </w:rPr>
        <w:t>METODOLOGI</w:t>
      </w:r>
    </w:p>
    <w:p w:rsidR="008F425F" w:rsidRPr="00D50A7E" w:rsidRDefault="00A82E0E" w:rsidP="000B18CE">
      <w:pPr>
        <w:pStyle w:val="ListParagraph"/>
        <w:spacing w:after="0"/>
        <w:ind w:left="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Jenis </w:t>
      </w:r>
      <w:r w:rsidRPr="00D50A7E">
        <w:rPr>
          <w:rFonts w:ascii="Book Antiqua" w:hAnsi="Book Antiqua" w:cs="Times New Roman"/>
          <w:color w:val="000000"/>
          <w:sz w:val="24"/>
          <w:szCs w:val="24"/>
        </w:rPr>
        <w:t>penelitian</w:t>
      </w:r>
      <w:r w:rsidRPr="00D50A7E">
        <w:rPr>
          <w:rFonts w:ascii="Book Antiqua" w:hAnsi="Book Antiqua" w:cs="Times New Roman"/>
          <w:color w:val="000000"/>
          <w:sz w:val="24"/>
          <w:szCs w:val="24"/>
        </w:rPr>
        <w:t xml:space="preserve"> yang digunakan dalam penelitian ini adalah</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 xml:space="preserve">penelitian </w:t>
      </w:r>
      <w:r w:rsidRPr="00D50A7E">
        <w:rPr>
          <w:rFonts w:ascii="Book Antiqua" w:hAnsi="Book Antiqua" w:cs="Times New Roman"/>
          <w:i/>
          <w:iCs/>
          <w:color w:val="000000"/>
          <w:sz w:val="24"/>
          <w:szCs w:val="24"/>
        </w:rPr>
        <w:t>Normatif</w:t>
      </w:r>
      <w:r w:rsidRPr="00D50A7E">
        <w:rPr>
          <w:rFonts w:ascii="Book Antiqua" w:hAnsi="Book Antiqua" w:cs="Times New Roman"/>
          <w:color w:val="000000"/>
          <w:sz w:val="24"/>
          <w:szCs w:val="24"/>
        </w:rPr>
        <w:t>. Penelitian hukum normatif yaitu penelitian hukum</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yang mengkaji hukum tertulis dari aspek teori, sejarah, filosofi,</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perbandingan, struktur dan komposisi, lingkup dan materi, penjelasan</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umum da</w:t>
      </w:r>
      <w:r w:rsidRPr="00D50A7E">
        <w:rPr>
          <w:rFonts w:ascii="Book Antiqua" w:hAnsi="Book Antiqua" w:cs="Times New Roman"/>
          <w:color w:val="000000"/>
          <w:sz w:val="24"/>
          <w:szCs w:val="24"/>
        </w:rPr>
        <w:t>ri pasal demi pasal, formalitas dan kekuatan mengikat suatu</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undang-undang tetapi tidak mengikat aspek terapan atau</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implementasinya.</w:t>
      </w:r>
      <w:r w:rsidRPr="00D50A7E">
        <w:rPr>
          <w:rStyle w:val="FootnoteReference"/>
          <w:rFonts w:ascii="Book Antiqua" w:hAnsi="Book Antiqua"/>
          <w:color w:val="000000"/>
          <w:sz w:val="24"/>
          <w:szCs w:val="24"/>
        </w:rPr>
        <w:footnoteReference w:id="1"/>
      </w:r>
      <w:r w:rsidRPr="00D50A7E">
        <w:rPr>
          <w:rFonts w:ascii="Book Antiqua" w:hAnsi="Book Antiqua" w:cs="Times New Roman"/>
          <w:color w:val="000000"/>
          <w:sz w:val="24"/>
          <w:szCs w:val="24"/>
        </w:rPr>
        <w:t xml:space="preserve"> </w:t>
      </w:r>
      <w:r w:rsidRPr="00D50A7E">
        <w:rPr>
          <w:rFonts w:ascii="Book Antiqua" w:hAnsi="Book Antiqua" w:cs="Times New Roman"/>
          <w:color w:val="000000"/>
          <w:sz w:val="24"/>
          <w:szCs w:val="24"/>
        </w:rPr>
        <w:t>Pendekatan yang digunakan dalam penelitian ini</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adalah Pendekatan Perundang-Undangan (</w:t>
      </w:r>
      <w:r w:rsidRPr="00D50A7E">
        <w:rPr>
          <w:rFonts w:ascii="Book Antiqua" w:hAnsi="Book Antiqua" w:cs="Times New Roman"/>
          <w:i/>
          <w:iCs/>
          <w:color w:val="000000"/>
          <w:sz w:val="24"/>
          <w:szCs w:val="24"/>
        </w:rPr>
        <w:t>statute approach</w:t>
      </w:r>
      <w:r w:rsidRPr="00D50A7E">
        <w:rPr>
          <w:rFonts w:ascii="Book Antiqua" w:hAnsi="Book Antiqua" w:cs="Times New Roman"/>
          <w:color w:val="000000"/>
          <w:sz w:val="24"/>
          <w:szCs w:val="24"/>
        </w:rPr>
        <w:t>). Tujuan dari</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penelit</w:t>
      </w:r>
      <w:r w:rsidRPr="00D50A7E">
        <w:rPr>
          <w:rFonts w:ascii="Book Antiqua" w:hAnsi="Book Antiqua" w:cs="Times New Roman"/>
          <w:color w:val="000000"/>
          <w:sz w:val="24"/>
          <w:szCs w:val="24"/>
        </w:rPr>
        <w:t>ian ini untuk mengetahui bentuk perlindungan hukum bagi</w:t>
      </w:r>
      <w:r w:rsidRPr="00D50A7E">
        <w:rPr>
          <w:rFonts w:ascii="Book Antiqua" w:hAnsi="Book Antiqua" w:cs="Times New Roman"/>
          <w:color w:val="000000"/>
          <w:sz w:val="24"/>
          <w:szCs w:val="24"/>
        </w:rPr>
        <w:br/>
      </w:r>
      <w:r w:rsidRPr="00D50A7E">
        <w:rPr>
          <w:rFonts w:ascii="Book Antiqua" w:hAnsi="Book Antiqua" w:cs="Times New Roman"/>
          <w:color w:val="000000"/>
          <w:sz w:val="24"/>
          <w:szCs w:val="24"/>
        </w:rPr>
        <w:t>tertanggung pada asuransi PT. Jasa Raharja.</w:t>
      </w:r>
    </w:p>
    <w:p w:rsidR="000B18CE" w:rsidRDefault="000B18CE" w:rsidP="000B18CE">
      <w:pPr>
        <w:spacing w:after="0" w:line="240" w:lineRule="auto"/>
        <w:rPr>
          <w:rFonts w:ascii="Book Antiqua" w:hAnsi="Book Antiqua" w:cs="Times New Roman"/>
          <w:b/>
          <w:bCs/>
          <w:color w:val="000000"/>
          <w:sz w:val="24"/>
          <w:szCs w:val="24"/>
        </w:rPr>
      </w:pPr>
    </w:p>
    <w:p w:rsidR="008F425F" w:rsidRPr="00D50A7E" w:rsidRDefault="00A82E0E" w:rsidP="000B18CE">
      <w:pPr>
        <w:spacing w:after="0"/>
        <w:rPr>
          <w:rFonts w:ascii="Book Antiqua" w:hAnsi="Book Antiqua" w:cs="Times New Roman"/>
          <w:b/>
          <w:bCs/>
          <w:color w:val="000000"/>
          <w:sz w:val="24"/>
          <w:szCs w:val="24"/>
        </w:rPr>
      </w:pPr>
      <w:r w:rsidRPr="00D50A7E">
        <w:rPr>
          <w:rFonts w:ascii="Book Antiqua" w:hAnsi="Book Antiqua" w:cs="Times New Roman"/>
          <w:b/>
          <w:bCs/>
          <w:color w:val="000000"/>
          <w:sz w:val="24"/>
          <w:szCs w:val="24"/>
        </w:rPr>
        <w:t>PEMBAHASAN</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Perlindungan hukum adalah perlindungan akan harkat dan martabat, serta </w:t>
      </w:r>
      <w:r w:rsidRPr="00D50A7E">
        <w:rPr>
          <w:rFonts w:ascii="Book Antiqua" w:hAnsi="Book Antiqua" w:cs="Times New Roman"/>
          <w:color w:val="000000"/>
          <w:sz w:val="24"/>
          <w:szCs w:val="24"/>
        </w:rPr>
        <w:t>pengakuan</w:t>
      </w:r>
      <w:r w:rsidRPr="00D50A7E">
        <w:rPr>
          <w:rFonts w:ascii="Book Antiqua" w:hAnsi="Book Antiqua" w:cs="Times New Roman"/>
          <w:color w:val="000000"/>
          <w:sz w:val="24"/>
          <w:szCs w:val="24"/>
        </w:rPr>
        <w:t xml:space="preserve"> terhadap hak-hak asasi manusia yang dimiliki oleh subyek hukum berdasarkan ketentuan hukum dari kesewenangan atau sebagai kumpulan peraturan atau kaidah yang akan dapat melindungi suatu hal dari hal lainnya. Berkaitan dengan konsumen, berarti hukum member</w:t>
      </w:r>
      <w:r w:rsidRPr="00D50A7E">
        <w:rPr>
          <w:rFonts w:ascii="Book Antiqua" w:hAnsi="Book Antiqua" w:cs="Times New Roman"/>
          <w:color w:val="000000"/>
          <w:sz w:val="24"/>
          <w:szCs w:val="24"/>
        </w:rPr>
        <w:t>ikan perlindungan terhadap hak-hak pelanggan dari susuatu yang mengakibatkan tidak terpenuhinya hak-hak tersebut.</w:t>
      </w:r>
      <w:r w:rsidRPr="00D50A7E">
        <w:rPr>
          <w:rStyle w:val="FootnoteReference"/>
          <w:rFonts w:ascii="Book Antiqua" w:hAnsi="Book Antiqua"/>
          <w:color w:val="000000"/>
          <w:sz w:val="24"/>
          <w:szCs w:val="24"/>
        </w:rPr>
        <w:footnoteReference w:id="2"/>
      </w:r>
    </w:p>
    <w:p w:rsidR="008F425F" w:rsidRPr="00D50A7E" w:rsidRDefault="00A82E0E" w:rsidP="000B18CE">
      <w:pPr>
        <w:pStyle w:val="ListParagraph"/>
        <w:spacing w:after="0" w:line="240" w:lineRule="auto"/>
        <w:ind w:left="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Menurut Muchsin, perlindungan hukum merupakan kegiatan untuk melindungi individu dengan menyerasikan hubungan nilai-nilai atau kaidah-kaidah </w:t>
      </w:r>
      <w:r w:rsidRPr="00D50A7E">
        <w:rPr>
          <w:rFonts w:ascii="Book Antiqua" w:hAnsi="Book Antiqua" w:cs="Times New Roman"/>
          <w:color w:val="000000"/>
          <w:sz w:val="24"/>
          <w:szCs w:val="24"/>
        </w:rPr>
        <w:t>yang menjelma dalam sikap dan tindakan dalam menciptakan adanya ketertiban dalam pergaulan hidup antar sesama manusia. Perlindungan hukum merupakan suatu hal yang melindungi subyek-subyek hukum melalui peraturan perundang-undangan yang berlaku dan dipaksak</w:t>
      </w:r>
      <w:r w:rsidRPr="00D50A7E">
        <w:rPr>
          <w:rFonts w:ascii="Book Antiqua" w:hAnsi="Book Antiqua" w:cs="Times New Roman"/>
          <w:color w:val="000000"/>
          <w:sz w:val="24"/>
          <w:szCs w:val="24"/>
        </w:rPr>
        <w:t>an pelaksanaannya dengan suatu sanksi</w:t>
      </w:r>
      <w:r w:rsidRPr="00D50A7E">
        <w:rPr>
          <w:rStyle w:val="FootnoteReference"/>
          <w:rFonts w:ascii="Book Antiqua" w:hAnsi="Book Antiqua"/>
          <w:color w:val="000000"/>
          <w:sz w:val="24"/>
          <w:szCs w:val="24"/>
        </w:rPr>
        <w:t xml:space="preserve"> </w:t>
      </w:r>
      <w:r w:rsidRPr="00D50A7E">
        <w:rPr>
          <w:rFonts w:ascii="Book Antiqua" w:hAnsi="Book Antiqua" w:cs="Times New Roman"/>
          <w:color w:val="000000"/>
          <w:sz w:val="24"/>
          <w:szCs w:val="24"/>
        </w:rPr>
        <w:t>.</w:t>
      </w:r>
      <w:r w:rsidRPr="00D50A7E">
        <w:rPr>
          <w:rStyle w:val="FootnoteReference"/>
          <w:rFonts w:ascii="Book Antiqua" w:hAnsi="Book Antiqua"/>
          <w:color w:val="000000"/>
          <w:sz w:val="24"/>
          <w:szCs w:val="24"/>
        </w:rPr>
        <w:footnoteReference w:id="3"/>
      </w:r>
    </w:p>
    <w:p w:rsidR="008F425F" w:rsidRPr="00D50A7E" w:rsidRDefault="008F425F" w:rsidP="000B18CE">
      <w:pPr>
        <w:pStyle w:val="ListParagraph"/>
        <w:spacing w:after="0" w:line="240" w:lineRule="auto"/>
        <w:ind w:left="0"/>
        <w:contextualSpacing w:val="0"/>
        <w:rPr>
          <w:rFonts w:ascii="Book Antiqua" w:hAnsi="Book Antiqua" w:cs="Times New Roman"/>
          <w:color w:val="000000"/>
          <w:sz w:val="24"/>
          <w:szCs w:val="24"/>
        </w:rPr>
      </w:pPr>
    </w:p>
    <w:p w:rsidR="000B18CE" w:rsidRDefault="00A82E0E" w:rsidP="000B18CE">
      <w:pPr>
        <w:spacing w:after="0"/>
        <w:ind w:firstLine="567"/>
        <w:rPr>
          <w:rFonts w:ascii="Book Antiqua" w:hAnsi="Book Antiqua" w:cs="Times New Roman"/>
          <w:color w:val="000000"/>
          <w:sz w:val="24"/>
          <w:szCs w:val="24"/>
        </w:rPr>
      </w:pPr>
      <w:r w:rsidRPr="000B18CE">
        <w:rPr>
          <w:rFonts w:ascii="Book Antiqua" w:hAnsi="Book Antiqua" w:cs="Times New Roman"/>
          <w:color w:val="000000"/>
          <w:sz w:val="24"/>
          <w:szCs w:val="24"/>
        </w:rPr>
        <w:t>Salah satu langkah atau upaya yang dapat dilakukan oleh masyarakat terhadap risiko yang menimpa yang mungkin akan terjadi adalah melalui program asuransi.</w:t>
      </w:r>
      <w:r w:rsidR="000B18CE">
        <w:rPr>
          <w:rFonts w:ascii="Book Antiqua" w:hAnsi="Book Antiqua" w:cs="Times New Roman"/>
          <w:color w:val="000000"/>
          <w:sz w:val="24"/>
          <w:szCs w:val="24"/>
        </w:rPr>
        <w:t xml:space="preserve"> </w:t>
      </w:r>
      <w:r w:rsidRPr="000B18CE">
        <w:rPr>
          <w:rFonts w:ascii="Book Antiqua" w:hAnsi="Book Antiqua" w:cs="Times New Roman"/>
          <w:color w:val="000000"/>
          <w:sz w:val="24"/>
          <w:szCs w:val="24"/>
        </w:rPr>
        <w:t>Asuransi merupakan suatu sistem atau tindakan untuk melimpa</w:t>
      </w:r>
      <w:r w:rsidRPr="000B18CE">
        <w:rPr>
          <w:rFonts w:ascii="Book Antiqua" w:hAnsi="Book Antiqua" w:cs="Times New Roman"/>
          <w:color w:val="000000"/>
          <w:sz w:val="24"/>
          <w:szCs w:val="24"/>
        </w:rPr>
        <w:t>hkan, mengalihkan, atau mentransfer risiko yang ditanggung kepada pihak lain dengan syarat melakukan pembayaran premi dalam rentang waktu tertentu secara teratur sebagai ganti polis yang menjamin perlindungan terhadap risiko yang dimungkinkan terjadi di ma</w:t>
      </w:r>
      <w:r w:rsidRPr="000B18CE">
        <w:rPr>
          <w:rFonts w:ascii="Book Antiqua" w:hAnsi="Book Antiqua" w:cs="Times New Roman"/>
          <w:color w:val="000000"/>
          <w:sz w:val="24"/>
          <w:szCs w:val="24"/>
        </w:rPr>
        <w:t>sa depan seiring dengan ketidakpastian itu sendiri.</w:t>
      </w:r>
      <w:r w:rsidRPr="00D50A7E">
        <w:rPr>
          <w:rStyle w:val="FootnoteReference"/>
          <w:rFonts w:ascii="Book Antiqua" w:hAnsi="Book Antiqua"/>
          <w:color w:val="000000"/>
          <w:sz w:val="24"/>
          <w:szCs w:val="24"/>
        </w:rPr>
        <w:footnoteReference w:id="4"/>
      </w:r>
    </w:p>
    <w:p w:rsidR="008F425F" w:rsidRPr="000B18CE" w:rsidRDefault="00A82E0E" w:rsidP="000B18CE">
      <w:pPr>
        <w:spacing w:after="0"/>
        <w:ind w:firstLine="567"/>
        <w:rPr>
          <w:rFonts w:ascii="Book Antiqua" w:hAnsi="Book Antiqua" w:cs="Times New Roman"/>
          <w:color w:val="000000"/>
          <w:sz w:val="24"/>
          <w:szCs w:val="24"/>
        </w:rPr>
      </w:pPr>
      <w:r w:rsidRPr="000B18CE">
        <w:rPr>
          <w:rFonts w:ascii="Book Antiqua" w:hAnsi="Book Antiqua" w:cs="Times New Roman"/>
          <w:color w:val="000000"/>
          <w:sz w:val="24"/>
          <w:szCs w:val="24"/>
        </w:rPr>
        <w:t xml:space="preserve">Pasal 246 Kitab Undang-Undang Hukum Dagang (KUHD) atau </w:t>
      </w:r>
      <w:r w:rsidRPr="000B18CE">
        <w:rPr>
          <w:rFonts w:ascii="Book Antiqua" w:hAnsi="Book Antiqua" w:cs="Times New Roman"/>
          <w:i/>
          <w:color w:val="000000"/>
          <w:sz w:val="24"/>
          <w:szCs w:val="24"/>
        </w:rPr>
        <w:t>Wetboek Van Koophandle</w:t>
      </w:r>
      <w:r w:rsidRPr="000B18CE">
        <w:rPr>
          <w:rFonts w:ascii="Book Antiqua" w:hAnsi="Book Antiqua" w:cs="Times New Roman"/>
          <w:color w:val="000000"/>
          <w:sz w:val="24"/>
          <w:szCs w:val="24"/>
        </w:rPr>
        <w:t>, bahwa asuransi atau pertanggungan adalah suatu perjanjian yang mana seorang penanggung mengikatkan diri dengan seorang terta</w:t>
      </w:r>
      <w:r w:rsidRPr="000B18CE">
        <w:rPr>
          <w:rFonts w:ascii="Book Antiqua" w:hAnsi="Book Antiqua" w:cs="Times New Roman"/>
          <w:color w:val="000000"/>
          <w:sz w:val="24"/>
          <w:szCs w:val="24"/>
        </w:rPr>
        <w:t>nggung dengan menerima uang premi untuk memberikan penggantian kepadanya karena suatu kerugian, kerusakan atau kehilangan keuntungan yang diharapkan yang mungkin akan didenda karena suatu peristiwa tak tentu. Ketentuan ini berlaku bagi semua macam pertangg</w:t>
      </w:r>
      <w:r w:rsidRPr="000B18CE">
        <w:rPr>
          <w:rFonts w:ascii="Book Antiqua" w:hAnsi="Book Antiqua" w:cs="Times New Roman"/>
          <w:color w:val="000000"/>
          <w:sz w:val="24"/>
          <w:szCs w:val="24"/>
        </w:rPr>
        <w:t>ungan, baik yang ada dalam Kitab Undang-Undang Hukum Dagang (KUHD) maupun di luar Kitab Undang-Undang Hukum Dagang (KUHD).</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1 Undang-Undang Nomor 2 Tahun 1992 tentang Usaha Perasuransian, menjelaskan bahwa, “Asuransi atau pertanggungan adalah perjanji</w:t>
      </w:r>
      <w:r w:rsidRPr="00D50A7E">
        <w:rPr>
          <w:rFonts w:ascii="Book Antiqua" w:hAnsi="Book Antiqua" w:cs="Times New Roman"/>
          <w:color w:val="000000"/>
          <w:sz w:val="24"/>
          <w:szCs w:val="24"/>
        </w:rPr>
        <w:t>an antara dua pihak atau lebih dengan mana pihak penanggung mengikatkan diri kepada pihak tertanggung, dengan menerima premi asuransi untuk memberikan penggantian kepada tertanggung karena kerugian, kerusakan, atau kehilangan keuntungan yang diharapkan, at</w:t>
      </w:r>
      <w:r w:rsidRPr="00D50A7E">
        <w:rPr>
          <w:rFonts w:ascii="Book Antiqua" w:hAnsi="Book Antiqua" w:cs="Times New Roman"/>
          <w:color w:val="000000"/>
          <w:sz w:val="24"/>
          <w:szCs w:val="24"/>
        </w:rPr>
        <w:t>au tanggung jawab hukum kepada pihak ketiga yang mungkin akan diderita tertanggung, yang timbul dari suatu peristiwa yang tidak pasti, atau untuk memberikan suatu pembayaran yang didasarkan atas meninggal atau hidupnya seseorang yang dipertanggungkan.”</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Ber</w:t>
      </w:r>
      <w:r w:rsidRPr="00D50A7E">
        <w:rPr>
          <w:rFonts w:ascii="Book Antiqua" w:hAnsi="Book Antiqua" w:cs="Times New Roman"/>
          <w:color w:val="000000"/>
          <w:sz w:val="24"/>
          <w:szCs w:val="24"/>
        </w:rPr>
        <w:t>dasarkan sifat pelaksanaannya asuransi dapat digolongkan menjadi tiga, yaitu asuransi sukarela, asuransi wajib, dan asuransi kredit.</w:t>
      </w:r>
      <w:r w:rsidRPr="00D50A7E">
        <w:rPr>
          <w:rStyle w:val="FootnoteReference"/>
          <w:rFonts w:ascii="Book Antiqua" w:hAnsi="Book Antiqua"/>
          <w:color w:val="000000"/>
          <w:sz w:val="24"/>
          <w:szCs w:val="24"/>
        </w:rPr>
        <w:footnoteReference w:id="5"/>
      </w:r>
      <w:r w:rsidRPr="00D50A7E">
        <w:rPr>
          <w:rFonts w:ascii="Book Antiqua" w:hAnsi="Book Antiqua" w:cs="Times New Roman"/>
          <w:color w:val="000000"/>
          <w:sz w:val="24"/>
          <w:szCs w:val="24"/>
        </w:rPr>
        <w:t xml:space="preserve"> </w:t>
      </w:r>
    </w:p>
    <w:p w:rsidR="008F425F" w:rsidRPr="00D50A7E" w:rsidRDefault="00A82E0E" w:rsidP="000B18CE">
      <w:pPr>
        <w:pStyle w:val="ListParagraph"/>
        <w:numPr>
          <w:ilvl w:val="1"/>
          <w:numId w:val="1"/>
        </w:numPr>
        <w:tabs>
          <w:tab w:val="left" w:pos="426"/>
        </w:tabs>
        <w:spacing w:after="0" w:line="240" w:lineRule="auto"/>
        <w:ind w:left="426" w:hanging="426"/>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Asuransi Sukarela </w:t>
      </w:r>
    </w:p>
    <w:p w:rsidR="000B18CE" w:rsidRDefault="000B18CE" w:rsidP="000B18CE">
      <w:pPr>
        <w:tabs>
          <w:tab w:val="left" w:pos="426"/>
        </w:tabs>
        <w:spacing w:after="0" w:line="240" w:lineRule="auto"/>
        <w:ind w:left="426" w:hanging="426"/>
        <w:rPr>
          <w:rFonts w:ascii="Book Antiqua" w:hAnsi="Book Antiqua" w:cs="Times New Roman"/>
          <w:color w:val="000000"/>
          <w:sz w:val="24"/>
          <w:szCs w:val="24"/>
        </w:rPr>
      </w:pPr>
      <w:r>
        <w:rPr>
          <w:rFonts w:ascii="Book Antiqua" w:hAnsi="Book Antiqua" w:cs="Times New Roman"/>
          <w:color w:val="000000"/>
          <w:sz w:val="24"/>
          <w:szCs w:val="24"/>
        </w:rPr>
        <w:tab/>
      </w:r>
      <w:r w:rsidR="00A82E0E" w:rsidRPr="00D50A7E">
        <w:rPr>
          <w:rFonts w:ascii="Book Antiqua" w:hAnsi="Book Antiqua" w:cs="Times New Roman"/>
          <w:color w:val="000000"/>
          <w:sz w:val="24"/>
          <w:szCs w:val="24"/>
        </w:rPr>
        <w:t>Asuransi sukarela merupakan pertanggungan yang dilakukan dengan cara sukarela yang semata-mata dilakuk</w:t>
      </w:r>
      <w:r w:rsidR="00A82E0E" w:rsidRPr="00D50A7E">
        <w:rPr>
          <w:rFonts w:ascii="Book Antiqua" w:hAnsi="Book Antiqua" w:cs="Times New Roman"/>
          <w:color w:val="000000"/>
          <w:sz w:val="24"/>
          <w:szCs w:val="24"/>
        </w:rPr>
        <w:t xml:space="preserve">an atas suatu keadaan ketidakpastian atau kemungkinan terjadinya risiko kerugian atas suatu yang dipertanggungkan, misalnya asuransi kebakaran, asuransi kendaraan bermotor, asuransi pendidikan, dan asuransi kematian. </w:t>
      </w:r>
    </w:p>
    <w:p w:rsidR="000B18CE" w:rsidRDefault="00A82E0E" w:rsidP="000B18CE">
      <w:pPr>
        <w:pStyle w:val="ListParagraph"/>
        <w:numPr>
          <w:ilvl w:val="1"/>
          <w:numId w:val="1"/>
        </w:numPr>
        <w:tabs>
          <w:tab w:val="left" w:pos="426"/>
        </w:tabs>
        <w:spacing w:after="0" w:line="240" w:lineRule="auto"/>
        <w:ind w:left="426" w:hanging="426"/>
        <w:rPr>
          <w:rFonts w:ascii="Book Antiqua" w:hAnsi="Book Antiqua" w:cs="Times New Roman"/>
          <w:color w:val="000000"/>
          <w:sz w:val="24"/>
          <w:szCs w:val="24"/>
        </w:rPr>
      </w:pPr>
      <w:r w:rsidRPr="000B18CE">
        <w:rPr>
          <w:rFonts w:ascii="Book Antiqua" w:hAnsi="Book Antiqua" w:cs="Times New Roman"/>
          <w:color w:val="000000"/>
          <w:sz w:val="24"/>
          <w:szCs w:val="24"/>
        </w:rPr>
        <w:t xml:space="preserve">Asuransi Wajib </w:t>
      </w:r>
    </w:p>
    <w:p w:rsidR="008F425F" w:rsidRPr="000B18CE" w:rsidRDefault="00A82E0E" w:rsidP="000B18CE">
      <w:pPr>
        <w:pStyle w:val="ListParagraph"/>
        <w:tabs>
          <w:tab w:val="left" w:pos="426"/>
        </w:tabs>
        <w:spacing w:after="0" w:line="240" w:lineRule="auto"/>
        <w:ind w:left="426"/>
        <w:rPr>
          <w:rFonts w:ascii="Book Antiqua" w:hAnsi="Book Antiqua" w:cs="Times New Roman"/>
          <w:color w:val="000000"/>
          <w:sz w:val="24"/>
          <w:szCs w:val="24"/>
        </w:rPr>
      </w:pPr>
      <w:r w:rsidRPr="000B18CE">
        <w:rPr>
          <w:rFonts w:ascii="Book Antiqua" w:hAnsi="Book Antiqua" w:cs="Times New Roman"/>
          <w:color w:val="000000"/>
          <w:sz w:val="24"/>
          <w:szCs w:val="24"/>
        </w:rPr>
        <w:t>Asuransi wajib merupak</w:t>
      </w:r>
      <w:r w:rsidRPr="000B18CE">
        <w:rPr>
          <w:rFonts w:ascii="Book Antiqua" w:hAnsi="Book Antiqua" w:cs="Times New Roman"/>
          <w:color w:val="000000"/>
          <w:sz w:val="24"/>
          <w:szCs w:val="24"/>
        </w:rPr>
        <w:t>an asuransi yang bersifat wajib yang dilakukan berdasarkan peraturan Perundang-Undangan yang ditetapkan oleh Pemerintah, misalnya jaminan sosial tenaga kerja, asuransi kesehatan dan asuransi sosial. Penyelenggaraan asuransi sosial merupakan badan-badan neg</w:t>
      </w:r>
      <w:r w:rsidRPr="000B18CE">
        <w:rPr>
          <w:rFonts w:ascii="Book Antiqua" w:hAnsi="Book Antiqua" w:cs="Times New Roman"/>
          <w:color w:val="000000"/>
          <w:sz w:val="24"/>
          <w:szCs w:val="24"/>
        </w:rPr>
        <w:t xml:space="preserve">ara atau suatu organisasi dibawah wewenang dan pengawasan negara. Dalam hal ini negara berkedudukan sebagai penanggung dan sekaligus sebagai penguasa dan pengelola dana. Dengan demikian fungsi sosial dari asuransi sosial nampak jelas, yaitu di satu pihak, </w:t>
      </w:r>
      <w:r w:rsidRPr="000B18CE">
        <w:rPr>
          <w:rFonts w:ascii="Book Antiqua" w:hAnsi="Book Antiqua" w:cs="Times New Roman"/>
          <w:color w:val="000000"/>
          <w:sz w:val="24"/>
          <w:szCs w:val="24"/>
        </w:rPr>
        <w:t>asuransi ini menuju pada sistem jaminan sosial untuk kesejahteraan masyarakat, dan di lain pihak dana yang terkumpul dan yang dikuasai negara itu akan kembali kepada masyarakat. Tujuan dari asuransi sosial itu terutama untuk menjamin terlindunginya kebutuh</w:t>
      </w:r>
      <w:r w:rsidRPr="000B18CE">
        <w:rPr>
          <w:rFonts w:ascii="Book Antiqua" w:hAnsi="Book Antiqua" w:cs="Times New Roman"/>
          <w:color w:val="000000"/>
          <w:sz w:val="24"/>
          <w:szCs w:val="24"/>
        </w:rPr>
        <w:t>an akan jaminan sosial bagi masyarakat luas. Oleh karena itu, yang menjadi tertanggung juga masyarakat luas anggota golongan masyarakat luas.</w:t>
      </w:r>
    </w:p>
    <w:p w:rsidR="008F425F" w:rsidRPr="00D50A7E" w:rsidRDefault="00A82E0E" w:rsidP="000B18CE">
      <w:pPr>
        <w:pStyle w:val="ListParagraph"/>
        <w:numPr>
          <w:ilvl w:val="1"/>
          <w:numId w:val="1"/>
        </w:numPr>
        <w:spacing w:after="0" w:line="240" w:lineRule="auto"/>
        <w:ind w:left="426" w:hanging="426"/>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Asuransi kredit</w:t>
      </w:r>
    </w:p>
    <w:p w:rsidR="008F425F" w:rsidRPr="00D50A7E" w:rsidRDefault="00A82E0E" w:rsidP="000B18CE">
      <w:pPr>
        <w:spacing w:after="0" w:line="240" w:lineRule="auto"/>
        <w:ind w:left="426"/>
        <w:rPr>
          <w:rFonts w:ascii="Book Antiqua" w:hAnsi="Book Antiqua" w:cs="Times New Roman"/>
          <w:color w:val="000000"/>
          <w:sz w:val="24"/>
          <w:szCs w:val="24"/>
        </w:rPr>
      </w:pPr>
      <w:r w:rsidRPr="00D50A7E">
        <w:rPr>
          <w:rFonts w:ascii="Book Antiqua" w:hAnsi="Book Antiqua" w:cs="Times New Roman"/>
          <w:color w:val="000000"/>
          <w:sz w:val="24"/>
          <w:szCs w:val="24"/>
        </w:rPr>
        <w:t>Asuransi kredit adalah asuransi yang selalu berkaitan dengan dunia perbankan yang menitik beratkan</w:t>
      </w:r>
      <w:r w:rsidRPr="00D50A7E">
        <w:rPr>
          <w:rFonts w:ascii="Book Antiqua" w:hAnsi="Book Antiqua" w:cs="Times New Roman"/>
          <w:color w:val="000000"/>
          <w:sz w:val="24"/>
          <w:szCs w:val="24"/>
        </w:rPr>
        <w:t xml:space="preserve"> pada asuransi jaminan kredit berupa benda bergerak maupun benda tidak bergerak, sewaktu-waktu dapat tertimpa risiko yang dapat mengakibatkan kerugian bagi pemilik barang maupun pemberi kredit khususnya bank, meliputi asuransi pengangkutan laut dan asurans</w:t>
      </w:r>
      <w:r w:rsidRPr="00D50A7E">
        <w:rPr>
          <w:rFonts w:ascii="Book Antiqua" w:hAnsi="Book Antiqua" w:cs="Times New Roman"/>
          <w:color w:val="000000"/>
          <w:sz w:val="24"/>
          <w:szCs w:val="24"/>
        </w:rPr>
        <w:t>i kendaraan bermotor.</w:t>
      </w:r>
    </w:p>
    <w:p w:rsidR="008F425F" w:rsidRPr="00D50A7E" w:rsidRDefault="008F425F">
      <w:pPr>
        <w:spacing w:after="0" w:line="240" w:lineRule="auto"/>
        <w:rPr>
          <w:rFonts w:ascii="Book Antiqua" w:hAnsi="Book Antiqua" w:cs="Times New Roman"/>
          <w:color w:val="000000"/>
          <w:sz w:val="24"/>
          <w:szCs w:val="24"/>
        </w:rPr>
      </w:pP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Sebagai sarana atau mekanisme pengalihan kemungkinan risiko/kerugian (</w:t>
      </w:r>
      <w:r w:rsidRPr="00D50A7E">
        <w:rPr>
          <w:rFonts w:ascii="Book Antiqua" w:hAnsi="Book Antiqua" w:cs="Times New Roman"/>
          <w:i/>
          <w:color w:val="000000"/>
          <w:sz w:val="24"/>
          <w:szCs w:val="24"/>
        </w:rPr>
        <w:t>chance of loss</w:t>
      </w:r>
      <w:r w:rsidRPr="00D50A7E">
        <w:rPr>
          <w:rFonts w:ascii="Book Antiqua" w:hAnsi="Book Antiqua" w:cs="Times New Roman"/>
          <w:color w:val="000000"/>
          <w:sz w:val="24"/>
          <w:szCs w:val="24"/>
        </w:rPr>
        <w:t>) dari tertanggung sebagai “</w:t>
      </w:r>
      <w:r w:rsidRPr="00D50A7E">
        <w:rPr>
          <w:rFonts w:ascii="Book Antiqua" w:hAnsi="Book Antiqua" w:cs="Times New Roman"/>
          <w:i/>
          <w:color w:val="000000"/>
          <w:sz w:val="24"/>
          <w:szCs w:val="24"/>
        </w:rPr>
        <w:t>Original Risk Bearer</w:t>
      </w:r>
      <w:r w:rsidRPr="00D50A7E">
        <w:rPr>
          <w:rFonts w:ascii="Book Antiqua" w:hAnsi="Book Antiqua" w:cs="Times New Roman"/>
          <w:color w:val="000000"/>
          <w:sz w:val="24"/>
          <w:szCs w:val="24"/>
        </w:rPr>
        <w:t>” kepada satu atau beberapa penanggung (</w:t>
      </w:r>
      <w:r w:rsidRPr="00D50A7E">
        <w:rPr>
          <w:rFonts w:ascii="Book Antiqua" w:hAnsi="Book Antiqua" w:cs="Times New Roman"/>
          <w:i/>
          <w:color w:val="000000"/>
          <w:sz w:val="24"/>
          <w:szCs w:val="24"/>
        </w:rPr>
        <w:t>a risk transfer mechanism</w:t>
      </w:r>
      <w:r w:rsidRPr="00D50A7E">
        <w:rPr>
          <w:rFonts w:ascii="Book Antiqua" w:hAnsi="Book Antiqua" w:cs="Times New Roman"/>
          <w:color w:val="000000"/>
          <w:sz w:val="24"/>
          <w:szCs w:val="24"/>
        </w:rPr>
        <w:t xml:space="preserve">). Sehingga ketidakpastian </w:t>
      </w:r>
      <w:r w:rsidRPr="00D50A7E">
        <w:rPr>
          <w:rFonts w:ascii="Book Antiqua" w:hAnsi="Book Antiqua" w:cs="Times New Roman"/>
          <w:i/>
          <w:color w:val="000000"/>
          <w:sz w:val="24"/>
          <w:szCs w:val="24"/>
        </w:rPr>
        <w:t>(uncertainty</w:t>
      </w:r>
      <w:r w:rsidRPr="00D50A7E">
        <w:rPr>
          <w:rFonts w:ascii="Book Antiqua" w:hAnsi="Book Antiqua" w:cs="Times New Roman"/>
          <w:color w:val="000000"/>
          <w:sz w:val="24"/>
          <w:szCs w:val="24"/>
        </w:rPr>
        <w:t xml:space="preserve">) yang berupa kemungkinan terjadinya kerugian sebagai akibat suatu peristiwa tidak terduga, akan berubah menjadi proteksi asuransi yang pasti </w:t>
      </w:r>
      <w:r w:rsidRPr="00D50A7E">
        <w:rPr>
          <w:rFonts w:ascii="Book Antiqua" w:hAnsi="Book Antiqua" w:cs="Times New Roman"/>
          <w:i/>
          <w:color w:val="000000"/>
          <w:sz w:val="24"/>
          <w:szCs w:val="24"/>
        </w:rPr>
        <w:t>(certainty</w:t>
      </w:r>
      <w:r w:rsidRPr="00D50A7E">
        <w:rPr>
          <w:rFonts w:ascii="Book Antiqua" w:hAnsi="Book Antiqua" w:cs="Times New Roman"/>
          <w:color w:val="000000"/>
          <w:sz w:val="24"/>
          <w:szCs w:val="24"/>
        </w:rPr>
        <w:t xml:space="preserve">) merubah kerugian menjadi ganti rugi atau santunan klaim dengan syarat pembayaran premi. </w:t>
      </w:r>
    </w:p>
    <w:p w:rsidR="008F425F" w:rsidRPr="00D50A7E" w:rsidRDefault="00A82E0E" w:rsidP="000B18CE">
      <w:pPr>
        <w:pStyle w:val="ListParagraph"/>
        <w:spacing w:after="0"/>
        <w:ind w:left="0" w:firstLine="720"/>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w:t>
      </w:r>
      <w:r w:rsidRPr="00D50A7E">
        <w:rPr>
          <w:rFonts w:ascii="Book Antiqua" w:hAnsi="Book Antiqua" w:cs="Times New Roman"/>
          <w:color w:val="000000"/>
          <w:sz w:val="24"/>
          <w:szCs w:val="24"/>
        </w:rPr>
        <w:t>enyelenggara jasa pertanggungan terhadap asuransi kecelakaan bermotor pada dasarnya dikelolah oleh Badan Usaha Milik Negara melalui PT. Jasa Raharja yang bertujuan untuk memberikan jaminan pertanggungan kepada korban/ahli waris korban kecelakaan di jalan r</w:t>
      </w:r>
      <w:r w:rsidRPr="00D50A7E">
        <w:rPr>
          <w:rFonts w:ascii="Book Antiqua" w:hAnsi="Book Antiqua" w:cs="Times New Roman"/>
          <w:color w:val="000000"/>
          <w:sz w:val="24"/>
          <w:szCs w:val="24"/>
        </w:rPr>
        <w:t>aya. PT. Jasa Raharja (Persero) dalam penyaluran santunan telah menetapkan konsep dengan “</w:t>
      </w:r>
      <w:r w:rsidRPr="00D50A7E">
        <w:rPr>
          <w:rFonts w:ascii="Book Antiqua" w:hAnsi="Book Antiqua" w:cs="Times New Roman"/>
          <w:i/>
          <w:color w:val="000000"/>
          <w:sz w:val="24"/>
          <w:szCs w:val="24"/>
        </w:rPr>
        <w:t>Prinsip Tepat Pelayanan Santunan</w:t>
      </w:r>
      <w:r w:rsidRPr="00D50A7E">
        <w:rPr>
          <w:rFonts w:ascii="Book Antiqua" w:hAnsi="Book Antiqua" w:cs="Times New Roman"/>
          <w:color w:val="000000"/>
          <w:sz w:val="24"/>
          <w:szCs w:val="24"/>
        </w:rPr>
        <w:t>” yaitu:</w:t>
      </w:r>
      <w:r w:rsidRPr="00D50A7E">
        <w:rPr>
          <w:rStyle w:val="FootnoteReference"/>
          <w:rFonts w:ascii="Book Antiqua" w:hAnsi="Book Antiqua"/>
          <w:color w:val="000000"/>
          <w:sz w:val="24"/>
          <w:szCs w:val="24"/>
        </w:rPr>
        <w:footnoteReference w:id="6"/>
      </w:r>
    </w:p>
    <w:p w:rsidR="008F425F" w:rsidRPr="00D50A7E" w:rsidRDefault="00A82E0E" w:rsidP="000B18CE">
      <w:pPr>
        <w:pStyle w:val="ListParagraph"/>
        <w:numPr>
          <w:ilvl w:val="0"/>
          <w:numId w:val="3"/>
        </w:numPr>
        <w:spacing w:after="0" w:line="240" w:lineRule="auto"/>
        <w:ind w:left="284"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Tepat informasi, diperolehnya informasi yang akurat tentang kecelakaan alat amhkutan umum dan lalu lintas jalan sedini mungk</w:t>
      </w:r>
      <w:r w:rsidRPr="00D50A7E">
        <w:rPr>
          <w:rFonts w:ascii="Book Antiqua" w:hAnsi="Book Antiqua" w:cs="Times New Roman"/>
          <w:color w:val="000000"/>
          <w:sz w:val="24"/>
          <w:szCs w:val="24"/>
        </w:rPr>
        <w:t>in serta diberitahukan kepada korban atau ahli waris.</w:t>
      </w:r>
    </w:p>
    <w:p w:rsidR="008F425F" w:rsidRPr="00D50A7E" w:rsidRDefault="00A82E0E" w:rsidP="000B18CE">
      <w:pPr>
        <w:pStyle w:val="ListParagraph"/>
        <w:numPr>
          <w:ilvl w:val="0"/>
          <w:numId w:val="3"/>
        </w:numPr>
        <w:spacing w:after="0" w:line="240" w:lineRule="auto"/>
        <w:ind w:left="284"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Tepat jaminan, pemberian santunan kepada korban atau ahli waris korban dipastikan sesuai dengan ketentuan dan ruang lingkup serta nilai jaminan.</w:t>
      </w:r>
    </w:p>
    <w:p w:rsidR="008F425F" w:rsidRPr="00D50A7E" w:rsidRDefault="00A82E0E" w:rsidP="000B18CE">
      <w:pPr>
        <w:pStyle w:val="ListParagraph"/>
        <w:numPr>
          <w:ilvl w:val="0"/>
          <w:numId w:val="3"/>
        </w:numPr>
        <w:spacing w:after="0" w:line="240" w:lineRule="auto"/>
        <w:ind w:left="284"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Tepat subjek, penerima santunan adalah korban/ahli waris </w:t>
      </w:r>
      <w:r w:rsidRPr="00D50A7E">
        <w:rPr>
          <w:rFonts w:ascii="Book Antiqua" w:hAnsi="Book Antiqua" w:cs="Times New Roman"/>
          <w:color w:val="000000"/>
          <w:sz w:val="24"/>
          <w:szCs w:val="24"/>
        </w:rPr>
        <w:t>korban yang benar-benar berhak.</w:t>
      </w:r>
    </w:p>
    <w:p w:rsidR="008F425F" w:rsidRPr="00D50A7E" w:rsidRDefault="00A82E0E" w:rsidP="000B18CE">
      <w:pPr>
        <w:pStyle w:val="ListParagraph"/>
        <w:numPr>
          <w:ilvl w:val="0"/>
          <w:numId w:val="3"/>
        </w:numPr>
        <w:spacing w:after="0" w:line="240" w:lineRule="auto"/>
        <w:ind w:left="284"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Tepat waktu, pelayanan penyelesaian santunan mulai dari proses pengajuan sampai dengan penyerahan santunan.</w:t>
      </w:r>
    </w:p>
    <w:p w:rsidR="008F425F" w:rsidRPr="00D50A7E" w:rsidRDefault="00A82E0E" w:rsidP="000B18CE">
      <w:pPr>
        <w:pStyle w:val="ListParagraph"/>
        <w:numPr>
          <w:ilvl w:val="0"/>
          <w:numId w:val="3"/>
        </w:numPr>
        <w:spacing w:after="0" w:line="240" w:lineRule="auto"/>
        <w:ind w:left="284"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Tepat tempat, Penyerahan santunan diupayakan sedekat mungkin dengan domisili korba dan ahli waris korban.</w:t>
      </w:r>
    </w:p>
    <w:p w:rsidR="008F425F" w:rsidRPr="00D50A7E" w:rsidRDefault="008F425F">
      <w:pPr>
        <w:pStyle w:val="ListParagraph"/>
        <w:spacing w:after="0" w:line="240" w:lineRule="auto"/>
        <w:ind w:left="1440"/>
        <w:contextualSpacing w:val="0"/>
        <w:rPr>
          <w:rFonts w:ascii="Book Antiqua" w:hAnsi="Book Antiqua" w:cs="Times New Roman"/>
          <w:color w:val="000000"/>
          <w:sz w:val="24"/>
          <w:szCs w:val="24"/>
        </w:rPr>
      </w:pPr>
    </w:p>
    <w:p w:rsidR="000B18CE" w:rsidRDefault="00A82E0E" w:rsidP="000B18CE">
      <w:pPr>
        <w:pStyle w:val="ListParagraph"/>
        <w:spacing w:after="0"/>
        <w:ind w:left="0" w:firstLine="567"/>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Tujuan ut</w:t>
      </w:r>
      <w:r w:rsidRPr="00D50A7E">
        <w:rPr>
          <w:rFonts w:ascii="Book Antiqua" w:hAnsi="Book Antiqua" w:cs="Times New Roman"/>
          <w:color w:val="000000"/>
          <w:sz w:val="24"/>
          <w:szCs w:val="24"/>
        </w:rPr>
        <w:t>ama dari pertanggungan sosial yang diberikan oleh Pemerintah melalui Badan Usaha Milik Negara (BUMN) sebagai upaya memberikan atau menyediakan suatu bentuk jaminan tertentu kepada seseorang atau anggota masyarakat yang menderita kerugian dalam memperjuangk</w:t>
      </w:r>
      <w:r w:rsidRPr="00D50A7E">
        <w:rPr>
          <w:rFonts w:ascii="Book Antiqua" w:hAnsi="Book Antiqua" w:cs="Times New Roman"/>
          <w:color w:val="000000"/>
          <w:sz w:val="24"/>
          <w:szCs w:val="24"/>
        </w:rPr>
        <w:t xml:space="preserve">an hidupnya dan keluarganya khususnya yang bergerak dan menggunakan sarana jalan raya. </w:t>
      </w:r>
    </w:p>
    <w:p w:rsidR="000B18CE" w:rsidRDefault="00A82E0E" w:rsidP="000B18CE">
      <w:pPr>
        <w:pStyle w:val="ListParagraph"/>
        <w:spacing w:after="0"/>
        <w:ind w:left="0" w:firstLine="567"/>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Perlindungan hukum merupakan gambaran dari bekerjanya fungsi hukum untuk mewujudkan tujuan-tujuan hukum, yakni keadilan, kemanfaatan dan kepastian hukum. Perlindungan h</w:t>
      </w:r>
      <w:r w:rsidRPr="00D50A7E">
        <w:rPr>
          <w:rFonts w:ascii="Book Antiqua" w:hAnsi="Book Antiqua" w:cs="Times New Roman"/>
          <w:color w:val="000000"/>
          <w:sz w:val="24"/>
          <w:szCs w:val="24"/>
        </w:rPr>
        <w:t>ukum adalah suatu perlindungan yang diberikan kepada subyek hukum sesuai dengan aturan hukum, baik itu yang secara tertulis maupun tidak tertulis, baik yang bersifat preventif maupun refresif dalam rangka menegakkan peraturan hukum.</w:t>
      </w:r>
    </w:p>
    <w:p w:rsidR="008F425F" w:rsidRPr="00D50A7E" w:rsidRDefault="00A82E0E" w:rsidP="000B18CE">
      <w:pPr>
        <w:pStyle w:val="ListParagraph"/>
        <w:spacing w:after="0"/>
        <w:ind w:left="0" w:firstLine="567"/>
        <w:contextualSpacing w:val="0"/>
        <w:rPr>
          <w:rFonts w:ascii="Book Antiqua" w:hAnsi="Book Antiqua" w:cs="Times New Roman"/>
          <w:sz w:val="24"/>
          <w:szCs w:val="24"/>
        </w:rPr>
      </w:pPr>
      <w:r w:rsidRPr="00D50A7E">
        <w:rPr>
          <w:rFonts w:ascii="Book Antiqua" w:hAnsi="Book Antiqua" w:cs="Times New Roman"/>
          <w:sz w:val="24"/>
          <w:szCs w:val="24"/>
        </w:rPr>
        <w:t>Pada dasarnya bentuk pe</w:t>
      </w:r>
      <w:r w:rsidRPr="00D50A7E">
        <w:rPr>
          <w:rFonts w:ascii="Book Antiqua" w:hAnsi="Book Antiqua" w:cs="Times New Roman"/>
          <w:sz w:val="24"/>
          <w:szCs w:val="24"/>
        </w:rPr>
        <w:t xml:space="preserve">rlindungan hukum bagi tertanggung </w:t>
      </w:r>
      <w:r w:rsidRPr="00D50A7E">
        <w:rPr>
          <w:rFonts w:ascii="Book Antiqua" w:hAnsi="Book Antiqua" w:cs="Times New Roman"/>
          <w:bCs/>
          <w:sz w:val="24"/>
          <w:szCs w:val="24"/>
        </w:rPr>
        <w:t>akibat kecelakaan bermotor ditinjau dari hukum positif</w:t>
      </w:r>
      <w:r w:rsidRPr="00D50A7E">
        <w:rPr>
          <w:rFonts w:ascii="Book Antiqua" w:hAnsi="Book Antiqua" w:cs="Times New Roman"/>
          <w:b/>
          <w:sz w:val="24"/>
          <w:szCs w:val="24"/>
        </w:rPr>
        <w:t xml:space="preserve"> </w:t>
      </w:r>
      <w:r w:rsidRPr="00D50A7E">
        <w:rPr>
          <w:rFonts w:ascii="Book Antiqua" w:hAnsi="Book Antiqua" w:cs="Times New Roman"/>
          <w:sz w:val="24"/>
          <w:szCs w:val="24"/>
        </w:rPr>
        <w:t>diatur dalam beberapa regulasi, diantaranya:</w:t>
      </w:r>
    </w:p>
    <w:p w:rsidR="008F425F" w:rsidRPr="00D50A7E" w:rsidRDefault="00A82E0E" w:rsidP="000B18CE">
      <w:pPr>
        <w:pStyle w:val="ListParagraph"/>
        <w:numPr>
          <w:ilvl w:val="0"/>
          <w:numId w:val="8"/>
        </w:numPr>
        <w:spacing w:after="0"/>
        <w:ind w:left="284" w:hanging="284"/>
        <w:contextualSpacing w:val="0"/>
        <w:rPr>
          <w:rFonts w:ascii="Book Antiqua" w:hAnsi="Book Antiqua" w:cs="Times New Roman"/>
          <w:b/>
          <w:color w:val="000000"/>
          <w:sz w:val="24"/>
          <w:szCs w:val="24"/>
        </w:rPr>
      </w:pPr>
      <w:r w:rsidRPr="00D50A7E">
        <w:rPr>
          <w:rFonts w:ascii="Book Antiqua" w:hAnsi="Book Antiqua" w:cs="Times New Roman"/>
          <w:b/>
          <w:color w:val="000000"/>
          <w:sz w:val="24"/>
          <w:szCs w:val="24"/>
        </w:rPr>
        <w:t>Kitab Undang-Undang Hukum Perdata</w:t>
      </w:r>
    </w:p>
    <w:p w:rsidR="008F425F" w:rsidRPr="00D50A7E" w:rsidRDefault="00A82E0E" w:rsidP="000B18CE">
      <w:pPr>
        <w:pStyle w:val="ListParagraph"/>
        <w:spacing w:after="0"/>
        <w:ind w:left="284" w:firstLine="425"/>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Dalam Kitab Undang-Undang Hukum Perdata, ada beberapa ketentuan yang mengatur tentang as</w:t>
      </w:r>
      <w:r w:rsidRPr="00D50A7E">
        <w:rPr>
          <w:rFonts w:ascii="Book Antiqua" w:hAnsi="Book Antiqua" w:cs="Times New Roman"/>
          <w:color w:val="000000"/>
          <w:sz w:val="24"/>
          <w:szCs w:val="24"/>
        </w:rPr>
        <w:t>uransi, diantaranya:</w:t>
      </w:r>
    </w:p>
    <w:p w:rsidR="008F425F" w:rsidRPr="00D50A7E" w:rsidRDefault="00A82E0E" w:rsidP="000B18CE">
      <w:pPr>
        <w:pStyle w:val="ListParagraph"/>
        <w:numPr>
          <w:ilvl w:val="0"/>
          <w:numId w:val="4"/>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1267 KUHPerdata diterapkan dalam perjanjian asuansi jika penanggung yang memiliki kewajiban untuk mengganti kerugian atau memberikan sejumlah uang terhadap tertanggung ternyata melakukan kelalaian atau ingkar janji, maka pemegang</w:t>
      </w:r>
      <w:r w:rsidRPr="00D50A7E">
        <w:rPr>
          <w:rFonts w:ascii="Book Antiqua" w:hAnsi="Book Antiqua" w:cs="Times New Roman"/>
          <w:color w:val="000000"/>
          <w:sz w:val="24"/>
          <w:szCs w:val="24"/>
        </w:rPr>
        <w:t xml:space="preserve"> polis dapat menuntut penggantian biaya ganti rugi dan bunga.</w:t>
      </w:r>
    </w:p>
    <w:p w:rsidR="008F425F" w:rsidRPr="00D50A7E" w:rsidRDefault="00A82E0E" w:rsidP="000B18CE">
      <w:pPr>
        <w:pStyle w:val="ListParagraph"/>
        <w:numPr>
          <w:ilvl w:val="0"/>
          <w:numId w:val="4"/>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Dalam perjanjian asuransi prestasi penanggung digantungkan pada peristiwa yang belum pasti terjadi, untuk mencegah penanggung menambah syarat-syarat lainnya dalam memberikan ganti rugi atau </w:t>
      </w:r>
      <w:r w:rsidRPr="00D50A7E">
        <w:rPr>
          <w:rFonts w:ascii="Book Antiqua" w:hAnsi="Book Antiqua" w:cs="Times New Roman"/>
          <w:color w:val="000000"/>
          <w:sz w:val="24"/>
          <w:szCs w:val="24"/>
        </w:rPr>
        <w:t>memberikan sejumlah uang. Pemegang polis harus memperhatikan ketentuan Pasal 1232 s.d Pasal 1262 KUHPerdata.</w:t>
      </w:r>
    </w:p>
    <w:p w:rsidR="008F425F" w:rsidRPr="00D50A7E" w:rsidRDefault="00A82E0E" w:rsidP="000B18CE">
      <w:pPr>
        <w:pStyle w:val="ListParagraph"/>
        <w:numPr>
          <w:ilvl w:val="0"/>
          <w:numId w:val="4"/>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1318 KUHPerdata dapat digunakan oleh ahli waris dari pemegang polis untuk menuntut penanggung memberikan ganti kerugian atau sejumlah uang ke</w:t>
      </w:r>
      <w:r w:rsidRPr="00D50A7E">
        <w:rPr>
          <w:rFonts w:ascii="Book Antiqua" w:hAnsi="Book Antiqua" w:cs="Times New Roman"/>
          <w:color w:val="000000"/>
          <w:sz w:val="24"/>
          <w:szCs w:val="24"/>
        </w:rPr>
        <w:t>pada penanggung. Pasal ini menetapkan bahwa jika seseorang diminta diperjanjikan suatu hal, maka dianggap itu adalah untuk ahli waris-ahli warisnya dan orang-orang yang mempunyai hak dari padanya, kecuali dengan tega ditetapkan tidak demikian maksudya.</w:t>
      </w:r>
    </w:p>
    <w:p w:rsidR="008F425F" w:rsidRPr="00D50A7E" w:rsidRDefault="00A82E0E" w:rsidP="000B18CE">
      <w:pPr>
        <w:pStyle w:val="ListParagraph"/>
        <w:numPr>
          <w:ilvl w:val="0"/>
          <w:numId w:val="4"/>
        </w:numPr>
        <w:spacing w:after="0" w:line="240" w:lineRule="auto"/>
        <w:ind w:left="567" w:hanging="283"/>
        <w:contextualSpacing w:val="0"/>
        <w:rPr>
          <w:rFonts w:ascii="Book Antiqua" w:hAnsi="Book Antiqua" w:cs="Times New Roman"/>
          <w:b/>
          <w:color w:val="000000"/>
          <w:sz w:val="24"/>
          <w:szCs w:val="24"/>
        </w:rPr>
      </w:pPr>
      <w:r w:rsidRPr="00D50A7E">
        <w:rPr>
          <w:rFonts w:ascii="Book Antiqua" w:hAnsi="Book Antiqua" w:cs="Times New Roman"/>
          <w:color w:val="000000"/>
          <w:sz w:val="24"/>
          <w:szCs w:val="24"/>
        </w:rPr>
        <w:t xml:space="preserve">Pasal 1338 KUHPerdata mengandung beberapa asas dalam perjanjian, pertama, asas kekuatan mengikat. Asas ini jika dihubungkan dengan perjanjian asuransi berarti bahwa pihak tertanggung/pemegang polis terikat untuk melaksanakan dari ketentuan perjanjian yang </w:t>
      </w:r>
      <w:r w:rsidRPr="00D50A7E">
        <w:rPr>
          <w:rFonts w:ascii="Book Antiqua" w:hAnsi="Book Antiqua" w:cs="Times New Roman"/>
          <w:color w:val="000000"/>
          <w:sz w:val="24"/>
          <w:szCs w:val="24"/>
        </w:rPr>
        <w:t>telah disepakatinya. Pemegang polis mempunyai landasan hukum untuk menuntut penanggung melaksanakan prestasinya.</w:t>
      </w:r>
    </w:p>
    <w:p w:rsidR="008F425F" w:rsidRPr="00D50A7E" w:rsidRDefault="008F425F" w:rsidP="000B18CE">
      <w:pPr>
        <w:spacing w:after="0" w:line="240" w:lineRule="auto"/>
        <w:ind w:left="567" w:hanging="283"/>
        <w:rPr>
          <w:rFonts w:ascii="Book Antiqua" w:hAnsi="Book Antiqua" w:cs="Times New Roman"/>
          <w:b/>
          <w:color w:val="000000"/>
          <w:sz w:val="24"/>
          <w:szCs w:val="24"/>
        </w:rPr>
      </w:pPr>
    </w:p>
    <w:p w:rsidR="008F425F" w:rsidRPr="00D50A7E" w:rsidRDefault="00A82E0E" w:rsidP="000B18CE">
      <w:pPr>
        <w:pStyle w:val="ListParagraph"/>
        <w:numPr>
          <w:ilvl w:val="0"/>
          <w:numId w:val="8"/>
        </w:numPr>
        <w:spacing w:after="0"/>
        <w:ind w:left="284" w:hanging="284"/>
        <w:contextualSpacing w:val="0"/>
        <w:rPr>
          <w:rFonts w:ascii="Book Antiqua" w:hAnsi="Book Antiqua" w:cs="Times New Roman"/>
          <w:b/>
          <w:color w:val="000000"/>
          <w:sz w:val="24"/>
          <w:szCs w:val="24"/>
        </w:rPr>
      </w:pPr>
      <w:r w:rsidRPr="00D50A7E">
        <w:rPr>
          <w:rFonts w:ascii="Book Antiqua" w:hAnsi="Book Antiqua" w:cs="Times New Roman"/>
          <w:b/>
          <w:color w:val="000000"/>
          <w:sz w:val="24"/>
          <w:szCs w:val="24"/>
        </w:rPr>
        <w:t>Kitab Undang-Undang Hukum Dagang</w:t>
      </w:r>
    </w:p>
    <w:p w:rsidR="008F425F" w:rsidRPr="00D50A7E" w:rsidRDefault="00A82E0E" w:rsidP="000B18CE">
      <w:pPr>
        <w:pStyle w:val="ListParagraph"/>
        <w:spacing w:after="0"/>
        <w:ind w:left="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Dalam Kitab Undang-Undang Hukum Dagang, ada beberapa ketentuan yang mengatur tentang asuransi, diantaranya:</w:t>
      </w:r>
    </w:p>
    <w:p w:rsidR="008F425F" w:rsidRPr="00D50A7E" w:rsidRDefault="00A82E0E" w:rsidP="000B18CE">
      <w:pPr>
        <w:pStyle w:val="ListParagraph"/>
        <w:numPr>
          <w:ilvl w:val="0"/>
          <w:numId w:val="5"/>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254 KUHD melarang para pihak dalam perjanjian, baik pada waktu diadakannya perjanjian maupun selama berlangsungnya perjanjian asuransi menyatakan melepaskan hal-hal yang oleh ketentuan Undang-Undang diharuskan. Apabila hal demikian dilakukan mengaki</w:t>
      </w:r>
      <w:r w:rsidRPr="00D50A7E">
        <w:rPr>
          <w:rFonts w:ascii="Book Antiqua" w:hAnsi="Book Antiqua" w:cs="Times New Roman"/>
          <w:color w:val="000000"/>
          <w:sz w:val="24"/>
          <w:szCs w:val="24"/>
        </w:rPr>
        <w:t xml:space="preserve">batkan perjanjian asuransi batal. Hal ini untuk mencegah supaya perjanjian asuransi tidak menjadi perjudian atau pertaruhan. </w:t>
      </w:r>
    </w:p>
    <w:p w:rsidR="008F425F" w:rsidRPr="00D50A7E" w:rsidRDefault="00A82E0E" w:rsidP="000B18CE">
      <w:pPr>
        <w:pStyle w:val="ListParagraph"/>
        <w:numPr>
          <w:ilvl w:val="0"/>
          <w:numId w:val="5"/>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257 KUHD dan 258 KUHD jika melihat ketentuan Pasal 255 KUHD, seolah-olah polis merupakan syarat mutlak untuk terbentuknya pe</w:t>
      </w:r>
      <w:r w:rsidRPr="00D50A7E">
        <w:rPr>
          <w:rFonts w:ascii="Book Antiqua" w:hAnsi="Book Antiqua" w:cs="Times New Roman"/>
          <w:color w:val="000000"/>
          <w:sz w:val="24"/>
          <w:szCs w:val="24"/>
        </w:rPr>
        <w:t>rjanjian asuransi. Apabila memperhatikan Pasal 257 KUHD ternyata tidak benar. Dalam pasal ini disebutkan bahwa perjanjian asuransi diterbitkan seketika setelah ditutup, hak dan kewajiban timbal balik dari tertanggung dan penanggung mulai berlaku sejak saat</w:t>
      </w:r>
      <w:r w:rsidRPr="00D50A7E">
        <w:rPr>
          <w:rFonts w:ascii="Book Antiqua" w:hAnsi="Book Antiqua" w:cs="Times New Roman"/>
          <w:color w:val="000000"/>
          <w:sz w:val="24"/>
          <w:szCs w:val="24"/>
        </w:rPr>
        <w:t xml:space="preserve"> itu. Artinya apabila kedua belah pihak telah menutup perjanjian asuransi akan tetapi polisnya belum dibuat, maka tertanggung tetap berhak menuntut ganti rugi apabila peristiwa yang diperjanjikan terjadi. Tertanggung harus membuktikan bahwa perjanjian asur</w:t>
      </w:r>
      <w:r w:rsidRPr="00D50A7E">
        <w:rPr>
          <w:rFonts w:ascii="Book Antiqua" w:hAnsi="Book Antiqua" w:cs="Times New Roman"/>
          <w:color w:val="000000"/>
          <w:sz w:val="24"/>
          <w:szCs w:val="24"/>
        </w:rPr>
        <w:t xml:space="preserve">ansi telah ditutup dengan alat-alat pembuktian yang lain misalnya surat menyurat antara penanggung dengan tertanggung, catatan penanggung, nota penutupan dan lainnya. </w:t>
      </w:r>
    </w:p>
    <w:p w:rsidR="008F425F" w:rsidRPr="00D50A7E" w:rsidRDefault="00A82E0E" w:rsidP="000B18CE">
      <w:pPr>
        <w:pStyle w:val="ListParagraph"/>
        <w:numPr>
          <w:ilvl w:val="0"/>
          <w:numId w:val="5"/>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260 KUHD dan 261 KUHD mengatur tentang asuransi yang ditutup dengan perantaraan ma</w:t>
      </w:r>
      <w:r w:rsidRPr="00D50A7E">
        <w:rPr>
          <w:rFonts w:ascii="Book Antiqua" w:hAnsi="Book Antiqua" w:cs="Times New Roman"/>
          <w:color w:val="000000"/>
          <w:sz w:val="24"/>
          <w:szCs w:val="24"/>
        </w:rPr>
        <w:t>kelar atau agen. Pasal 260 KUHD mengatakan bahwa jika perjanjian asuransi ditutup dengan perantara makelar, maka polis yang telah ditandatangani harus diserahkan dalam waktu delapan hari sejak ditandatangani. Pasal 261 KUHD menetapkan bahwa jika terjadi ke</w:t>
      </w:r>
      <w:r w:rsidRPr="00D50A7E">
        <w:rPr>
          <w:rFonts w:ascii="Book Antiqua" w:hAnsi="Book Antiqua" w:cs="Times New Roman"/>
          <w:color w:val="000000"/>
          <w:sz w:val="24"/>
          <w:szCs w:val="24"/>
        </w:rPr>
        <w:t>lainan dalam hal yang ditetapkan dalam Pasal 259 KUHD dan 260 KUHD, maka penanggung wajib memberikan ganti rugi. Berkaitan dengan hal ini, berdasarkan hasil Simposium Hukum Asuransi, apabila terdapat kesalahan broker atau agen asuransi dalam memberikan pel</w:t>
      </w:r>
      <w:r w:rsidRPr="00D50A7E">
        <w:rPr>
          <w:rFonts w:ascii="Book Antiqua" w:hAnsi="Book Antiqua" w:cs="Times New Roman"/>
          <w:color w:val="000000"/>
          <w:sz w:val="24"/>
          <w:szCs w:val="24"/>
        </w:rPr>
        <w:t xml:space="preserve">ayanan kepada tertanggung, maka broker asuransi dapat dituntut baik secara perdata maupun pidana. </w:t>
      </w:r>
    </w:p>
    <w:p w:rsidR="008F425F" w:rsidRPr="00D50A7E" w:rsidRDefault="008F425F">
      <w:pPr>
        <w:pStyle w:val="ListParagraph"/>
        <w:spacing w:after="0" w:line="240" w:lineRule="auto"/>
        <w:ind w:left="1080"/>
        <w:contextualSpacing w:val="0"/>
        <w:rPr>
          <w:rFonts w:ascii="Book Antiqua" w:hAnsi="Book Antiqua" w:cs="Times New Roman"/>
          <w:color w:val="000000"/>
          <w:sz w:val="24"/>
          <w:szCs w:val="24"/>
        </w:rPr>
      </w:pPr>
    </w:p>
    <w:p w:rsidR="008F425F" w:rsidRPr="00D50A7E" w:rsidRDefault="00A82E0E" w:rsidP="000B18CE">
      <w:pPr>
        <w:pStyle w:val="ListParagraph"/>
        <w:numPr>
          <w:ilvl w:val="0"/>
          <w:numId w:val="8"/>
        </w:numPr>
        <w:spacing w:after="0"/>
        <w:ind w:left="284" w:hanging="284"/>
        <w:contextualSpacing w:val="0"/>
        <w:rPr>
          <w:rFonts w:ascii="Book Antiqua" w:hAnsi="Book Antiqua" w:cs="Times New Roman"/>
          <w:b/>
          <w:color w:val="000000"/>
          <w:sz w:val="24"/>
          <w:szCs w:val="24"/>
        </w:rPr>
      </w:pPr>
      <w:r w:rsidRPr="00D50A7E">
        <w:rPr>
          <w:rFonts w:ascii="Book Antiqua" w:hAnsi="Book Antiqua" w:cs="Times New Roman"/>
          <w:b/>
          <w:color w:val="000000"/>
          <w:sz w:val="24"/>
          <w:szCs w:val="24"/>
        </w:rPr>
        <w:t xml:space="preserve">Undang-Undang Nomor 40 tahun 2014 tentang Perasuransian </w:t>
      </w:r>
    </w:p>
    <w:p w:rsidR="000B18CE" w:rsidRDefault="00A82E0E" w:rsidP="000B18CE">
      <w:pPr>
        <w:pStyle w:val="ListParagraph"/>
        <w:spacing w:after="0"/>
        <w:ind w:left="284" w:firstLine="436"/>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Dalam Undang-Undang Nomor 40 Tahun 2014 Tentang Usaha Perasuransian terdapat beberapa Pasal yang me</w:t>
      </w:r>
      <w:r w:rsidRPr="00D50A7E">
        <w:rPr>
          <w:rFonts w:ascii="Book Antiqua" w:hAnsi="Book Antiqua" w:cs="Times New Roman"/>
          <w:color w:val="000000"/>
          <w:sz w:val="24"/>
          <w:szCs w:val="24"/>
        </w:rPr>
        <w:t>mberikan perlindungan hukum kepada pemegang polis, peserta asuransi atau tertanggung. Pasal 26 mengatur tentang standar perilaku usaha terkait penyelenggaraan usaha perasuransian agar hak dari pemegang polis, peserta asuransi atau tertanggung dapat terlind</w:t>
      </w:r>
      <w:r w:rsidRPr="00D50A7E">
        <w:rPr>
          <w:rFonts w:ascii="Book Antiqua" w:hAnsi="Book Antiqua" w:cs="Times New Roman"/>
          <w:color w:val="000000"/>
          <w:sz w:val="24"/>
          <w:szCs w:val="24"/>
        </w:rPr>
        <w:t>ungi.</w:t>
      </w:r>
    </w:p>
    <w:p w:rsidR="008F425F" w:rsidRPr="000B18CE" w:rsidRDefault="00A82E0E" w:rsidP="000B18CE">
      <w:pPr>
        <w:pStyle w:val="ListParagraph"/>
        <w:spacing w:after="0"/>
        <w:ind w:left="284" w:firstLine="436"/>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Pasal 26 Ayat (1) tersebut dijelaskan bahwa Perusahaan Perasuransian wajib memenuhi standar perilaku usaha yang mencakup ketentuan mengenai: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Polis;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Premi atau Kontribusi;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i/>
          <w:color w:val="000000"/>
          <w:sz w:val="24"/>
          <w:szCs w:val="24"/>
        </w:rPr>
        <w:t>Urderwriting</w:t>
      </w:r>
      <w:r w:rsidRPr="00D50A7E">
        <w:rPr>
          <w:rFonts w:ascii="Book Antiqua" w:hAnsi="Book Antiqua" w:cs="Times New Roman"/>
          <w:color w:val="000000"/>
          <w:sz w:val="24"/>
          <w:szCs w:val="24"/>
        </w:rPr>
        <w:t xml:space="preserve"> dan pengenalan Pemegang Polis, Tertanggung, atau Peserta;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Peny</w:t>
      </w:r>
      <w:r w:rsidRPr="00D50A7E">
        <w:rPr>
          <w:rFonts w:ascii="Book Antiqua" w:hAnsi="Book Antiqua" w:cs="Times New Roman"/>
          <w:color w:val="000000"/>
          <w:sz w:val="24"/>
          <w:szCs w:val="24"/>
        </w:rPr>
        <w:t xml:space="preserve">elesaian klaim;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Keahlian di bidang perasuransian;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Distribusi atau pemasaran produk;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Penanganan keluhan pemegang polis, tertanggung, atau peserta; dan </w:t>
      </w:r>
    </w:p>
    <w:p w:rsidR="008F425F" w:rsidRPr="00D50A7E" w:rsidRDefault="00A82E0E" w:rsidP="000B18CE">
      <w:pPr>
        <w:pStyle w:val="ListParagraph"/>
        <w:numPr>
          <w:ilvl w:val="0"/>
          <w:numId w:val="6"/>
        </w:numPr>
        <w:spacing w:after="0" w:line="240" w:lineRule="auto"/>
        <w:ind w:left="567" w:hanging="283"/>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Standar lain yang penyelenggaraan usaha. </w:t>
      </w:r>
    </w:p>
    <w:p w:rsidR="008F425F" w:rsidRPr="00D50A7E" w:rsidRDefault="008F425F" w:rsidP="000B18CE">
      <w:pPr>
        <w:pStyle w:val="ListParagraph"/>
        <w:spacing w:after="0" w:line="240" w:lineRule="auto"/>
        <w:ind w:left="567" w:hanging="283"/>
        <w:contextualSpacing w:val="0"/>
        <w:rPr>
          <w:rFonts w:ascii="Book Antiqua" w:hAnsi="Book Antiqua" w:cs="Times New Roman"/>
          <w:color w:val="000000"/>
          <w:sz w:val="24"/>
          <w:szCs w:val="24"/>
        </w:rPr>
      </w:pPr>
    </w:p>
    <w:p w:rsidR="008F425F" w:rsidRPr="00D50A7E" w:rsidRDefault="00A82E0E" w:rsidP="000B18CE">
      <w:pPr>
        <w:pStyle w:val="ListParagraph"/>
        <w:spacing w:after="0"/>
        <w:ind w:left="284" w:firstLine="425"/>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Pasal 26 Ayat (2) dijelaskan bahwa ketentuan lebih lanjut mengenai standar perilaku usaha sebagaimana dimaksud pada Ayat (1) diatur dalam peraturan Otoritas Jasa Keuangan. Peraturan Otoritas Jasa Keuangan dalam hal ini adalah Peraturan Otoritas Jasa Keuang</w:t>
      </w:r>
      <w:r w:rsidRPr="00D50A7E">
        <w:rPr>
          <w:rFonts w:ascii="Book Antiqua" w:hAnsi="Book Antiqua" w:cs="Times New Roman"/>
          <w:color w:val="000000"/>
          <w:sz w:val="24"/>
          <w:szCs w:val="24"/>
        </w:rPr>
        <w:t xml:space="preserve">an Nomor 23/POJK.05/2015 Tentang Produk Asuransi dan Pemasaran Produk Asuransi. Tepatnya pada Pasal 17, 18, dan 19 yang mengatur tentang kewajiban dari perusahaan asuransi dalam hal ketentuan Polis bagi tertanggung, antara lain: </w:t>
      </w:r>
    </w:p>
    <w:p w:rsidR="008F425F" w:rsidRPr="00D50A7E" w:rsidRDefault="00A82E0E" w:rsidP="000B18CE">
      <w:pPr>
        <w:pStyle w:val="ListParagraph"/>
        <w:numPr>
          <w:ilvl w:val="0"/>
          <w:numId w:val="9"/>
        </w:numPr>
        <w:spacing w:after="0" w:line="240" w:lineRule="auto"/>
        <w:ind w:left="567" w:hanging="283"/>
        <w:rPr>
          <w:rFonts w:ascii="Book Antiqua" w:hAnsi="Book Antiqua" w:cs="Times New Roman"/>
          <w:color w:val="000000"/>
          <w:sz w:val="24"/>
          <w:szCs w:val="24"/>
        </w:rPr>
      </w:pPr>
      <w:r w:rsidRPr="00D50A7E">
        <w:rPr>
          <w:rFonts w:ascii="Book Antiqua" w:hAnsi="Book Antiqua" w:cs="Times New Roman"/>
          <w:color w:val="000000"/>
          <w:sz w:val="24"/>
          <w:szCs w:val="24"/>
        </w:rPr>
        <w:t>Pasal 17 Perusahaan dilara</w:t>
      </w:r>
      <w:r w:rsidRPr="00D50A7E">
        <w:rPr>
          <w:rFonts w:ascii="Book Antiqua" w:hAnsi="Book Antiqua" w:cs="Times New Roman"/>
          <w:color w:val="000000"/>
          <w:sz w:val="24"/>
          <w:szCs w:val="24"/>
        </w:rPr>
        <w:t xml:space="preserve">ng mencantumkan suatu ketentuan di dalam Polis Asuransi yang dapat ditafsirkan: </w:t>
      </w:r>
    </w:p>
    <w:p w:rsidR="008F425F" w:rsidRPr="00D50A7E" w:rsidRDefault="00A82E0E" w:rsidP="000B18CE">
      <w:pPr>
        <w:pStyle w:val="ListParagraph"/>
        <w:numPr>
          <w:ilvl w:val="0"/>
          <w:numId w:val="7"/>
        </w:numPr>
        <w:spacing w:after="0" w:line="240" w:lineRule="auto"/>
        <w:ind w:left="851"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Bahwa pemegang polis, tertanggung, atau peserta tidak dapat melakukan upaya hukum sehingga pemegang polis, tertanggung, atau peserta harus menerima penolakan pembayaran klaim;</w:t>
      </w:r>
      <w:r w:rsidRPr="00D50A7E">
        <w:rPr>
          <w:rFonts w:ascii="Book Antiqua" w:hAnsi="Book Antiqua" w:cs="Times New Roman"/>
          <w:color w:val="000000"/>
          <w:sz w:val="24"/>
          <w:szCs w:val="24"/>
        </w:rPr>
        <w:t xml:space="preserve"> dan/atau </w:t>
      </w:r>
    </w:p>
    <w:p w:rsidR="008F425F" w:rsidRPr="00D50A7E" w:rsidRDefault="00A82E0E" w:rsidP="000B18CE">
      <w:pPr>
        <w:pStyle w:val="ListParagraph"/>
        <w:numPr>
          <w:ilvl w:val="0"/>
          <w:numId w:val="7"/>
        </w:numPr>
        <w:spacing w:after="0" w:line="240" w:lineRule="auto"/>
        <w:ind w:left="851"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Sebagai pembatasan upaya hukum bagi para pihak dalam hal terjadi perselisihan mengenai ketentuan Polis Asuransi. </w:t>
      </w:r>
    </w:p>
    <w:p w:rsidR="008F425F" w:rsidRPr="00D50A7E" w:rsidRDefault="00A82E0E" w:rsidP="000F43D9">
      <w:pPr>
        <w:pStyle w:val="ListParagraph"/>
        <w:numPr>
          <w:ilvl w:val="0"/>
          <w:numId w:val="9"/>
        </w:numPr>
        <w:spacing w:after="0" w:line="240" w:lineRule="auto"/>
        <w:ind w:left="567" w:hanging="283"/>
        <w:rPr>
          <w:rFonts w:ascii="Book Antiqua" w:hAnsi="Book Antiqua" w:cs="Times New Roman"/>
          <w:color w:val="000000"/>
          <w:sz w:val="24"/>
          <w:szCs w:val="24"/>
        </w:rPr>
      </w:pPr>
      <w:r w:rsidRPr="00D50A7E">
        <w:rPr>
          <w:rFonts w:ascii="Book Antiqua" w:hAnsi="Book Antiqua" w:cs="Times New Roman"/>
          <w:color w:val="000000"/>
          <w:sz w:val="24"/>
          <w:szCs w:val="24"/>
        </w:rPr>
        <w:t>Pasal 18, tentang penyelesaian sengketa</w:t>
      </w:r>
    </w:p>
    <w:p w:rsidR="008F425F" w:rsidRPr="00D50A7E" w:rsidRDefault="00A82E0E" w:rsidP="000F43D9">
      <w:pPr>
        <w:pStyle w:val="ListParagraph"/>
        <w:numPr>
          <w:ilvl w:val="1"/>
          <w:numId w:val="10"/>
        </w:numPr>
        <w:spacing w:after="0" w:line="240" w:lineRule="auto"/>
        <w:ind w:left="851"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Ketentuan dalam Polis Asuransi yang mengatur mengenai penyelesaian perselisihan harus memua</w:t>
      </w:r>
      <w:r w:rsidRPr="00D50A7E">
        <w:rPr>
          <w:rFonts w:ascii="Book Antiqua" w:hAnsi="Book Antiqua" w:cs="Times New Roman"/>
          <w:color w:val="000000"/>
          <w:sz w:val="24"/>
          <w:szCs w:val="24"/>
        </w:rPr>
        <w:t xml:space="preserve">t penyelesaian sengketa yaitu di luar pengadilan dan melalui pengadilan. </w:t>
      </w:r>
    </w:p>
    <w:p w:rsidR="000F43D9" w:rsidRDefault="00A82E0E" w:rsidP="000F43D9">
      <w:pPr>
        <w:pStyle w:val="ListParagraph"/>
        <w:numPr>
          <w:ilvl w:val="1"/>
          <w:numId w:val="10"/>
        </w:numPr>
        <w:spacing w:after="0" w:line="240" w:lineRule="auto"/>
        <w:ind w:left="851" w:hanging="284"/>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Ketentuan dalam Polis Asuransi yang mengatur mengenai penyelesaian perselisihan atas perjanjian asuransi yang dilakukan di luar pengadilan, harus memberikan pilihan alternatif penyel</w:t>
      </w:r>
      <w:r w:rsidRPr="00D50A7E">
        <w:rPr>
          <w:rFonts w:ascii="Book Antiqua" w:hAnsi="Book Antiqua" w:cs="Times New Roman"/>
          <w:color w:val="000000"/>
          <w:sz w:val="24"/>
          <w:szCs w:val="24"/>
        </w:rPr>
        <w:t xml:space="preserve">esaian sengketa yaitu melalui lembaga alternatif penyelesaian sengketa sebagaimana diatur dalam ketentuan peraturan perundang-undangan mengenai lembaga alternatif penyelesaian sengketa di sektor jasa keuangan. </w:t>
      </w:r>
    </w:p>
    <w:p w:rsidR="008F425F" w:rsidRPr="000F43D9" w:rsidRDefault="00A82E0E" w:rsidP="000F43D9">
      <w:pPr>
        <w:pStyle w:val="ListParagraph"/>
        <w:numPr>
          <w:ilvl w:val="1"/>
          <w:numId w:val="10"/>
        </w:numPr>
        <w:spacing w:after="0" w:line="240" w:lineRule="auto"/>
        <w:ind w:left="851" w:hanging="284"/>
        <w:contextualSpacing w:val="0"/>
        <w:rPr>
          <w:rFonts w:ascii="Book Antiqua" w:hAnsi="Book Antiqua" w:cs="Times New Roman"/>
          <w:color w:val="000000"/>
          <w:sz w:val="24"/>
          <w:szCs w:val="24"/>
        </w:rPr>
      </w:pPr>
      <w:r w:rsidRPr="000F43D9">
        <w:rPr>
          <w:rFonts w:ascii="Book Antiqua" w:hAnsi="Book Antiqua" w:cs="Times New Roman"/>
          <w:color w:val="000000"/>
          <w:sz w:val="24"/>
          <w:szCs w:val="24"/>
        </w:rPr>
        <w:t xml:space="preserve">Ketentuan dalam Polis Asuransi yang mengatur </w:t>
      </w:r>
      <w:r w:rsidRPr="000F43D9">
        <w:rPr>
          <w:rFonts w:ascii="Book Antiqua" w:hAnsi="Book Antiqua" w:cs="Times New Roman"/>
          <w:color w:val="000000"/>
          <w:sz w:val="24"/>
          <w:szCs w:val="24"/>
        </w:rPr>
        <w:t xml:space="preserve">mengenai penyelesaian perselisihan atas perjanjian asuransi yang dilakukan melalui pengadilan, tidak boleh membatasi pemilihan pengadilan hanya pada pengadilan negeri di tempat kedudukan Perusahaan. </w:t>
      </w:r>
    </w:p>
    <w:p w:rsidR="008F425F" w:rsidRPr="00D50A7E" w:rsidRDefault="00A82E0E" w:rsidP="000F43D9">
      <w:pPr>
        <w:pStyle w:val="ListParagraph"/>
        <w:numPr>
          <w:ilvl w:val="0"/>
          <w:numId w:val="8"/>
        </w:numPr>
        <w:spacing w:after="0"/>
        <w:ind w:left="284" w:hanging="284"/>
        <w:contextualSpacing w:val="0"/>
        <w:rPr>
          <w:rFonts w:ascii="Book Antiqua" w:hAnsi="Book Antiqua" w:cs="Times New Roman"/>
          <w:b/>
          <w:color w:val="000000"/>
          <w:sz w:val="24"/>
          <w:szCs w:val="24"/>
        </w:rPr>
      </w:pPr>
      <w:r w:rsidRPr="00D50A7E">
        <w:rPr>
          <w:rFonts w:ascii="Book Antiqua" w:hAnsi="Book Antiqua" w:cs="Times New Roman"/>
          <w:b/>
          <w:color w:val="000000"/>
          <w:sz w:val="24"/>
          <w:szCs w:val="24"/>
        </w:rPr>
        <w:t>Undang-Undang Nomor 22 Tahun 2009 tentang Lalu Lintas d</w:t>
      </w:r>
      <w:r w:rsidRPr="00D50A7E">
        <w:rPr>
          <w:rFonts w:ascii="Book Antiqua" w:hAnsi="Book Antiqua" w:cs="Times New Roman"/>
          <w:b/>
          <w:color w:val="000000"/>
          <w:sz w:val="24"/>
          <w:szCs w:val="24"/>
        </w:rPr>
        <w:t xml:space="preserve">an Angkutan Jalan </w:t>
      </w:r>
    </w:p>
    <w:p w:rsidR="000F43D9" w:rsidRDefault="00A82E0E" w:rsidP="000F43D9">
      <w:pPr>
        <w:pStyle w:val="ListParagraph"/>
        <w:spacing w:after="0"/>
        <w:ind w:left="284" w:firstLine="567"/>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Undang-Undang Nomor 22 Tahun 2009 tentang Lalu Lintas dan Angkutan Jalan ini termasuk dalam perlindungan hukum preventif yang diberikan pemerintah bagi rakyatnya. Undang-Undang bertujuan untuk mencegah adanya sengketa dalam hal ini adala</w:t>
      </w:r>
      <w:r w:rsidRPr="00D50A7E">
        <w:rPr>
          <w:rFonts w:ascii="Book Antiqua" w:hAnsi="Book Antiqua" w:cs="Times New Roman"/>
          <w:color w:val="000000"/>
          <w:sz w:val="24"/>
          <w:szCs w:val="24"/>
        </w:rPr>
        <w:t>h permasalahan yang mungkin terjadi akibat penggunaan jalan yaitu kecelakaan lalu lintas. Kecelakaan lalu lintas bisa terjadi karena tiga faktor utama yaitu faktor manusia, faktor lingkungan, dan faktor jalan. Namun disamping ketiga faktor tersebut masih a</w:t>
      </w:r>
      <w:r w:rsidRPr="00D50A7E">
        <w:rPr>
          <w:rFonts w:ascii="Book Antiqua" w:hAnsi="Book Antiqua" w:cs="Times New Roman"/>
          <w:color w:val="000000"/>
          <w:sz w:val="24"/>
          <w:szCs w:val="24"/>
        </w:rPr>
        <w:t>da faktor lain yaitu faktor lingkungan dan cuaca yang juga menjadi kontribusi terhadap kecelakaan. Faktor lingkungan yang dimaksud tersebut adalah sarana dan prasarana jalan.</w:t>
      </w:r>
    </w:p>
    <w:p w:rsidR="008F425F" w:rsidRPr="00D50A7E" w:rsidRDefault="00A82E0E" w:rsidP="000F43D9">
      <w:pPr>
        <w:pStyle w:val="ListParagraph"/>
        <w:spacing w:after="0"/>
        <w:ind w:left="284" w:firstLine="567"/>
        <w:contextualSpacing w:val="0"/>
        <w:rPr>
          <w:rFonts w:ascii="Book Antiqua" w:hAnsi="Book Antiqua" w:cs="Times New Roman"/>
          <w:color w:val="000000"/>
          <w:sz w:val="24"/>
          <w:szCs w:val="24"/>
        </w:rPr>
      </w:pPr>
      <w:r w:rsidRPr="00D50A7E">
        <w:rPr>
          <w:rFonts w:ascii="Book Antiqua" w:hAnsi="Book Antiqua" w:cs="Times New Roman"/>
          <w:color w:val="000000"/>
          <w:sz w:val="24"/>
          <w:szCs w:val="24"/>
        </w:rPr>
        <w:t>Undang-Undang ini mewajibkan kepada setiap pengguna jalan umum untuk tertib dan b</w:t>
      </w:r>
      <w:r w:rsidRPr="00D50A7E">
        <w:rPr>
          <w:rFonts w:ascii="Book Antiqua" w:hAnsi="Book Antiqua" w:cs="Times New Roman"/>
          <w:color w:val="000000"/>
          <w:sz w:val="24"/>
          <w:szCs w:val="24"/>
        </w:rPr>
        <w:t xml:space="preserve">eretika baik dalam berlalu lintas. Tidak hanya sekedar mematuhi aturan lalu lintas, namun pengguna jalan juga harus mengedepankan etika dalam berlalu lintas. Hal ini bertujuan untuk mencegah adanya akibat-akibat yang mungkin terjadi apabila pengguna jalan </w:t>
      </w:r>
      <w:r w:rsidRPr="00D50A7E">
        <w:rPr>
          <w:rFonts w:ascii="Book Antiqua" w:hAnsi="Book Antiqua" w:cs="Times New Roman"/>
          <w:color w:val="000000"/>
          <w:sz w:val="24"/>
          <w:szCs w:val="24"/>
        </w:rPr>
        <w:t>melanggar undang-undang ini. Dalam pelaksanaannya tentu harus mendapat dukungan dari pemerintah baik sarana maupun prasarana. Pemerintah diharuskan tidak hanya menuntut kewajiban para pengguna jalan, akan tetapi pemerintah juga diwajibkan memberikan hak pa</w:t>
      </w:r>
      <w:r w:rsidRPr="00D50A7E">
        <w:rPr>
          <w:rFonts w:ascii="Book Antiqua" w:hAnsi="Book Antiqua" w:cs="Times New Roman"/>
          <w:color w:val="000000"/>
          <w:sz w:val="24"/>
          <w:szCs w:val="24"/>
        </w:rPr>
        <w:t>ra pengguna jalan . dalam hal ini adalah mengenai kelayakan sarana dan prasarana jalan ang ada. Sarana yang dimaksud adalah jalan itu sendiri, sedangkan prasarana jalan adalah rambu lalu lintas, marka jalan ataupun alat memberi isyarat lalu lintas jalan.</w:t>
      </w:r>
    </w:p>
    <w:p w:rsidR="000F43D9" w:rsidRDefault="000F43D9" w:rsidP="000F43D9">
      <w:pPr>
        <w:spacing w:after="0" w:line="240" w:lineRule="auto"/>
        <w:ind w:left="284" w:hanging="284"/>
        <w:rPr>
          <w:rFonts w:ascii="Book Antiqua" w:hAnsi="Book Antiqua" w:cs="Times New Roman"/>
          <w:b/>
          <w:bCs/>
          <w:color w:val="000000"/>
          <w:sz w:val="24"/>
          <w:szCs w:val="24"/>
        </w:rPr>
      </w:pPr>
    </w:p>
    <w:p w:rsidR="008F425F" w:rsidRPr="00D50A7E" w:rsidRDefault="00A82E0E" w:rsidP="000F43D9">
      <w:pPr>
        <w:spacing w:after="0"/>
        <w:ind w:left="284" w:hanging="284"/>
        <w:rPr>
          <w:rFonts w:ascii="Book Antiqua" w:hAnsi="Book Antiqua" w:cs="Times New Roman"/>
          <w:b/>
          <w:bCs/>
          <w:color w:val="000000"/>
          <w:sz w:val="24"/>
          <w:szCs w:val="24"/>
        </w:rPr>
      </w:pPr>
      <w:r w:rsidRPr="00D50A7E">
        <w:rPr>
          <w:rFonts w:ascii="Book Antiqua" w:hAnsi="Book Antiqua" w:cs="Times New Roman"/>
          <w:b/>
          <w:bCs/>
          <w:color w:val="000000"/>
          <w:sz w:val="24"/>
          <w:szCs w:val="24"/>
        </w:rPr>
        <w:t>SIMPULAN</w:t>
      </w:r>
    </w:p>
    <w:p w:rsidR="008F425F" w:rsidRDefault="00A82E0E" w:rsidP="000F43D9">
      <w:pPr>
        <w:tabs>
          <w:tab w:val="left" w:pos="4860"/>
        </w:tabs>
        <w:spacing w:after="0"/>
        <w:rPr>
          <w:rFonts w:ascii="Book Antiqua" w:hAnsi="Book Antiqua" w:cs="Times New Roman"/>
          <w:color w:val="000000"/>
          <w:sz w:val="24"/>
          <w:szCs w:val="24"/>
        </w:rPr>
      </w:pPr>
      <w:r w:rsidRPr="00D50A7E">
        <w:rPr>
          <w:rFonts w:ascii="Book Antiqua" w:hAnsi="Book Antiqua" w:cs="Times New Roman"/>
          <w:color w:val="000000"/>
          <w:sz w:val="24"/>
          <w:szCs w:val="24"/>
        </w:rPr>
        <w:t xml:space="preserve">Bentuk </w:t>
      </w:r>
      <w:r w:rsidRPr="00D50A7E">
        <w:rPr>
          <w:rFonts w:ascii="Book Antiqua" w:hAnsi="Book Antiqua" w:cs="Times New Roman"/>
          <w:color w:val="000000"/>
          <w:sz w:val="24"/>
          <w:szCs w:val="24"/>
        </w:rPr>
        <w:t>perlindungan</w:t>
      </w:r>
      <w:r w:rsidRPr="00D50A7E">
        <w:rPr>
          <w:rFonts w:ascii="Book Antiqua" w:hAnsi="Book Antiqua" w:cs="Times New Roman"/>
          <w:color w:val="000000"/>
          <w:sz w:val="24"/>
          <w:szCs w:val="24"/>
        </w:rPr>
        <w:t xml:space="preserve"> hukum </w:t>
      </w:r>
      <w:r w:rsidRPr="00D50A7E">
        <w:rPr>
          <w:rFonts w:ascii="Book Antiqua" w:hAnsi="Book Antiqua" w:cs="Times New Roman"/>
          <w:bCs/>
          <w:color w:val="000000"/>
          <w:sz w:val="24"/>
          <w:szCs w:val="24"/>
          <w:lang w:val="id-ID"/>
        </w:rPr>
        <w:t>P</w:t>
      </w:r>
      <w:r w:rsidRPr="00D50A7E">
        <w:rPr>
          <w:rFonts w:ascii="Book Antiqua" w:hAnsi="Book Antiqua" w:cs="Times New Roman"/>
          <w:bCs/>
          <w:color w:val="000000"/>
          <w:sz w:val="24"/>
          <w:szCs w:val="24"/>
        </w:rPr>
        <w:t xml:space="preserve">erlindungan </w:t>
      </w:r>
      <w:r w:rsidRPr="00D50A7E">
        <w:rPr>
          <w:rFonts w:ascii="Book Antiqua" w:hAnsi="Book Antiqua" w:cs="Times New Roman"/>
          <w:bCs/>
          <w:color w:val="000000"/>
          <w:sz w:val="24"/>
          <w:szCs w:val="24"/>
          <w:lang w:val="id-ID"/>
        </w:rPr>
        <w:t>h</w:t>
      </w:r>
      <w:r w:rsidRPr="00D50A7E">
        <w:rPr>
          <w:rFonts w:ascii="Book Antiqua" w:hAnsi="Book Antiqua" w:cs="Times New Roman"/>
          <w:bCs/>
          <w:color w:val="000000"/>
          <w:sz w:val="24"/>
          <w:szCs w:val="24"/>
        </w:rPr>
        <w:t xml:space="preserve">ukum bagi </w:t>
      </w:r>
      <w:r w:rsidRPr="00D50A7E">
        <w:rPr>
          <w:rFonts w:ascii="Book Antiqua" w:hAnsi="Book Antiqua" w:cs="Times New Roman"/>
          <w:bCs/>
          <w:color w:val="000000"/>
          <w:sz w:val="24"/>
          <w:szCs w:val="24"/>
          <w:lang w:val="id-ID"/>
        </w:rPr>
        <w:t>t</w:t>
      </w:r>
      <w:r w:rsidRPr="00D50A7E">
        <w:rPr>
          <w:rFonts w:ascii="Book Antiqua" w:hAnsi="Book Antiqua" w:cs="Times New Roman"/>
          <w:bCs/>
          <w:color w:val="000000"/>
          <w:sz w:val="24"/>
          <w:szCs w:val="24"/>
        </w:rPr>
        <w:t>ertanggung akibat kecelakaan bermotor ditinjau dari hukum positif</w:t>
      </w:r>
      <w:r w:rsidRPr="00D50A7E">
        <w:rPr>
          <w:rFonts w:ascii="Book Antiqua" w:hAnsi="Book Antiqua" w:cs="Times New Roman"/>
          <w:color w:val="000000"/>
          <w:sz w:val="24"/>
          <w:szCs w:val="24"/>
        </w:rPr>
        <w:t>, bahwa pada dasarnya Negara telah hadir dalam rangka menjamin dan memberikan perlindungan hukum bagi masyarakat ketika terjadi kec</w:t>
      </w:r>
      <w:r w:rsidRPr="00D50A7E">
        <w:rPr>
          <w:rFonts w:ascii="Book Antiqua" w:hAnsi="Book Antiqua" w:cs="Times New Roman"/>
          <w:color w:val="000000"/>
          <w:sz w:val="24"/>
          <w:szCs w:val="24"/>
        </w:rPr>
        <w:t xml:space="preserve">elakaan bermotor dengan program asuransi yang dikelolah oleh Badan Usaha milik Negara (BUMN) melalui PT. Jasa Raharja. Memang program asuransi ini sedikit berbeda dengan asuransi pada umumnya dimana programnya bersifat </w:t>
      </w:r>
      <w:r w:rsidRPr="00D50A7E">
        <w:rPr>
          <w:rFonts w:ascii="Book Antiqua" w:hAnsi="Book Antiqua" w:cs="Times New Roman"/>
          <w:color w:val="000000"/>
          <w:sz w:val="24"/>
          <w:szCs w:val="24"/>
        </w:rPr>
        <w:t>asuransi wajib yang dilakukan berdasa</w:t>
      </w:r>
      <w:r w:rsidRPr="00D50A7E">
        <w:rPr>
          <w:rFonts w:ascii="Book Antiqua" w:hAnsi="Book Antiqua" w:cs="Times New Roman"/>
          <w:color w:val="000000"/>
          <w:sz w:val="24"/>
          <w:szCs w:val="24"/>
        </w:rPr>
        <w:t xml:space="preserve">rkan beberapa peraturan perundang-undangan yang ditetapkan oleh Pemerintah. Penyelenggaraan asuransi sosial merupakan badan-badan negara atau suatu organisasi dibawah wewenang dan pengawasan negara. Dalam hal ini negara berkedudukan sebagai penanggung dan </w:t>
      </w:r>
      <w:r w:rsidRPr="00D50A7E">
        <w:rPr>
          <w:rFonts w:ascii="Book Antiqua" w:hAnsi="Book Antiqua" w:cs="Times New Roman"/>
          <w:color w:val="000000"/>
          <w:sz w:val="24"/>
          <w:szCs w:val="24"/>
        </w:rPr>
        <w:t>sekaligus sebagai penguasa dan pengelola dana. Karena sifatnya asuransi maka besarnya pembayaran premi ditentukan oleh pemerintah dan pembayarannya dilakukan pada saat bersamaan dengan pembayaran pajak kendaraan bermotor. Tujuan dari asuransi terutama untu</w:t>
      </w:r>
      <w:r w:rsidRPr="00D50A7E">
        <w:rPr>
          <w:rFonts w:ascii="Book Antiqua" w:hAnsi="Book Antiqua" w:cs="Times New Roman"/>
          <w:color w:val="000000"/>
          <w:sz w:val="24"/>
          <w:szCs w:val="24"/>
        </w:rPr>
        <w:t xml:space="preserve">k menjamin terlindunginya kebutuhan akan jaminan sosial bagi masyarakat luas khususnya </w:t>
      </w:r>
      <w:r w:rsidRPr="00D50A7E">
        <w:rPr>
          <w:rFonts w:ascii="Book Antiqua" w:hAnsi="Book Antiqua" w:cs="Times New Roman"/>
          <w:color w:val="000000"/>
          <w:sz w:val="24"/>
          <w:szCs w:val="24"/>
        </w:rPr>
        <w:t>tertanggung</w:t>
      </w:r>
      <w:r w:rsidRPr="00D50A7E">
        <w:rPr>
          <w:rFonts w:ascii="Book Antiqua" w:hAnsi="Book Antiqua" w:cs="Times New Roman"/>
          <w:color w:val="000000"/>
          <w:sz w:val="24"/>
          <w:szCs w:val="24"/>
        </w:rPr>
        <w:t xml:space="preserve"> atau korban bahkan masyarakat umum selaku pihak ketiga yang dirugikan akibat dari kecelakaan bermotor.</w:t>
      </w:r>
    </w:p>
    <w:p w:rsidR="000F43D9" w:rsidRPr="00D50A7E" w:rsidRDefault="000F43D9" w:rsidP="000F43D9">
      <w:pPr>
        <w:tabs>
          <w:tab w:val="left" w:pos="4860"/>
        </w:tabs>
        <w:spacing w:after="0" w:line="240" w:lineRule="auto"/>
        <w:rPr>
          <w:rFonts w:ascii="Book Antiqua" w:hAnsi="Book Antiqua" w:cs="Times New Roman"/>
          <w:color w:val="000000"/>
          <w:sz w:val="24"/>
          <w:szCs w:val="24"/>
        </w:rPr>
      </w:pPr>
    </w:p>
    <w:p w:rsidR="008F425F" w:rsidRPr="00D50A7E" w:rsidRDefault="00A82E0E" w:rsidP="000F43D9">
      <w:pPr>
        <w:spacing w:after="0"/>
        <w:ind w:left="284" w:hanging="284"/>
        <w:rPr>
          <w:rFonts w:ascii="Book Antiqua" w:hAnsi="Book Antiqua" w:cs="Times New Roman"/>
          <w:b/>
          <w:color w:val="000000"/>
          <w:sz w:val="24"/>
          <w:szCs w:val="24"/>
        </w:rPr>
      </w:pPr>
      <w:r w:rsidRPr="00D50A7E">
        <w:rPr>
          <w:rFonts w:ascii="Book Antiqua" w:hAnsi="Book Antiqua" w:cs="Times New Roman"/>
          <w:b/>
          <w:bCs/>
          <w:color w:val="000000"/>
          <w:sz w:val="24"/>
          <w:szCs w:val="24"/>
        </w:rPr>
        <w:t>DAFTAR</w:t>
      </w:r>
      <w:r w:rsidRPr="00D50A7E">
        <w:rPr>
          <w:rFonts w:ascii="Book Antiqua" w:hAnsi="Book Antiqua" w:cs="Times New Roman"/>
          <w:b/>
          <w:color w:val="000000"/>
          <w:sz w:val="24"/>
          <w:szCs w:val="24"/>
        </w:rPr>
        <w:t xml:space="preserve"> PUSTAKA</w:t>
      </w:r>
    </w:p>
    <w:p w:rsidR="000F43D9" w:rsidRPr="000F43D9" w:rsidRDefault="000F43D9" w:rsidP="000F43D9">
      <w:pPr>
        <w:spacing w:after="0"/>
        <w:ind w:left="284" w:hanging="284"/>
        <w:rPr>
          <w:rFonts w:ascii="Book Antiqua" w:hAnsi="Book Antiqua" w:cs="Times New Roman"/>
          <w:b/>
          <w:color w:val="000000"/>
          <w:sz w:val="24"/>
          <w:szCs w:val="24"/>
        </w:rPr>
      </w:pPr>
      <w:r w:rsidRPr="000F43D9">
        <w:rPr>
          <w:rFonts w:ascii="Book Antiqua" w:hAnsi="Book Antiqua" w:cs="Times New Roman"/>
          <w:b/>
          <w:color w:val="000000"/>
          <w:sz w:val="24"/>
          <w:szCs w:val="24"/>
        </w:rPr>
        <w:t>Buku</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Abdul kadir Muhammad, </w:t>
      </w:r>
      <w:r w:rsidRPr="00D50A7E">
        <w:rPr>
          <w:rFonts w:ascii="Book Antiqua" w:hAnsi="Book Antiqua" w:cs="Times New Roman"/>
          <w:i/>
          <w:color w:val="000000"/>
          <w:sz w:val="24"/>
          <w:szCs w:val="24"/>
        </w:rPr>
        <w:t>Hukum dan Penelit</w:t>
      </w:r>
      <w:r w:rsidRPr="00D50A7E">
        <w:rPr>
          <w:rFonts w:ascii="Book Antiqua" w:hAnsi="Book Antiqua" w:cs="Times New Roman"/>
          <w:i/>
          <w:color w:val="000000"/>
          <w:sz w:val="24"/>
          <w:szCs w:val="24"/>
        </w:rPr>
        <w:t>ian Hukum</w:t>
      </w:r>
      <w:r w:rsidRPr="00D50A7E">
        <w:rPr>
          <w:rFonts w:ascii="Book Antiqua" w:hAnsi="Book Antiqua" w:cs="Times New Roman"/>
          <w:color w:val="000000"/>
          <w:sz w:val="24"/>
          <w:szCs w:val="24"/>
        </w:rPr>
        <w:t>, PT. Citra Aditya Bakti, Bandung, 2004.</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Hartono, Sri Rejeki, </w:t>
      </w:r>
      <w:r w:rsidRPr="00D50A7E">
        <w:rPr>
          <w:rFonts w:ascii="Book Antiqua" w:hAnsi="Book Antiqua" w:cs="Times New Roman"/>
          <w:i/>
          <w:iCs/>
          <w:color w:val="000000"/>
          <w:sz w:val="24"/>
          <w:szCs w:val="24"/>
        </w:rPr>
        <w:t>Hukum Asuransi dan Perusahaan Psuransi</w:t>
      </w:r>
      <w:r w:rsidRPr="00D50A7E">
        <w:rPr>
          <w:rFonts w:ascii="Book Antiqua" w:hAnsi="Book Antiqua" w:cs="Times New Roman"/>
          <w:color w:val="000000"/>
          <w:sz w:val="24"/>
          <w:szCs w:val="24"/>
        </w:rPr>
        <w:t>, Jakarta: Sinar Grafika, 2001.</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Muchsin, </w:t>
      </w:r>
      <w:r w:rsidRPr="00D50A7E">
        <w:rPr>
          <w:rFonts w:ascii="Book Antiqua" w:hAnsi="Book Antiqua" w:cs="Times New Roman"/>
          <w:i/>
          <w:color w:val="000000"/>
          <w:sz w:val="24"/>
          <w:szCs w:val="24"/>
        </w:rPr>
        <w:t>Perlindungan dan Kepastian Hukum Bagi Investor di Indonesia,</w:t>
      </w:r>
      <w:r w:rsidRPr="00D50A7E">
        <w:rPr>
          <w:rFonts w:ascii="Book Antiqua" w:hAnsi="Book Antiqua" w:cs="Times New Roman"/>
          <w:color w:val="000000"/>
          <w:sz w:val="24"/>
          <w:szCs w:val="24"/>
        </w:rPr>
        <w:t xml:space="preserve"> Surakarta: Magister Ilmu Hukum Program Pascasarjana Universitas Sebelas Maret, 2003.</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Nugroho, </w:t>
      </w:r>
      <w:r w:rsidRPr="00D50A7E">
        <w:rPr>
          <w:rFonts w:ascii="Book Antiqua" w:hAnsi="Book Antiqua" w:cs="Times New Roman"/>
          <w:i/>
          <w:color w:val="000000"/>
          <w:sz w:val="24"/>
          <w:szCs w:val="24"/>
        </w:rPr>
        <w:t>Hukum Asuransi Indonesia</w:t>
      </w:r>
      <w:r w:rsidRPr="00D50A7E">
        <w:rPr>
          <w:rFonts w:ascii="Book Antiqua" w:hAnsi="Book Antiqua" w:cs="Times New Roman"/>
          <w:color w:val="000000"/>
          <w:sz w:val="24"/>
          <w:szCs w:val="24"/>
        </w:rPr>
        <w:t>, Jakarta: Sinar Grafika, 2011.</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Philipus M., Hadjon, </w:t>
      </w:r>
      <w:r w:rsidRPr="00D50A7E">
        <w:rPr>
          <w:rFonts w:ascii="Book Antiqua" w:hAnsi="Book Antiqua" w:cs="Times New Roman"/>
          <w:i/>
          <w:color w:val="000000"/>
          <w:sz w:val="24"/>
          <w:szCs w:val="24"/>
        </w:rPr>
        <w:t>Perlindungan Hukum Bagi Rakyat Indonesia,</w:t>
      </w:r>
      <w:r w:rsidRPr="00D50A7E">
        <w:rPr>
          <w:rFonts w:ascii="Book Antiqua" w:hAnsi="Book Antiqua" w:cs="Times New Roman"/>
          <w:color w:val="000000"/>
          <w:sz w:val="24"/>
          <w:szCs w:val="24"/>
        </w:rPr>
        <w:t xml:space="preserve"> Surabaya: PT. Bina Ilmu, 1987.</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Pramukti, A</w:t>
      </w:r>
      <w:r w:rsidRPr="00D50A7E">
        <w:rPr>
          <w:rFonts w:ascii="Book Antiqua" w:hAnsi="Book Antiqua" w:cs="Times New Roman"/>
          <w:color w:val="000000"/>
          <w:sz w:val="24"/>
          <w:szCs w:val="24"/>
        </w:rPr>
        <w:t xml:space="preserve">nggar Sigit, </w:t>
      </w:r>
      <w:r w:rsidRPr="00D50A7E">
        <w:rPr>
          <w:rFonts w:ascii="Book Antiqua" w:hAnsi="Book Antiqua" w:cs="Times New Roman"/>
          <w:i/>
          <w:color w:val="000000"/>
          <w:sz w:val="24"/>
          <w:szCs w:val="24"/>
        </w:rPr>
        <w:t>Pokok-Pokok Hukum Asuransi,</w:t>
      </w:r>
      <w:r w:rsidRPr="00D50A7E">
        <w:rPr>
          <w:rFonts w:ascii="Book Antiqua" w:hAnsi="Book Antiqua" w:cs="Times New Roman"/>
          <w:color w:val="000000"/>
          <w:sz w:val="24"/>
          <w:szCs w:val="24"/>
        </w:rPr>
        <w:t xml:space="preserve"> Yogyakarta: Pustaka Yustisia, 2017.</w:t>
      </w:r>
    </w:p>
    <w:p w:rsidR="008F425F" w:rsidRPr="00D50A7E"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PT. Jasa Raharja, </w:t>
      </w:r>
      <w:r w:rsidRPr="00D50A7E">
        <w:rPr>
          <w:rFonts w:ascii="Book Antiqua" w:hAnsi="Book Antiqua" w:cs="Times New Roman"/>
          <w:i/>
          <w:color w:val="000000"/>
          <w:sz w:val="24"/>
          <w:szCs w:val="24"/>
        </w:rPr>
        <w:t>Pedoman Penyelesaian Santunan Jasa Raharja</w:t>
      </w:r>
      <w:r w:rsidRPr="00D50A7E">
        <w:rPr>
          <w:rFonts w:ascii="Book Antiqua" w:hAnsi="Book Antiqua" w:cs="Times New Roman"/>
          <w:color w:val="000000"/>
          <w:sz w:val="24"/>
          <w:szCs w:val="24"/>
        </w:rPr>
        <w:t>, Jakarta 1999.</w:t>
      </w:r>
    </w:p>
    <w:p w:rsidR="008F425F" w:rsidRDefault="00A82E0E" w:rsidP="000F43D9">
      <w:pPr>
        <w:spacing w:after="0"/>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 xml:space="preserve">Wardana, Kun Wahyu, </w:t>
      </w:r>
      <w:r w:rsidRPr="00D50A7E">
        <w:rPr>
          <w:rFonts w:ascii="Book Antiqua" w:hAnsi="Book Antiqua" w:cs="Times New Roman"/>
          <w:i/>
          <w:color w:val="000000"/>
          <w:sz w:val="24"/>
          <w:szCs w:val="24"/>
        </w:rPr>
        <w:t>Hukum Asuransi Proteksi Kecelakaan Transportasi,</w:t>
      </w:r>
      <w:r w:rsidRPr="00D50A7E">
        <w:rPr>
          <w:rFonts w:ascii="Book Antiqua" w:hAnsi="Book Antiqua" w:cs="Times New Roman"/>
          <w:color w:val="000000"/>
          <w:sz w:val="24"/>
          <w:szCs w:val="24"/>
        </w:rPr>
        <w:t xml:space="preserve"> Bandung: CV. Mandar Maju, 2009.</w:t>
      </w:r>
    </w:p>
    <w:p w:rsidR="000F43D9" w:rsidRPr="000F43D9" w:rsidRDefault="000F43D9" w:rsidP="000F43D9">
      <w:pPr>
        <w:spacing w:after="0"/>
        <w:ind w:left="1134" w:hanging="1134"/>
        <w:rPr>
          <w:rFonts w:ascii="Book Antiqua" w:hAnsi="Book Antiqua" w:cs="Times New Roman"/>
          <w:b/>
          <w:color w:val="000000"/>
          <w:sz w:val="24"/>
          <w:szCs w:val="24"/>
        </w:rPr>
      </w:pPr>
      <w:r w:rsidRPr="000F43D9">
        <w:rPr>
          <w:rFonts w:ascii="Book Antiqua" w:hAnsi="Book Antiqua" w:cs="Times New Roman"/>
          <w:b/>
          <w:color w:val="000000"/>
          <w:sz w:val="24"/>
          <w:szCs w:val="24"/>
        </w:rPr>
        <w:t>Peraturan Perundang-Undangan</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Ki</w:t>
      </w:r>
      <w:r w:rsidRPr="00D50A7E">
        <w:rPr>
          <w:rFonts w:ascii="Book Antiqua" w:hAnsi="Book Antiqua" w:cs="Times New Roman"/>
          <w:color w:val="000000"/>
          <w:sz w:val="24"/>
          <w:szCs w:val="24"/>
        </w:rPr>
        <w:t>tab Undang-Undang Hukum Perdata (KUHPerdata).</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Kitab Undang-undang Hukum Dagang (KUHD).</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Undang-Undang Nomor 34 Tahun 1964 tentang Dana Kecelakaan Lalu Lintas Jalan, Lembaran Negara Republik Indonesia Tahun 1964 Nomor 138.</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Undang-Undang Nomor 2 Tahun 2009 te</w:t>
      </w:r>
      <w:r w:rsidRPr="00D50A7E">
        <w:rPr>
          <w:rFonts w:ascii="Book Antiqua" w:hAnsi="Book Antiqua" w:cs="Times New Roman"/>
          <w:color w:val="000000"/>
          <w:sz w:val="24"/>
          <w:szCs w:val="24"/>
        </w:rPr>
        <w:t xml:space="preserve">ntang Lalu Lintas Dan Angkutan Jalan, Lembaran Negara Republik Indonesia Tahun 2009 Nomor 96. </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Undang-Undang Nomor 40 Tahun 2014 Tentang Perasuransian, Lembaran Negara Republik Indonesia Tahun 2014 Nomor 337.</w:t>
      </w:r>
    </w:p>
    <w:p w:rsidR="008F425F" w:rsidRPr="00D50A7E" w:rsidRDefault="00A82E0E" w:rsidP="000F43D9">
      <w:pPr>
        <w:pStyle w:val="FootnoteText"/>
        <w:spacing w:line="360" w:lineRule="auto"/>
        <w:ind w:left="1134" w:hanging="1134"/>
        <w:rPr>
          <w:rFonts w:ascii="Book Antiqua" w:hAnsi="Book Antiqua" w:cs="Times New Roman"/>
          <w:color w:val="000000"/>
          <w:sz w:val="24"/>
          <w:szCs w:val="24"/>
        </w:rPr>
      </w:pPr>
      <w:r w:rsidRPr="00D50A7E">
        <w:rPr>
          <w:rFonts w:ascii="Book Antiqua" w:hAnsi="Book Antiqua" w:cs="Times New Roman"/>
          <w:color w:val="000000"/>
          <w:sz w:val="24"/>
          <w:szCs w:val="24"/>
        </w:rPr>
        <w:t>Peraturan Pemerintah Nomor 18 Tahun 1965 tentan</w:t>
      </w:r>
      <w:r w:rsidRPr="00D50A7E">
        <w:rPr>
          <w:rFonts w:ascii="Book Antiqua" w:hAnsi="Book Antiqua" w:cs="Times New Roman"/>
          <w:color w:val="000000"/>
          <w:sz w:val="24"/>
          <w:szCs w:val="24"/>
        </w:rPr>
        <w:t>g Pelaksanaan Dana Kecelakaan Lalu Lintas Jalan.</w:t>
      </w:r>
    </w:p>
    <w:p w:rsidR="008F425F" w:rsidRPr="00D50A7E" w:rsidRDefault="008F425F" w:rsidP="000F43D9">
      <w:pPr>
        <w:spacing w:after="0"/>
        <w:ind w:left="1134" w:hanging="1134"/>
        <w:rPr>
          <w:rFonts w:ascii="Book Antiqua" w:hAnsi="Book Antiqua" w:cs="Times New Roman"/>
          <w:sz w:val="24"/>
          <w:szCs w:val="24"/>
        </w:rPr>
      </w:pPr>
    </w:p>
    <w:sectPr w:rsidR="008F425F" w:rsidRPr="00D50A7E" w:rsidSect="008F425F">
      <w:head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0E" w:rsidRDefault="00A82E0E" w:rsidP="008F425F">
      <w:pPr>
        <w:spacing w:after="0" w:line="240" w:lineRule="auto"/>
      </w:pPr>
      <w:r>
        <w:separator/>
      </w:r>
    </w:p>
  </w:endnote>
  <w:endnote w:type="continuationSeparator" w:id="0">
    <w:p w:rsidR="00A82E0E" w:rsidRDefault="00A82E0E" w:rsidP="008F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0E" w:rsidRDefault="00A82E0E" w:rsidP="008F425F">
      <w:pPr>
        <w:spacing w:after="0" w:line="240" w:lineRule="auto"/>
      </w:pPr>
      <w:r>
        <w:separator/>
      </w:r>
    </w:p>
  </w:footnote>
  <w:footnote w:type="continuationSeparator" w:id="0">
    <w:p w:rsidR="00A82E0E" w:rsidRDefault="00A82E0E" w:rsidP="008F425F">
      <w:pPr>
        <w:spacing w:after="0" w:line="240" w:lineRule="auto"/>
      </w:pPr>
      <w:r>
        <w:continuationSeparator/>
      </w:r>
    </w:p>
  </w:footnote>
  <w:footnote w:id="1">
    <w:p w:rsidR="008F425F" w:rsidRDefault="00A82E0E">
      <w:pPr>
        <w:pStyle w:val="FootnoteText"/>
        <w:ind w:firstLine="709"/>
      </w:pPr>
      <w:r>
        <w:rPr>
          <w:rStyle w:val="FootnoteReference"/>
        </w:rPr>
        <w:footnoteRef/>
      </w:r>
      <w:r>
        <w:t xml:space="preserve"> </w:t>
      </w:r>
      <w:r>
        <w:rPr>
          <w:rFonts w:ascii="Book Antiqua" w:hAnsi="Book Antiqua"/>
          <w:color w:val="000000"/>
          <w:sz w:val="18"/>
          <w:szCs w:val="18"/>
        </w:rPr>
        <w:t xml:space="preserve">Abdul kadir Muhammad, </w:t>
      </w:r>
      <w:r>
        <w:rPr>
          <w:rFonts w:ascii="Book Antiqua" w:hAnsi="Book Antiqua"/>
          <w:i/>
          <w:iCs/>
          <w:color w:val="000000"/>
          <w:sz w:val="18"/>
          <w:szCs w:val="18"/>
        </w:rPr>
        <w:t xml:space="preserve">Hukum dan Penelitian Hukum, </w:t>
      </w:r>
      <w:r>
        <w:rPr>
          <w:rFonts w:ascii="Book Antiqua" w:hAnsi="Book Antiqua"/>
          <w:color w:val="000000"/>
          <w:sz w:val="18"/>
          <w:szCs w:val="18"/>
        </w:rPr>
        <w:t>PT. Citra Aditya Bakti, Bandung, 2004, Hlm 101</w:t>
      </w:r>
    </w:p>
  </w:footnote>
  <w:footnote w:id="2">
    <w:p w:rsidR="008F425F" w:rsidRDefault="00A82E0E">
      <w:pPr>
        <w:pStyle w:val="FootnoteText"/>
        <w:ind w:firstLine="709"/>
      </w:pPr>
      <w:r>
        <w:rPr>
          <w:rStyle w:val="FootnoteReference"/>
          <w:rFonts w:ascii="Times New Roman" w:hAnsi="Times New Roman"/>
          <w:color w:val="000000"/>
        </w:rPr>
        <w:footnoteRef/>
      </w:r>
      <w:r>
        <w:rPr>
          <w:rFonts w:ascii="Times New Roman" w:hAnsi="Times New Roman" w:cs="Times New Roman"/>
          <w:color w:val="000000"/>
        </w:rPr>
        <w:t xml:space="preserve"> Philipus M. Hadjon, </w:t>
      </w:r>
      <w:r>
        <w:rPr>
          <w:rFonts w:ascii="Times New Roman" w:hAnsi="Times New Roman" w:cs="Times New Roman"/>
          <w:i/>
          <w:color w:val="000000"/>
        </w:rPr>
        <w:t>Perlindungan Hukum Bagi Rakyat Indonesia</w:t>
      </w:r>
      <w:r>
        <w:rPr>
          <w:rFonts w:ascii="Times New Roman" w:hAnsi="Times New Roman" w:cs="Times New Roman"/>
          <w:color w:val="000000"/>
        </w:rPr>
        <w:t>, Surabaya, PT. Bina Ilmu, 1987, Hlm: 25.</w:t>
      </w:r>
    </w:p>
  </w:footnote>
  <w:footnote w:id="3">
    <w:p w:rsidR="008F425F" w:rsidRDefault="00A82E0E">
      <w:pPr>
        <w:pStyle w:val="FootnoteText"/>
        <w:ind w:firstLine="709"/>
      </w:pPr>
      <w:r>
        <w:rPr>
          <w:rStyle w:val="FootnoteReference"/>
          <w:rFonts w:ascii="Times New Roman" w:hAnsi="Times New Roman"/>
          <w:color w:val="000000"/>
        </w:rPr>
        <w:footnoteRef/>
      </w:r>
      <w:r>
        <w:rPr>
          <w:rFonts w:ascii="Times New Roman" w:hAnsi="Times New Roman" w:cs="Times New Roman"/>
          <w:color w:val="000000"/>
        </w:rPr>
        <w:t xml:space="preserve"> Muchsin, </w:t>
      </w:r>
      <w:r>
        <w:rPr>
          <w:rFonts w:ascii="Times New Roman" w:hAnsi="Times New Roman" w:cs="Times New Roman"/>
          <w:i/>
          <w:color w:val="000000"/>
        </w:rPr>
        <w:t>Perlindungan dan Kepastian Hukum Bagi Investor di Indonesia</w:t>
      </w:r>
      <w:r>
        <w:rPr>
          <w:rFonts w:ascii="Times New Roman" w:hAnsi="Times New Roman" w:cs="Times New Roman"/>
          <w:color w:val="000000"/>
        </w:rPr>
        <w:t>, Surakarta: Magister Ilmu Hukum Program Pascasarjana Universitas Sebelas Maret, 2003, Hlm: 14.</w:t>
      </w:r>
    </w:p>
  </w:footnote>
  <w:footnote w:id="4">
    <w:p w:rsidR="008F425F" w:rsidRDefault="00A82E0E">
      <w:pPr>
        <w:pStyle w:val="FootnoteText"/>
        <w:ind w:firstLine="709"/>
      </w:pPr>
      <w:r>
        <w:rPr>
          <w:rStyle w:val="FootnoteReference"/>
          <w:rFonts w:ascii="Times New Roman" w:hAnsi="Times New Roman"/>
          <w:color w:val="000000"/>
        </w:rPr>
        <w:footnoteRef/>
      </w:r>
      <w:r>
        <w:rPr>
          <w:rFonts w:ascii="Times New Roman" w:hAnsi="Times New Roman" w:cs="Times New Roman"/>
          <w:color w:val="000000"/>
        </w:rPr>
        <w:t xml:space="preserve"> Zian Farodis,  </w:t>
      </w:r>
      <w:r>
        <w:rPr>
          <w:rFonts w:ascii="Times New Roman" w:hAnsi="Times New Roman" w:cs="Times New Roman"/>
          <w:i/>
          <w:color w:val="000000"/>
        </w:rPr>
        <w:t>Buku Pintar Asuransi</w:t>
      </w:r>
      <w:r>
        <w:rPr>
          <w:rFonts w:ascii="Times New Roman" w:hAnsi="Times New Roman" w:cs="Times New Roman"/>
          <w:color w:val="000000"/>
        </w:rPr>
        <w:t>, Yogyakarta : Laksana, 2014, Hlm: 11.</w:t>
      </w:r>
    </w:p>
  </w:footnote>
  <w:footnote w:id="5">
    <w:p w:rsidR="008F425F" w:rsidRDefault="00A82E0E">
      <w:pPr>
        <w:pStyle w:val="FootnoteText"/>
        <w:ind w:firstLine="709"/>
        <w:rPr>
          <w:rFonts w:ascii="Times New Roman" w:hAnsi="Times New Roman" w:cs="Times New Roman"/>
          <w:color w:val="000000"/>
        </w:rPr>
      </w:pPr>
      <w:r>
        <w:rPr>
          <w:rStyle w:val="FootnoteReference"/>
          <w:rFonts w:ascii="Times New Roman" w:hAnsi="Times New Roman"/>
          <w:color w:val="000000"/>
        </w:rPr>
        <w:footnoteRef/>
      </w:r>
      <w:r>
        <w:rPr>
          <w:rFonts w:ascii="Times New Roman" w:hAnsi="Times New Roman" w:cs="Times New Roman"/>
          <w:color w:val="000000"/>
        </w:rPr>
        <w:t xml:space="preserve"> Sri Rejeki </w:t>
      </w:r>
      <w:r>
        <w:rPr>
          <w:rFonts w:ascii="Times New Roman" w:hAnsi="Times New Roman" w:cs="Times New Roman"/>
          <w:color w:val="000000"/>
        </w:rPr>
        <w:t xml:space="preserve">Hartono, </w:t>
      </w:r>
      <w:r>
        <w:rPr>
          <w:rFonts w:ascii="Times New Roman" w:hAnsi="Times New Roman" w:cs="Times New Roman"/>
          <w:i/>
          <w:color w:val="000000"/>
        </w:rPr>
        <w:t>Hukum Asuransi dan Perusahaan Persuransi</w:t>
      </w:r>
      <w:r>
        <w:rPr>
          <w:rFonts w:ascii="Times New Roman" w:hAnsi="Times New Roman" w:cs="Times New Roman"/>
          <w:color w:val="000000"/>
        </w:rPr>
        <w:t>, Jakarta: Sinar Grafika, 2001.Hlm: 190.</w:t>
      </w:r>
    </w:p>
  </w:footnote>
  <w:footnote w:id="6">
    <w:p w:rsidR="008F425F" w:rsidRDefault="00A82E0E">
      <w:pPr>
        <w:pStyle w:val="FootnoteText"/>
        <w:ind w:firstLine="709"/>
      </w:pPr>
      <w:r>
        <w:rPr>
          <w:rStyle w:val="FootnoteReference"/>
          <w:rFonts w:ascii="Times New Roman" w:hAnsi="Times New Roman"/>
          <w:color w:val="000000"/>
        </w:rPr>
        <w:footnoteRef/>
      </w:r>
      <w:r>
        <w:rPr>
          <w:rFonts w:ascii="Times New Roman" w:hAnsi="Times New Roman" w:cs="Times New Roman"/>
          <w:color w:val="000000"/>
        </w:rPr>
        <w:t xml:space="preserve"> PT. Jasa Raharja, </w:t>
      </w:r>
      <w:r>
        <w:rPr>
          <w:rFonts w:ascii="Times New Roman" w:hAnsi="Times New Roman" w:cs="Times New Roman"/>
          <w:i/>
          <w:color w:val="000000"/>
        </w:rPr>
        <w:t>Pedoman Penyelesaian Santunan Jasa Raharja</w:t>
      </w:r>
      <w:r>
        <w:rPr>
          <w:rFonts w:ascii="Times New Roman" w:hAnsi="Times New Roman" w:cs="Times New Roman"/>
          <w:color w:val="000000"/>
        </w:rPr>
        <w:t>, Jakarta 1999, Hlm: 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5F" w:rsidRDefault="008F425F">
    <w:pPr>
      <w:pStyle w:val="Header"/>
      <w:jc w:val="right"/>
      <w:rPr>
        <w:rFonts w:ascii="SimSun" w:hAnsi="SimSun" w:cs="Times New Roman"/>
        <w:sz w:val="24"/>
        <w:szCs w:val="24"/>
      </w:rPr>
    </w:pPr>
    <w:r>
      <w:rPr>
        <w:rFonts w:ascii="SimSun" w:hAnsi="SimSun" w:cs="Times New Roman"/>
        <w:sz w:val="24"/>
        <w:szCs w:val="24"/>
      </w:rPr>
      <w:fldChar w:fldCharType="begin"/>
    </w:r>
    <w:r w:rsidR="00A82E0E">
      <w:rPr>
        <w:rFonts w:ascii="SimSun" w:hAnsi="SimSun" w:cs="Times New Roman"/>
        <w:sz w:val="24"/>
        <w:szCs w:val="24"/>
      </w:rPr>
      <w:instrText xml:space="preserve"> PAGE   \* MERGEFORMAT </w:instrText>
    </w:r>
    <w:r>
      <w:rPr>
        <w:rFonts w:ascii="SimSun" w:hAnsi="SimSun" w:cs="Times New Roman"/>
        <w:sz w:val="24"/>
        <w:szCs w:val="24"/>
      </w:rPr>
      <w:fldChar w:fldCharType="separate"/>
    </w:r>
    <w:r w:rsidR="00A82E0E">
      <w:rPr>
        <w:rFonts w:ascii="SimSun" w:hAnsi="SimSun" w:cs="Times New Roman"/>
        <w:noProof/>
        <w:sz w:val="24"/>
        <w:szCs w:val="24"/>
      </w:rPr>
      <w:t>1</w:t>
    </w:r>
    <w:r>
      <w:rPr>
        <w:rFonts w:ascii="SimSun" w:hAnsi="SimSun" w:cs="Times New Roman"/>
        <w:sz w:val="24"/>
        <w:szCs w:val="24"/>
      </w:rPr>
      <w:fldChar w:fldCharType="end"/>
    </w:r>
  </w:p>
  <w:p w:rsidR="008F425F" w:rsidRDefault="008F425F">
    <w:pPr>
      <w:pStyle w:val="Header"/>
      <w:rPr>
        <w:rFonts w:ascii="SimSun" w:hAnsi="SimSu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CBD4060E"/>
    <w:lvl w:ilvl="0" w:tplc="0409000F">
      <w:start w:val="1"/>
      <w:numFmt w:val="decimal"/>
      <w:lvlText w:val="%1."/>
      <w:lvlJc w:val="left"/>
      <w:pPr>
        <w:ind w:left="1080" w:hanging="360"/>
      </w:pPr>
      <w:rPr>
        <w:rFonts w:cs="Times New Roman" w:hint="default"/>
      </w:rPr>
    </w:lvl>
    <w:lvl w:ilvl="1" w:tplc="A12E14C2">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0000001"/>
    <w:multiLevelType w:val="hybridMultilevel"/>
    <w:tmpl w:val="D3561D54"/>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0000002"/>
    <w:multiLevelType w:val="hybridMultilevel"/>
    <w:tmpl w:val="813A2E28"/>
    <w:lvl w:ilvl="0" w:tplc="C58892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0000003"/>
    <w:multiLevelType w:val="hybridMultilevel"/>
    <w:tmpl w:val="5DA4D684"/>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00000004"/>
    <w:multiLevelType w:val="hybridMultilevel"/>
    <w:tmpl w:val="B268F2D4"/>
    <w:lvl w:ilvl="0" w:tplc="259880C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00000005"/>
    <w:multiLevelType w:val="hybridMultilevel"/>
    <w:tmpl w:val="50948C26"/>
    <w:lvl w:ilvl="0" w:tplc="A12E14C2">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06E7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E9A9DB8"/>
    <w:lvl w:ilvl="0" w:tplc="04090011">
      <w:start w:val="1"/>
      <w:numFmt w:val="decimal"/>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00000008"/>
    <w:multiLevelType w:val="hybridMultilevel"/>
    <w:tmpl w:val="1D9647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D5000118"/>
    <w:lvl w:ilvl="0" w:tplc="3A1227D0">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0000000A"/>
    <w:multiLevelType w:val="hybridMultilevel"/>
    <w:tmpl w:val="5EF41A22"/>
    <w:lvl w:ilvl="0" w:tplc="E1FC25F0">
      <w:start w:val="1"/>
      <w:numFmt w:val="upperLetter"/>
      <w:lvlText w:val="%1."/>
      <w:lvlJc w:val="left"/>
      <w:pPr>
        <w:ind w:left="720" w:hanging="360"/>
      </w:pPr>
      <w:rPr>
        <w:rFonts w:cs="Times New Roman" w:hint="default"/>
        <w:b/>
        <w:bCs w:val="0"/>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2"/>
  </w:num>
  <w:num w:numId="4">
    <w:abstractNumId w:val="9"/>
  </w:num>
  <w:num w:numId="5">
    <w:abstractNumId w:val="4"/>
  </w:num>
  <w:num w:numId="6">
    <w:abstractNumId w:val="3"/>
  </w:num>
  <w:num w:numId="7">
    <w:abstractNumId w:val="7"/>
  </w:num>
  <w:num w:numId="8">
    <w:abstractNumId w:val="6"/>
  </w:num>
  <w:num w:numId="9">
    <w:abstractNumId w:val="8"/>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savePreviewPicture/>
  <w:footnotePr>
    <w:footnote w:id="-1"/>
    <w:footnote w:id="0"/>
  </w:footnotePr>
  <w:endnotePr>
    <w:endnote w:id="-1"/>
    <w:endnote w:id="0"/>
  </w:endnotePr>
  <w:compat/>
  <w:rsids>
    <w:rsidRoot w:val="008F425F"/>
    <w:rsid w:val="000B18CE"/>
    <w:rsid w:val="000F43D9"/>
    <w:rsid w:val="002B5511"/>
    <w:rsid w:val="008F425F"/>
    <w:rsid w:val="00A50A74"/>
    <w:rsid w:val="00A82E0E"/>
    <w:rsid w:val="00D50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5F"/>
    <w:pPr>
      <w:spacing w:line="360" w:lineRule="auto"/>
      <w:jc w:val="both"/>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25F"/>
    <w:pPr>
      <w:ind w:left="720"/>
      <w:contextualSpacing/>
    </w:pPr>
  </w:style>
  <w:style w:type="paragraph" w:styleId="FootnoteText">
    <w:name w:val="footnote text"/>
    <w:basedOn w:val="Normal"/>
    <w:link w:val="FootnoteTextChar"/>
    <w:uiPriority w:val="99"/>
    <w:rsid w:val="008F425F"/>
    <w:pPr>
      <w:spacing w:after="0" w:line="240" w:lineRule="auto"/>
    </w:pPr>
    <w:rPr>
      <w:sz w:val="20"/>
      <w:szCs w:val="20"/>
    </w:rPr>
  </w:style>
  <w:style w:type="character" w:customStyle="1" w:styleId="FootnoteTextChar">
    <w:name w:val="Footnote Text Char"/>
    <w:basedOn w:val="DefaultParagraphFont"/>
    <w:link w:val="FootnoteText"/>
    <w:uiPriority w:val="99"/>
    <w:rsid w:val="008F425F"/>
    <w:rPr>
      <w:rFonts w:eastAsia="Times New Roman" w:cs="Arial"/>
      <w:sz w:val="20"/>
      <w:szCs w:val="20"/>
    </w:rPr>
  </w:style>
  <w:style w:type="character" w:styleId="FootnoteReference">
    <w:name w:val="footnote reference"/>
    <w:basedOn w:val="DefaultParagraphFont"/>
    <w:uiPriority w:val="99"/>
    <w:rsid w:val="008F425F"/>
    <w:rPr>
      <w:rFonts w:cs="Times New Roman"/>
      <w:vertAlign w:val="superscript"/>
    </w:rPr>
  </w:style>
  <w:style w:type="character" w:customStyle="1" w:styleId="ListParagraphChar">
    <w:name w:val="List Paragraph Char"/>
    <w:link w:val="ListParagraph"/>
    <w:uiPriority w:val="34"/>
    <w:rsid w:val="008F425F"/>
    <w:rPr>
      <w:rFonts w:eastAsia="Times New Roman" w:cs="Arial"/>
    </w:rPr>
  </w:style>
  <w:style w:type="character" w:customStyle="1" w:styleId="CharacterStyle1">
    <w:name w:val="Character Style 1"/>
    <w:uiPriority w:val="99"/>
    <w:rsid w:val="008F425F"/>
    <w:rPr>
      <w:rFonts w:ascii="Bookman Old Style" w:hAnsi="Bookman Old Style"/>
      <w:sz w:val="23"/>
    </w:rPr>
  </w:style>
  <w:style w:type="character" w:styleId="Hyperlink">
    <w:name w:val="Hyperlink"/>
    <w:basedOn w:val="DefaultParagraphFont"/>
    <w:uiPriority w:val="99"/>
    <w:rsid w:val="008F425F"/>
    <w:rPr>
      <w:rFonts w:cs="Times New Roman"/>
      <w:color w:val="0000FF"/>
      <w:u w:val="single"/>
    </w:rPr>
  </w:style>
  <w:style w:type="character" w:styleId="Strong">
    <w:name w:val="Strong"/>
    <w:basedOn w:val="DefaultParagraphFont"/>
    <w:uiPriority w:val="22"/>
    <w:qFormat/>
    <w:rsid w:val="008F425F"/>
    <w:rPr>
      <w:rFonts w:cs="Times New Roman"/>
      <w:b/>
      <w:bCs/>
    </w:rPr>
  </w:style>
  <w:style w:type="paragraph" w:styleId="BalloonText">
    <w:name w:val="Balloon Text"/>
    <w:basedOn w:val="Normal"/>
    <w:link w:val="BalloonTextChar"/>
    <w:uiPriority w:val="99"/>
    <w:rsid w:val="008F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425F"/>
    <w:rPr>
      <w:rFonts w:ascii="Tahoma" w:eastAsia="Times New Roman" w:hAnsi="Tahoma" w:cs="Tahoma"/>
      <w:sz w:val="16"/>
      <w:szCs w:val="16"/>
    </w:rPr>
  </w:style>
  <w:style w:type="paragraph" w:styleId="Header">
    <w:name w:val="header"/>
    <w:basedOn w:val="Normal"/>
    <w:link w:val="HeaderChar"/>
    <w:uiPriority w:val="99"/>
    <w:rsid w:val="008F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5F"/>
    <w:rPr>
      <w:rFonts w:eastAsia="Times New Roman" w:cs="Arial"/>
    </w:rPr>
  </w:style>
  <w:style w:type="paragraph" w:styleId="Footer">
    <w:name w:val="footer"/>
    <w:basedOn w:val="Normal"/>
    <w:link w:val="FooterChar"/>
    <w:uiPriority w:val="99"/>
    <w:rsid w:val="008F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5F"/>
    <w:rPr>
      <w:rFonts w:eastAsia="Times New Roman" w:cs="Arial"/>
    </w:rPr>
  </w:style>
  <w:style w:type="table" w:styleId="TableGrid">
    <w:name w:val="Table Grid"/>
    <w:basedOn w:val="TableNormal"/>
    <w:uiPriority w:val="59"/>
    <w:rsid w:val="008F425F"/>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rsid w:val="008F425F"/>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8F425F"/>
    <w:rPr>
      <w:rFonts w:ascii="Book Antiqua" w:hAnsi="Book Antiqua" w:hint="default"/>
      <w:b/>
      <w:bCs/>
      <w:i w:val="0"/>
      <w:iCs w:val="0"/>
      <w:color w:val="000000"/>
      <w:sz w:val="24"/>
      <w:szCs w:val="24"/>
    </w:rPr>
  </w:style>
  <w:style w:type="character" w:customStyle="1" w:styleId="fontstyle21">
    <w:name w:val="fontstyle21"/>
    <w:basedOn w:val="DefaultParagraphFont"/>
    <w:rsid w:val="008F425F"/>
    <w:rPr>
      <w:rFonts w:ascii="Book Antiqua" w:hAnsi="Book Antiqua" w:hint="default"/>
      <w:b w:val="0"/>
      <w:bCs w:val="0"/>
      <w:i w:val="0"/>
      <w:iCs w:val="0"/>
      <w:color w:val="000000"/>
      <w:sz w:val="22"/>
      <w:szCs w:val="22"/>
    </w:rPr>
  </w:style>
  <w:style w:type="character" w:customStyle="1" w:styleId="fontstyle31">
    <w:name w:val="fontstyle31"/>
    <w:basedOn w:val="DefaultParagraphFont"/>
    <w:rsid w:val="008F425F"/>
    <w:rPr>
      <w:rFonts w:ascii="Book Antiqua" w:hAnsi="Book Antiqua" w:hint="default"/>
      <w:b w:val="0"/>
      <w:bCs w:val="0"/>
      <w:i/>
      <w:iCs/>
      <w:color w:val="000000"/>
      <w:sz w:val="22"/>
      <w:szCs w:val="22"/>
    </w:rPr>
  </w:style>
  <w:style w:type="character" w:customStyle="1" w:styleId="fontstyle11">
    <w:name w:val="fontstyle11"/>
    <w:basedOn w:val="DefaultParagraphFont"/>
    <w:rsid w:val="008F425F"/>
    <w:rPr>
      <w:rFonts w:ascii="Book Antiqua" w:hAnsi="Book Antiqua"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AF98-A314-45A8-A13B-91E9FD69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cp:revision>
  <dcterms:created xsi:type="dcterms:W3CDTF">2020-10-08T03:18:00Z</dcterms:created>
  <dcterms:modified xsi:type="dcterms:W3CDTF">2020-10-08T03:29:00Z</dcterms:modified>
</cp:coreProperties>
</file>