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1E2" w:rsidRPr="00AA5464" w:rsidRDefault="00FF01E2" w:rsidP="00F17F9B">
      <w:pPr>
        <w:pStyle w:val="Title"/>
        <w:spacing w:line="240" w:lineRule="auto"/>
        <w:rPr>
          <w:rFonts w:ascii="Century" w:hAnsi="Century" w:cs="Times New Roman"/>
          <w:caps/>
        </w:rPr>
      </w:pPr>
      <w:r w:rsidRPr="00AA5464">
        <w:rPr>
          <w:rFonts w:ascii="Century" w:hAnsi="Century" w:cs="Times New Roman"/>
        </w:rPr>
        <w:t>PEMANFAATAN BAHAN HERBAL DALAM</w:t>
      </w:r>
      <w:r w:rsidR="00AA5464">
        <w:rPr>
          <w:rFonts w:ascii="Century" w:hAnsi="Century" w:cs="Times New Roman"/>
        </w:rPr>
        <w:t xml:space="preserve"> </w:t>
      </w:r>
      <w:r w:rsidRPr="00AA5464">
        <w:rPr>
          <w:rFonts w:ascii="Century" w:hAnsi="Century" w:cs="Times New Roman"/>
        </w:rPr>
        <w:t>UPAYA PENGENDALIAN HIPERTENSI</w:t>
      </w:r>
      <w:r w:rsidR="00AA5464">
        <w:rPr>
          <w:rFonts w:ascii="Century" w:hAnsi="Century" w:cs="Times New Roman"/>
        </w:rPr>
        <w:t xml:space="preserve"> </w:t>
      </w:r>
      <w:r w:rsidRPr="00AA5464">
        <w:rPr>
          <w:rFonts w:ascii="Century" w:hAnsi="Century" w:cs="Times New Roman"/>
        </w:rPr>
        <w:t>MELALUI</w:t>
      </w:r>
      <w:r w:rsidR="00AA5464">
        <w:rPr>
          <w:rFonts w:ascii="Century" w:hAnsi="Century" w:cs="Times New Roman"/>
        </w:rPr>
        <w:t xml:space="preserve"> </w:t>
      </w:r>
      <w:r w:rsidRPr="00AA5464">
        <w:rPr>
          <w:rFonts w:ascii="Century" w:hAnsi="Century" w:cs="Times New Roman"/>
        </w:rPr>
        <w:t>PENYULUHAN</w:t>
      </w:r>
      <w:r w:rsidR="00AA5464">
        <w:rPr>
          <w:rFonts w:ascii="Century" w:hAnsi="Century" w:cs="Times New Roman"/>
        </w:rPr>
        <w:t xml:space="preserve"> </w:t>
      </w:r>
      <w:r w:rsidRPr="00AA5464">
        <w:rPr>
          <w:rFonts w:ascii="Century" w:hAnsi="Century" w:cs="Times New Roman"/>
        </w:rPr>
        <w:t>DAN PEMBUATAN PRODUK</w:t>
      </w:r>
      <w:r w:rsidR="00AA5464">
        <w:rPr>
          <w:rFonts w:ascii="Century" w:hAnsi="Century" w:cs="Times New Roman"/>
        </w:rPr>
        <w:t xml:space="preserve"> </w:t>
      </w:r>
      <w:r w:rsidRPr="00AA5464">
        <w:rPr>
          <w:rFonts w:ascii="Century" w:hAnsi="Century" w:cs="Times New Roman"/>
          <w:lang w:val="id-ID"/>
        </w:rPr>
        <w:t>TEH DAUN SALAM</w:t>
      </w:r>
    </w:p>
    <w:p w:rsidR="00BF5282" w:rsidRPr="00AA5464" w:rsidRDefault="00BF5282" w:rsidP="00BF5282">
      <w:pPr>
        <w:pStyle w:val="IEEEAuthorName"/>
        <w:rPr>
          <w:rFonts w:ascii="Century" w:hAnsi="Century"/>
          <w:lang w:val="en-US" w:eastAsia="zh-CN"/>
        </w:rPr>
      </w:pPr>
    </w:p>
    <w:p w:rsidR="005B3934" w:rsidRPr="00AA5464" w:rsidRDefault="00C94D20" w:rsidP="005B3934">
      <w:pPr>
        <w:jc w:val="center"/>
        <w:rPr>
          <w:rFonts w:ascii="Century" w:hAnsi="Century"/>
          <w:b/>
          <w:bCs/>
          <w:sz w:val="22"/>
          <w:szCs w:val="22"/>
        </w:rPr>
      </w:pPr>
      <w:r w:rsidRPr="00AA5464">
        <w:rPr>
          <w:rFonts w:ascii="Century" w:hAnsi="Century"/>
          <w:b/>
          <w:bCs/>
          <w:sz w:val="22"/>
          <w:szCs w:val="22"/>
          <w:lang w:val="en-US"/>
        </w:rPr>
        <w:t>Indri Meirista</w:t>
      </w:r>
      <w:r w:rsidR="00922A80" w:rsidRPr="00AA5464">
        <w:rPr>
          <w:rFonts w:ascii="Century" w:hAnsi="Century"/>
          <w:b/>
          <w:bCs/>
          <w:sz w:val="22"/>
          <w:szCs w:val="22"/>
          <w:vertAlign w:val="superscript"/>
          <w:lang w:val="en-US"/>
        </w:rPr>
        <w:t>*</w:t>
      </w:r>
      <w:r w:rsidR="005B3934" w:rsidRPr="00AA5464">
        <w:rPr>
          <w:rFonts w:ascii="Century" w:hAnsi="Century"/>
          <w:b/>
          <w:bCs/>
          <w:sz w:val="22"/>
          <w:szCs w:val="22"/>
          <w:lang w:val="id-ID"/>
        </w:rPr>
        <w:t>,</w:t>
      </w:r>
      <w:r w:rsidRPr="00AA5464">
        <w:rPr>
          <w:rFonts w:ascii="Century" w:hAnsi="Century"/>
          <w:b/>
          <w:bCs/>
          <w:sz w:val="22"/>
          <w:szCs w:val="22"/>
          <w:lang w:val="en-US"/>
        </w:rPr>
        <w:t xml:space="preserve"> Aulia Fitri</w:t>
      </w:r>
      <w:r w:rsidR="005B3934" w:rsidRPr="00AA5464">
        <w:rPr>
          <w:rFonts w:ascii="Century" w:hAnsi="Century"/>
          <w:b/>
          <w:bCs/>
          <w:sz w:val="22"/>
          <w:szCs w:val="22"/>
          <w:lang w:val="id-ID"/>
        </w:rPr>
        <w:t>,</w:t>
      </w:r>
      <w:r w:rsidRPr="00AA5464">
        <w:rPr>
          <w:rFonts w:ascii="Century" w:hAnsi="Century"/>
          <w:b/>
          <w:bCs/>
          <w:sz w:val="22"/>
          <w:szCs w:val="22"/>
          <w:lang w:val="en-US"/>
        </w:rPr>
        <w:t xml:space="preserve"> Nyimas Intan L., Sindy Fratika S., Tri Putri Yeva L. </w:t>
      </w:r>
    </w:p>
    <w:p w:rsidR="00D41274" w:rsidRPr="00AA5464" w:rsidRDefault="00C94D20" w:rsidP="00C94D20">
      <w:pPr>
        <w:jc w:val="center"/>
        <w:rPr>
          <w:rFonts w:ascii="Century" w:hAnsi="Century"/>
          <w:sz w:val="18"/>
          <w:szCs w:val="18"/>
          <w:lang w:val="en-US"/>
        </w:rPr>
      </w:pPr>
      <w:r w:rsidRPr="00AA5464">
        <w:rPr>
          <w:rFonts w:ascii="Century" w:hAnsi="Century" w:cstheme="minorHAnsi"/>
          <w:sz w:val="18"/>
          <w:szCs w:val="18"/>
        </w:rPr>
        <w:t>Program Studi Farmasi</w:t>
      </w:r>
      <w:r w:rsidR="00465758" w:rsidRPr="00AA5464">
        <w:rPr>
          <w:rFonts w:ascii="Century" w:hAnsi="Century" w:cstheme="minorHAnsi"/>
          <w:sz w:val="18"/>
          <w:szCs w:val="18"/>
        </w:rPr>
        <w:t xml:space="preserve">, </w:t>
      </w:r>
      <w:r w:rsidRPr="00AA5464">
        <w:rPr>
          <w:rFonts w:ascii="Century" w:hAnsi="Century" w:cstheme="minorHAnsi"/>
          <w:sz w:val="18"/>
          <w:szCs w:val="18"/>
        </w:rPr>
        <w:t>Sekolah Tinggi Ilmu Kesehatan</w:t>
      </w:r>
      <w:r w:rsidR="00F67635" w:rsidRPr="00AA5464">
        <w:rPr>
          <w:rFonts w:ascii="Century" w:hAnsi="Century" w:cstheme="minorHAnsi"/>
          <w:sz w:val="18"/>
          <w:szCs w:val="18"/>
        </w:rPr>
        <w:t xml:space="preserve"> Harapan Ibu</w:t>
      </w:r>
      <w:r w:rsidRPr="00AA5464">
        <w:rPr>
          <w:rFonts w:ascii="Century" w:hAnsi="Century" w:cstheme="minorHAnsi"/>
          <w:sz w:val="18"/>
          <w:szCs w:val="18"/>
        </w:rPr>
        <w:t xml:space="preserve"> Jambi</w:t>
      </w:r>
      <w:r w:rsidR="00465758" w:rsidRPr="00AA5464">
        <w:rPr>
          <w:rFonts w:ascii="Century" w:hAnsi="Century" w:cstheme="minorHAnsi"/>
          <w:sz w:val="18"/>
          <w:szCs w:val="18"/>
        </w:rPr>
        <w:t xml:space="preserve">, </w:t>
      </w:r>
      <w:hyperlink r:id="rId8" w:history="1">
        <w:r w:rsidR="00465758" w:rsidRPr="00AA5464">
          <w:rPr>
            <w:rStyle w:val="Hyperlink"/>
            <w:rFonts w:ascii="Century" w:hAnsi="Century" w:cstheme="minorHAnsi"/>
            <w:sz w:val="18"/>
            <w:szCs w:val="18"/>
          </w:rPr>
          <w:t>indri.meirista@gmail</w:t>
        </w:r>
        <w:r w:rsidR="00465758" w:rsidRPr="00AA5464">
          <w:rPr>
            <w:rStyle w:val="Hyperlink"/>
            <w:rFonts w:ascii="Century" w:hAnsi="Century"/>
            <w:sz w:val="18"/>
            <w:szCs w:val="18"/>
            <w:lang w:val="en-US"/>
          </w:rPr>
          <w:t>.com</w:t>
        </w:r>
      </w:hyperlink>
      <w:r w:rsidR="00465758" w:rsidRPr="00AA5464">
        <w:rPr>
          <w:rFonts w:ascii="Century" w:hAnsi="Century"/>
          <w:sz w:val="18"/>
          <w:szCs w:val="18"/>
          <w:lang w:val="en-US"/>
        </w:rPr>
        <w:t xml:space="preserve"> </w:t>
      </w:r>
      <w:hyperlink r:id="rId9" w:history="1">
        <w:r w:rsidR="00465758" w:rsidRPr="00AA5464">
          <w:rPr>
            <w:rStyle w:val="Hyperlink"/>
            <w:rFonts w:ascii="Century" w:hAnsi="Century"/>
            <w:sz w:val="18"/>
            <w:szCs w:val="18"/>
            <w:lang w:val="en-US"/>
          </w:rPr>
          <w:t>aulia.fitri512@gmail.com</w:t>
        </w:r>
      </w:hyperlink>
      <w:r w:rsidR="00465758" w:rsidRPr="00AA5464">
        <w:rPr>
          <w:rFonts w:ascii="Century" w:hAnsi="Century"/>
          <w:sz w:val="18"/>
          <w:szCs w:val="18"/>
          <w:lang w:val="en-US"/>
        </w:rPr>
        <w:t xml:space="preserve"> </w:t>
      </w:r>
      <w:hyperlink r:id="rId10" w:history="1">
        <w:r w:rsidR="00465758" w:rsidRPr="00AA5464">
          <w:rPr>
            <w:rStyle w:val="Hyperlink"/>
            <w:rFonts w:ascii="Century" w:hAnsi="Century"/>
            <w:sz w:val="18"/>
            <w:szCs w:val="18"/>
            <w:lang w:val="en-US"/>
          </w:rPr>
          <w:t>Cindysiregar96@mail.com</w:t>
        </w:r>
      </w:hyperlink>
      <w:r w:rsidR="00465758" w:rsidRPr="00AA5464">
        <w:rPr>
          <w:rFonts w:ascii="Century" w:hAnsi="Century"/>
          <w:sz w:val="18"/>
          <w:szCs w:val="18"/>
          <w:lang w:val="en-US"/>
        </w:rPr>
        <w:t xml:space="preserve"> </w:t>
      </w:r>
      <w:hyperlink r:id="rId11" w:history="1">
        <w:r w:rsidR="00F17F9B" w:rsidRPr="00BB69DB">
          <w:rPr>
            <w:rStyle w:val="Hyperlink"/>
            <w:rFonts w:ascii="Century" w:hAnsi="Century"/>
            <w:sz w:val="18"/>
            <w:szCs w:val="18"/>
            <w:lang w:val="en-US"/>
          </w:rPr>
          <w:t>nyimasintan2016@gmail.com</w:t>
        </w:r>
      </w:hyperlink>
      <w:r w:rsidR="00F17F9B">
        <w:rPr>
          <w:rFonts w:ascii="Century" w:hAnsi="Century"/>
          <w:sz w:val="18"/>
          <w:szCs w:val="18"/>
          <w:lang w:val="en-US"/>
        </w:rPr>
        <w:t xml:space="preserve"> </w:t>
      </w:r>
      <w:hyperlink r:id="rId12" w:history="1">
        <w:r w:rsidR="00465758" w:rsidRPr="00AA5464">
          <w:rPr>
            <w:rStyle w:val="Hyperlink"/>
            <w:rFonts w:ascii="Century" w:hAnsi="Century"/>
            <w:sz w:val="18"/>
            <w:szCs w:val="18"/>
            <w:lang w:val="en-US"/>
          </w:rPr>
          <w:t>yevalisa416@gmail.com</w:t>
        </w:r>
      </w:hyperlink>
      <w:r w:rsidR="00465758" w:rsidRPr="00AA5464">
        <w:rPr>
          <w:rFonts w:ascii="Century" w:hAnsi="Century"/>
          <w:sz w:val="18"/>
          <w:szCs w:val="18"/>
          <w:lang w:val="en-US"/>
        </w:rPr>
        <w:t xml:space="preserve"> </w:t>
      </w:r>
    </w:p>
    <w:p w:rsidR="00D41274" w:rsidRPr="00AA5464" w:rsidRDefault="00D41274">
      <w:pPr>
        <w:rPr>
          <w:rFonts w:ascii="Century" w:hAnsi="Century"/>
        </w:rPr>
        <w:sectPr w:rsidR="00D41274" w:rsidRPr="00AA5464" w:rsidSect="0038106C">
          <w:headerReference w:type="even" r:id="rId13"/>
          <w:headerReference w:type="default" r:id="rId14"/>
          <w:headerReference w:type="first" r:id="rId15"/>
          <w:footerReference w:type="first" r:id="rId16"/>
          <w:pgSz w:w="11906" w:h="16838" w:code="9"/>
          <w:pgMar w:top="1134" w:right="1701" w:bottom="1134" w:left="1701" w:header="567" w:footer="431" w:gutter="0"/>
          <w:cols w:space="708"/>
          <w:titlePg/>
          <w:docGrid w:linePitch="360"/>
        </w:sectPr>
      </w:pPr>
    </w:p>
    <w:p w:rsidR="009D3C51" w:rsidRPr="00AA5464" w:rsidRDefault="009D3C51" w:rsidP="00F67635">
      <w:pPr>
        <w:pStyle w:val="IEEEAbtract"/>
        <w:ind w:right="1779"/>
        <w:rPr>
          <w:rFonts w:ascii="Century" w:hAnsi="Century"/>
          <w:lang w:val="en-US"/>
        </w:rPr>
      </w:pPr>
    </w:p>
    <w:tbl>
      <w:tblPr>
        <w:tblStyle w:val="TableGrid"/>
        <w:tblW w:w="8459" w:type="dxa"/>
        <w:jc w:val="center"/>
        <w:tblLook w:val="04A0"/>
      </w:tblPr>
      <w:tblGrid>
        <w:gridCol w:w="1243"/>
        <w:gridCol w:w="3033"/>
        <w:gridCol w:w="4161"/>
        <w:gridCol w:w="22"/>
      </w:tblGrid>
      <w:tr w:rsidR="00BF5282" w:rsidRPr="00AA5464"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AA5464" w:rsidRDefault="00BF5282" w:rsidP="00521ED0">
            <w:pPr>
              <w:spacing w:before="120"/>
              <w:jc w:val="center"/>
              <w:rPr>
                <w:rFonts w:ascii="Century" w:hAnsi="Century"/>
                <w:color w:val="000000"/>
                <w:sz w:val="20"/>
                <w:szCs w:val="20"/>
              </w:rPr>
            </w:pPr>
            <w:r w:rsidRPr="00AA5464">
              <w:rPr>
                <w:rFonts w:ascii="Century" w:hAnsi="Century"/>
                <w:b/>
                <w:bCs/>
                <w:iCs/>
                <w:color w:val="000000"/>
                <w:sz w:val="20"/>
                <w:szCs w:val="20"/>
              </w:rPr>
              <w:t>ABSTRAK</w:t>
            </w:r>
          </w:p>
        </w:tc>
      </w:tr>
      <w:tr w:rsidR="00BF5282" w:rsidRPr="00AA5464" w:rsidTr="00005CE1">
        <w:trPr>
          <w:gridAfter w:val="1"/>
          <w:wAfter w:w="22" w:type="dxa"/>
          <w:trHeight w:val="1268"/>
          <w:jc w:val="center"/>
        </w:trPr>
        <w:tc>
          <w:tcPr>
            <w:tcW w:w="8437" w:type="dxa"/>
            <w:gridSpan w:val="3"/>
            <w:vMerge w:val="restart"/>
            <w:tcBorders>
              <w:top w:val="single" w:sz="4" w:space="0" w:color="auto"/>
              <w:left w:val="nil"/>
              <w:right w:val="nil"/>
            </w:tcBorders>
          </w:tcPr>
          <w:p w:rsidR="00BF5282" w:rsidRPr="00AA5464" w:rsidRDefault="00BF5282" w:rsidP="00F67635">
            <w:pPr>
              <w:jc w:val="both"/>
              <w:rPr>
                <w:rStyle w:val="longtext"/>
                <w:rFonts w:ascii="Century" w:hAnsi="Century"/>
                <w:iCs/>
                <w:sz w:val="20"/>
                <w:szCs w:val="20"/>
              </w:rPr>
            </w:pPr>
            <w:r w:rsidRPr="00AA5464">
              <w:rPr>
                <w:rFonts w:ascii="Century" w:hAnsi="Century"/>
                <w:b/>
                <w:iCs/>
                <w:sz w:val="20"/>
                <w:szCs w:val="20"/>
                <w:lang w:val="id-ID"/>
              </w:rPr>
              <w:t>Abstrak</w:t>
            </w:r>
            <w:r w:rsidR="00F67635" w:rsidRPr="00AA5464">
              <w:rPr>
                <w:rFonts w:ascii="Century" w:hAnsi="Century"/>
                <w:b/>
                <w:iCs/>
                <w:sz w:val="20"/>
                <w:szCs w:val="20"/>
                <w:lang w:val="en-US"/>
              </w:rPr>
              <w:t xml:space="preserve"> </w:t>
            </w:r>
            <w:r w:rsidRPr="00AA5464">
              <w:rPr>
                <w:rFonts w:ascii="Century" w:hAnsi="Century"/>
                <w:iCs/>
                <w:sz w:val="20"/>
                <w:szCs w:val="20"/>
                <w:lang w:val="id-ID"/>
              </w:rPr>
              <w:t>:</w:t>
            </w:r>
            <w:r w:rsidR="00FF01E2" w:rsidRPr="00AA5464">
              <w:rPr>
                <w:rFonts w:ascii="Century" w:hAnsi="Century"/>
                <w:sz w:val="20"/>
                <w:szCs w:val="20"/>
                <w:lang w:val="en-US"/>
              </w:rPr>
              <w:t xml:space="preserve"> </w:t>
            </w:r>
            <w:r w:rsidR="00F67635" w:rsidRPr="00AA5464">
              <w:rPr>
                <w:rFonts w:ascii="Century" w:hAnsi="Century"/>
                <w:iCs/>
                <w:sz w:val="20"/>
                <w:szCs w:val="20"/>
              </w:rPr>
              <w:t>Desa Tebat Patah, Kecamatan Taman Rajo, Kabupaten Muaro Jambi merupakan salah satu desa dengan prevalensi hipertensi yang cukup tinggi. Berdasarkan hasil riset kesehatan dasar tahun 2018, p</w:t>
            </w:r>
            <w:r w:rsidR="00F67635" w:rsidRPr="00AA5464">
              <w:rPr>
                <w:rFonts w:ascii="Century" w:hAnsi="Century"/>
                <w:sz w:val="20"/>
                <w:szCs w:val="20"/>
              </w:rPr>
              <w:t>revalensi penduduk secara nasional dengan hipertensi sebesar 34,11%,</w:t>
            </w:r>
            <w:r w:rsidR="00F67635" w:rsidRPr="00AA5464">
              <w:rPr>
                <w:rFonts w:ascii="Century" w:hAnsi="Century"/>
                <w:iCs/>
                <w:sz w:val="20"/>
                <w:szCs w:val="20"/>
              </w:rPr>
              <w:t>dengan penderita lansia sebesar 63,5% (</w:t>
            </w:r>
            <w:r w:rsidR="00F67635" w:rsidRPr="00AA5464">
              <w:rPr>
                <w:rFonts w:ascii="Century" w:hAnsi="Century"/>
                <w:sz w:val="20"/>
                <w:szCs w:val="20"/>
              </w:rPr>
              <w:t>Kementerian Kesehatan RI. 2019)</w:t>
            </w:r>
            <w:r w:rsidR="00F67635" w:rsidRPr="00AA5464">
              <w:rPr>
                <w:rFonts w:ascii="Century" w:hAnsi="Century"/>
                <w:iCs/>
                <w:sz w:val="20"/>
                <w:szCs w:val="20"/>
              </w:rPr>
              <w:t xml:space="preserve">. </w:t>
            </w:r>
            <w:r w:rsidR="00F67635" w:rsidRPr="00AA5464">
              <w:rPr>
                <w:rFonts w:ascii="Century" w:hAnsi="Century"/>
                <w:sz w:val="20"/>
                <w:szCs w:val="20"/>
              </w:rPr>
              <w:t>Angka ini diprediksi akan terus meningkat</w:t>
            </w:r>
            <w:r w:rsidR="00F67635" w:rsidRPr="00AA5464">
              <w:rPr>
                <w:rFonts w:ascii="Century" w:hAnsi="Century"/>
                <w:iCs/>
                <w:sz w:val="20"/>
                <w:szCs w:val="20"/>
              </w:rPr>
              <w:t xml:space="preserve">. </w:t>
            </w:r>
            <w:r w:rsidR="00F67635" w:rsidRPr="00AA5464">
              <w:rPr>
                <w:rFonts w:ascii="Century" w:hAnsi="Century"/>
                <w:sz w:val="20"/>
                <w:szCs w:val="20"/>
              </w:rPr>
              <w:t xml:space="preserve">Pengendalian penyakit hipertensi secara promotif-preventif </w:t>
            </w:r>
            <w:r w:rsidR="00F67635" w:rsidRPr="00AA5464">
              <w:rPr>
                <w:rFonts w:ascii="Century" w:hAnsi="Century"/>
                <w:iCs/>
                <w:sz w:val="20"/>
                <w:szCs w:val="20"/>
              </w:rPr>
              <w:t xml:space="preserve">dilakukan dengan memanfaatkan bahan herbal melalui penyuluhan dan pembuatan teh daun salam yang diharapkan efektif untuk mendukung kebijakan </w:t>
            </w:r>
            <w:r w:rsidR="00F67635" w:rsidRPr="00AA5464">
              <w:rPr>
                <w:rFonts w:ascii="Century" w:hAnsi="Century"/>
                <w:sz w:val="20"/>
                <w:szCs w:val="20"/>
              </w:rPr>
              <w:t xml:space="preserve">pemerintah Indonesia dalam meningkatkan kualitas kesehatan masyarakat. </w:t>
            </w:r>
            <w:r w:rsidR="00F67635" w:rsidRPr="00AA5464">
              <w:rPr>
                <w:rFonts w:ascii="Century" w:hAnsi="Century"/>
                <w:iCs/>
                <w:sz w:val="20"/>
                <w:szCs w:val="20"/>
              </w:rPr>
              <w:t>Kegiatan program kemitraan melibatkan masyarakat Desa Tebat Patah yang juga didukung oleh Pemerintah Desa Tebat Patah, serta berkoordinasi dengan pihak Puskesmas Kemingking Dalam dan Kecamatan Taman Rajo. Metode yang dilakukan terdiri atas (1) Penyuluhan kesehatan dan pemanfaatan bahan herbal, serta (2) Demonstrasi pembuatan produk teh daun salam. Hasil kegiatan menunjukkan antusiasme masyarakat Dusun Lopak Sepang dalam meningkatkan pengetahuan mengenai kesehatan dan manfaat bahan herbal, serta cara pembuatan produk teh daun salam. Keberadaan daun salam yang mudah ditemukan dilingkungan masyarakat mendukung ketersediaan bahan baku untuk membuat produk teh daun salam, sehingga diharapkanedukasi yang diberikan dapat diterapkan sebagai salah satu alternatif produk herbal untuk kesehatan masyarakat.</w:t>
            </w:r>
          </w:p>
          <w:p w:rsidR="00BF5282" w:rsidRPr="00AA5464" w:rsidRDefault="00BF5282" w:rsidP="00E6457D">
            <w:pPr>
              <w:spacing w:before="120" w:after="240"/>
              <w:jc w:val="both"/>
              <w:rPr>
                <w:rFonts w:ascii="Century" w:hAnsi="Century"/>
                <w:i/>
                <w:sz w:val="20"/>
                <w:szCs w:val="20"/>
                <w:shd w:val="clear" w:color="auto" w:fill="FFFFFF"/>
                <w:lang w:val="sv-SE"/>
              </w:rPr>
            </w:pPr>
            <w:r w:rsidRPr="00AA5464">
              <w:rPr>
                <w:rStyle w:val="longtext"/>
                <w:rFonts w:ascii="Century" w:hAnsi="Century"/>
                <w:b/>
                <w:sz w:val="20"/>
                <w:szCs w:val="20"/>
                <w:shd w:val="clear" w:color="auto" w:fill="FFFFFF"/>
                <w:lang w:val="sv-SE"/>
              </w:rPr>
              <w:t>Kata Kunci</w:t>
            </w:r>
            <w:r w:rsidR="00F67635" w:rsidRPr="00AA5464">
              <w:rPr>
                <w:rStyle w:val="longtext"/>
                <w:rFonts w:ascii="Century" w:hAnsi="Century"/>
                <w:b/>
                <w:sz w:val="20"/>
                <w:szCs w:val="20"/>
                <w:shd w:val="clear" w:color="auto" w:fill="FFFFFF"/>
                <w:lang w:val="sv-SE"/>
              </w:rPr>
              <w:t xml:space="preserve"> </w:t>
            </w:r>
            <w:r w:rsidRPr="00AA5464">
              <w:rPr>
                <w:rStyle w:val="longtext"/>
                <w:rFonts w:ascii="Century" w:hAnsi="Century"/>
                <w:b/>
                <w:sz w:val="20"/>
                <w:szCs w:val="20"/>
                <w:shd w:val="clear" w:color="auto" w:fill="FFFFFF"/>
                <w:lang w:val="sv-SE"/>
              </w:rPr>
              <w:t>:</w:t>
            </w:r>
            <w:r w:rsidR="00F67635" w:rsidRPr="00AA5464">
              <w:rPr>
                <w:rStyle w:val="longtext"/>
                <w:rFonts w:ascii="Century" w:hAnsi="Century"/>
                <w:i/>
                <w:sz w:val="20"/>
                <w:szCs w:val="20"/>
                <w:shd w:val="clear" w:color="auto" w:fill="FFFFFF"/>
                <w:lang w:val="sv-SE"/>
              </w:rPr>
              <w:t xml:space="preserve"> </w:t>
            </w:r>
            <w:r w:rsidR="00F67635" w:rsidRPr="00AA5464">
              <w:rPr>
                <w:rFonts w:ascii="Century" w:hAnsi="Century"/>
                <w:i/>
                <w:sz w:val="20"/>
                <w:szCs w:val="20"/>
              </w:rPr>
              <w:t xml:space="preserve">Herbal; </w:t>
            </w:r>
            <w:r w:rsidR="00F67635" w:rsidRPr="00AA5464">
              <w:rPr>
                <w:rFonts w:ascii="Century" w:hAnsi="Century" w:cstheme="minorBidi"/>
                <w:i/>
                <w:iCs/>
                <w:color w:val="222222"/>
                <w:sz w:val="20"/>
                <w:szCs w:val="20"/>
              </w:rPr>
              <w:t>Daun Salam; Teh; Hipertensi</w:t>
            </w:r>
            <w:r w:rsidR="00420C35" w:rsidRPr="00AA5464">
              <w:rPr>
                <w:rStyle w:val="longtext"/>
                <w:rFonts w:ascii="Century" w:hAnsi="Century"/>
                <w:i/>
                <w:sz w:val="20"/>
                <w:szCs w:val="20"/>
                <w:shd w:val="clear" w:color="auto" w:fill="FFFFFF"/>
                <w:lang w:val="sv-SE"/>
              </w:rPr>
              <w:t xml:space="preserve">; </w:t>
            </w:r>
          </w:p>
          <w:p w:rsidR="00BF5282" w:rsidRPr="00AA5464" w:rsidRDefault="00BF5282" w:rsidP="00F67635">
            <w:pPr>
              <w:spacing w:after="120"/>
              <w:ind w:right="-1"/>
              <w:jc w:val="both"/>
              <w:rPr>
                <w:rFonts w:ascii="Century" w:hAnsi="Century"/>
                <w:bCs/>
                <w:i/>
                <w:iCs/>
                <w:sz w:val="20"/>
                <w:szCs w:val="20"/>
              </w:rPr>
            </w:pPr>
            <w:r w:rsidRPr="00AA5464">
              <w:rPr>
                <w:rFonts w:ascii="Century" w:hAnsi="Century"/>
                <w:b/>
                <w:i/>
                <w:sz w:val="20"/>
                <w:szCs w:val="20"/>
                <w:lang w:val="en-US"/>
              </w:rPr>
              <w:t>Abstract</w:t>
            </w:r>
            <w:r w:rsidR="00F67635" w:rsidRPr="00AA5464">
              <w:rPr>
                <w:rFonts w:ascii="Century" w:hAnsi="Century"/>
                <w:b/>
                <w:i/>
                <w:sz w:val="20"/>
                <w:szCs w:val="20"/>
                <w:lang w:val="en-US"/>
              </w:rPr>
              <w:t xml:space="preserve"> </w:t>
            </w:r>
            <w:r w:rsidRPr="00AA5464">
              <w:rPr>
                <w:rFonts w:ascii="Century" w:hAnsi="Century"/>
                <w:b/>
                <w:i/>
                <w:sz w:val="20"/>
                <w:szCs w:val="20"/>
                <w:lang w:val="en-US"/>
              </w:rPr>
              <w:t>:</w:t>
            </w:r>
            <w:r w:rsidR="00F67635" w:rsidRPr="00AA5464">
              <w:rPr>
                <w:rFonts w:ascii="Century" w:hAnsi="Century"/>
                <w:i/>
                <w:sz w:val="20"/>
                <w:szCs w:val="20"/>
                <w:lang w:val="en-US"/>
              </w:rPr>
              <w:t xml:space="preserve"> </w:t>
            </w:r>
            <w:r w:rsidR="00F67635" w:rsidRPr="00AA5464">
              <w:rPr>
                <w:rFonts w:ascii="Century" w:hAnsi="Century"/>
                <w:bCs/>
                <w:i/>
                <w:iCs/>
                <w:sz w:val="20"/>
                <w:szCs w:val="20"/>
                <w:lang w:val="id-ID"/>
              </w:rPr>
              <w:t>Tebat Patah Village, Taman Rajo District, Muaro Jambi Regency is one of the villages with a high prevalence of hypertension. Based on the results of basic health research in 2018, the prevalence of the national population with hypertension was 34.11%, with elderly patients at 63.5% (Ministry of Health of the Republic of Indonesia. 2019).</w:t>
            </w:r>
            <w:r w:rsidR="00F67635" w:rsidRPr="00AA5464">
              <w:rPr>
                <w:rFonts w:ascii="Century" w:hAnsi="Century"/>
                <w:bCs/>
                <w:i/>
                <w:iCs/>
                <w:sz w:val="20"/>
                <w:szCs w:val="20"/>
              </w:rPr>
              <w:t>This number is predicted to increase continuously. The promotion of hypertension is promotive-preventive by utilizing herbal ingredients through counseling and manufacture ofsalam leaf tea product which are expected to be effective to support the Indonesian government's policy in improving the quality of public health.Partnership program activities involve the Tebat Patah Village community, which is also supported by the Tebat Patah Village Government, also coordinates with the Kemingking Dalam Community Health Center and Taman Rajo District. The method consists of (1) health education and utilization of herbal ingredients, and (2) demonstration of the manufacture of salam leaf tea product. The results of the event showedthe enthusiasm of the people of Lopak Sepang Hamlet in increasing knowledge about the health and benefits of herbal ingredients, as well as how to manufacture of salam leaf tea product. The presence of salam leaves that are easily found around the community supports the availability of raw materials for manufacture ofsalam leaf tea product, so it is hoped that the education provided can be applied as an alternative herbal product for public health.</w:t>
            </w:r>
          </w:p>
          <w:p w:rsidR="00BF5282" w:rsidRPr="00AA5464" w:rsidRDefault="00BF5282" w:rsidP="00C93BB2">
            <w:pPr>
              <w:spacing w:before="120" w:after="240"/>
              <w:jc w:val="both"/>
              <w:rPr>
                <w:rFonts w:ascii="Century" w:hAnsi="Century"/>
                <w:b/>
                <w:i/>
                <w:sz w:val="20"/>
                <w:szCs w:val="20"/>
                <w:lang w:val="en-US"/>
              </w:rPr>
            </w:pPr>
            <w:r w:rsidRPr="00AA5464">
              <w:rPr>
                <w:rFonts w:ascii="Century" w:hAnsi="Century"/>
                <w:b/>
                <w:i/>
                <w:sz w:val="20"/>
                <w:szCs w:val="20"/>
                <w:lang w:val="en-US"/>
              </w:rPr>
              <w:t>Keywords</w:t>
            </w:r>
            <w:r w:rsidR="00F67635" w:rsidRPr="00AA5464">
              <w:rPr>
                <w:rFonts w:ascii="Century" w:hAnsi="Century"/>
                <w:b/>
                <w:i/>
                <w:sz w:val="20"/>
                <w:szCs w:val="20"/>
                <w:lang w:val="en-US"/>
              </w:rPr>
              <w:t xml:space="preserve"> </w:t>
            </w:r>
            <w:r w:rsidRPr="00AA5464">
              <w:rPr>
                <w:rFonts w:ascii="Century" w:hAnsi="Century"/>
                <w:b/>
                <w:i/>
                <w:sz w:val="20"/>
                <w:szCs w:val="20"/>
                <w:lang w:val="en-US"/>
              </w:rPr>
              <w:t>:</w:t>
            </w:r>
            <w:bookmarkStart w:id="0" w:name="_GoBack"/>
            <w:bookmarkEnd w:id="0"/>
            <w:r w:rsidR="00F07174">
              <w:rPr>
                <w:rFonts w:ascii="Century" w:hAnsi="Century"/>
                <w:b/>
                <w:i/>
                <w:sz w:val="20"/>
                <w:szCs w:val="20"/>
                <w:lang w:val="en-US"/>
              </w:rPr>
              <w:t xml:space="preserve"> </w:t>
            </w:r>
            <w:r w:rsidR="00F07174">
              <w:rPr>
                <w:rFonts w:ascii="Century" w:hAnsi="Century" w:cstheme="majorBidi"/>
                <w:i/>
                <w:iCs/>
                <w:sz w:val="20"/>
                <w:szCs w:val="20"/>
              </w:rPr>
              <w:t>Herbal; E</w:t>
            </w:r>
            <w:r w:rsidR="00F07174" w:rsidRPr="00F07174">
              <w:rPr>
                <w:rFonts w:ascii="Century" w:hAnsi="Century" w:cstheme="majorBidi"/>
                <w:i/>
                <w:iCs/>
                <w:sz w:val="20"/>
                <w:szCs w:val="20"/>
              </w:rPr>
              <w:t>ugenia polyantha</w:t>
            </w:r>
            <w:r w:rsidR="00F07174">
              <w:rPr>
                <w:rFonts w:ascii="Century" w:hAnsi="Century" w:cstheme="majorBidi"/>
                <w:i/>
                <w:iCs/>
                <w:sz w:val="20"/>
                <w:szCs w:val="20"/>
              </w:rPr>
              <w:t>; Tea; Hypertension;</w:t>
            </w:r>
          </w:p>
        </w:tc>
      </w:tr>
      <w:tr w:rsidR="00BF5282" w:rsidRPr="00AA5464"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AA5464" w:rsidRDefault="00BF5282" w:rsidP="00E03F00">
            <w:pPr>
              <w:spacing w:before="120"/>
              <w:jc w:val="both"/>
              <w:rPr>
                <w:rFonts w:ascii="Century" w:hAnsi="Century"/>
                <w:iCs/>
                <w:color w:val="000000"/>
                <w:sz w:val="20"/>
                <w:szCs w:val="20"/>
              </w:rPr>
            </w:pPr>
          </w:p>
        </w:tc>
      </w:tr>
      <w:tr w:rsidR="00005CE1" w:rsidRPr="00AA5464" w:rsidTr="00005CE1">
        <w:trPr>
          <w:trHeight w:val="866"/>
          <w:jc w:val="center"/>
        </w:trPr>
        <w:tc>
          <w:tcPr>
            <w:tcW w:w="1243" w:type="dxa"/>
            <w:tcBorders>
              <w:top w:val="single" w:sz="4" w:space="0" w:color="auto"/>
              <w:left w:val="nil"/>
              <w:bottom w:val="single" w:sz="4" w:space="0" w:color="auto"/>
              <w:right w:val="nil"/>
            </w:tcBorders>
          </w:tcPr>
          <w:p w:rsidR="00005CE1" w:rsidRPr="00AA5464" w:rsidRDefault="00005CE1" w:rsidP="0002220B">
            <w:pPr>
              <w:spacing w:before="120"/>
              <w:jc w:val="both"/>
              <w:rPr>
                <w:rFonts w:ascii="Century" w:hAnsi="Century"/>
                <w:iCs/>
                <w:color w:val="000000"/>
                <w:sz w:val="20"/>
                <w:szCs w:val="20"/>
              </w:rPr>
            </w:pPr>
            <w:r w:rsidRPr="00AA5464">
              <w:rPr>
                <w:rFonts w:ascii="Century" w:hAnsi="Century"/>
                <w:b/>
                <w:noProof/>
                <w:sz w:val="22"/>
                <w:szCs w:val="16"/>
                <w:lang w:val="en-US" w:eastAsia="en-US"/>
              </w:rPr>
              <w:lastRenderedPageBreak/>
              <w:drawing>
                <wp:anchor distT="0" distB="0" distL="114300" distR="114300" simplePos="0" relativeHeight="251659264" behindDoc="0" locked="0" layoutInCell="1" allowOverlap="1">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0973" cy="620973"/>
                          </a:xfrm>
                          <a:prstGeom prst="rect">
                            <a:avLst/>
                          </a:prstGeom>
                          <a:noFill/>
                          <a:ln>
                            <a:noFill/>
                          </a:ln>
                        </pic:spPr>
                      </pic:pic>
                    </a:graphicData>
                  </a:graphic>
                </wp:anchor>
              </w:drawing>
            </w:r>
          </w:p>
        </w:tc>
        <w:tc>
          <w:tcPr>
            <w:tcW w:w="3033" w:type="dxa"/>
            <w:tcBorders>
              <w:top w:val="single" w:sz="4" w:space="0" w:color="auto"/>
              <w:left w:val="nil"/>
              <w:bottom w:val="single" w:sz="4" w:space="0" w:color="auto"/>
              <w:right w:val="nil"/>
            </w:tcBorders>
          </w:tcPr>
          <w:p w:rsidR="00005CE1" w:rsidRPr="00AA5464" w:rsidRDefault="00005CE1" w:rsidP="0002220B">
            <w:pPr>
              <w:jc w:val="both"/>
              <w:rPr>
                <w:rFonts w:ascii="Century" w:hAnsi="Century"/>
                <w:b/>
                <w:sz w:val="18"/>
                <w:szCs w:val="18"/>
              </w:rPr>
            </w:pPr>
            <w:r w:rsidRPr="00AA5464">
              <w:rPr>
                <w:rFonts w:ascii="Century" w:hAnsi="Century"/>
                <w:b/>
                <w:sz w:val="18"/>
                <w:szCs w:val="18"/>
              </w:rPr>
              <w:t>Article History:</w:t>
            </w:r>
          </w:p>
          <w:p w:rsidR="00005CE1" w:rsidRPr="00AA5464" w:rsidRDefault="00005CE1" w:rsidP="0002220B">
            <w:pPr>
              <w:jc w:val="both"/>
              <w:rPr>
                <w:rFonts w:ascii="Century" w:hAnsi="Century"/>
                <w:sz w:val="18"/>
                <w:szCs w:val="18"/>
              </w:rPr>
            </w:pPr>
            <w:r w:rsidRPr="00AA5464">
              <w:rPr>
                <w:rFonts w:ascii="Century" w:hAnsi="Century"/>
                <w:sz w:val="18"/>
                <w:szCs w:val="18"/>
              </w:rPr>
              <w:t>Received: DD-MM-20XX</w:t>
            </w:r>
          </w:p>
          <w:p w:rsidR="00005CE1" w:rsidRPr="00AA5464" w:rsidRDefault="00005CE1" w:rsidP="0002220B">
            <w:pPr>
              <w:jc w:val="both"/>
              <w:rPr>
                <w:rFonts w:ascii="Century" w:hAnsi="Century"/>
                <w:sz w:val="18"/>
                <w:szCs w:val="18"/>
              </w:rPr>
            </w:pPr>
            <w:r w:rsidRPr="00AA5464">
              <w:rPr>
                <w:rFonts w:ascii="Century" w:hAnsi="Century"/>
                <w:sz w:val="18"/>
                <w:szCs w:val="18"/>
              </w:rPr>
              <w:t>Revised: DD-MM-20XX</w:t>
            </w:r>
          </w:p>
          <w:p w:rsidR="00005CE1" w:rsidRPr="00AA5464" w:rsidRDefault="00005CE1" w:rsidP="0002220B">
            <w:pPr>
              <w:jc w:val="both"/>
              <w:rPr>
                <w:rFonts w:ascii="Century" w:hAnsi="Century"/>
                <w:sz w:val="18"/>
                <w:szCs w:val="18"/>
              </w:rPr>
            </w:pPr>
            <w:r w:rsidRPr="00AA5464">
              <w:rPr>
                <w:rFonts w:ascii="Century" w:hAnsi="Century"/>
                <w:sz w:val="18"/>
                <w:szCs w:val="18"/>
              </w:rPr>
              <w:t>Accepted: DD-MM-20XX</w:t>
            </w:r>
          </w:p>
          <w:p w:rsidR="00005CE1" w:rsidRPr="00AA5464" w:rsidRDefault="00005CE1" w:rsidP="0002220B">
            <w:pPr>
              <w:jc w:val="both"/>
              <w:rPr>
                <w:rFonts w:ascii="Century" w:hAnsi="Century"/>
                <w:iCs/>
                <w:color w:val="000000"/>
                <w:sz w:val="20"/>
                <w:szCs w:val="20"/>
              </w:rPr>
            </w:pPr>
            <w:r w:rsidRPr="00AA5464">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rsidR="00005CE1" w:rsidRPr="00AA5464" w:rsidRDefault="00005CE1" w:rsidP="0002220B">
            <w:pPr>
              <w:ind w:right="-13"/>
              <w:jc w:val="right"/>
              <w:rPr>
                <w:rFonts w:ascii="Century" w:hAnsi="Century"/>
                <w:i/>
                <w:iCs/>
                <w:color w:val="000000"/>
                <w:sz w:val="6"/>
                <w:szCs w:val="18"/>
              </w:rPr>
            </w:pPr>
          </w:p>
          <w:p w:rsidR="00005CE1" w:rsidRPr="00AA5464" w:rsidRDefault="00005CE1" w:rsidP="0002220B">
            <w:pPr>
              <w:ind w:right="-13"/>
              <w:jc w:val="right"/>
              <w:rPr>
                <w:rFonts w:ascii="Century" w:hAnsi="Century"/>
                <w:i/>
                <w:iCs/>
                <w:color w:val="000000"/>
                <w:sz w:val="18"/>
                <w:szCs w:val="18"/>
              </w:rPr>
            </w:pPr>
            <w:r w:rsidRPr="00AA5464">
              <w:rPr>
                <w:rFonts w:ascii="Century" w:hAnsi="Century"/>
                <w:iCs/>
                <w:noProof/>
                <w:color w:val="000000"/>
                <w:sz w:val="18"/>
                <w:szCs w:val="18"/>
                <w:lang w:val="en-US" w:eastAsia="en-US"/>
              </w:rPr>
              <w:drawing>
                <wp:inline distT="0" distB="0" distL="0" distR="0">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A5464" w:rsidRDefault="00005CE1" w:rsidP="0002220B">
            <w:pPr>
              <w:ind w:right="-13"/>
              <w:jc w:val="right"/>
              <w:rPr>
                <w:rFonts w:ascii="Century" w:hAnsi="Century"/>
                <w:i/>
                <w:iCs/>
                <w:color w:val="000000"/>
                <w:sz w:val="18"/>
                <w:szCs w:val="18"/>
              </w:rPr>
            </w:pPr>
            <w:r w:rsidRPr="00AA5464">
              <w:rPr>
                <w:rFonts w:ascii="Century" w:hAnsi="Century"/>
                <w:i/>
                <w:iCs/>
                <w:color w:val="000000"/>
                <w:sz w:val="18"/>
                <w:szCs w:val="18"/>
              </w:rPr>
              <w:t xml:space="preserve">This is an open access article under the </w:t>
            </w:r>
          </w:p>
          <w:p w:rsidR="00005CE1" w:rsidRPr="00AA5464" w:rsidRDefault="00005CE1" w:rsidP="0002220B">
            <w:pPr>
              <w:ind w:right="-13"/>
              <w:jc w:val="right"/>
              <w:rPr>
                <w:rFonts w:ascii="Century" w:hAnsi="Century"/>
                <w:sz w:val="18"/>
                <w:szCs w:val="18"/>
              </w:rPr>
            </w:pPr>
            <w:r w:rsidRPr="00AA5464">
              <w:rPr>
                <w:rFonts w:ascii="Century" w:hAnsi="Century"/>
                <w:b/>
                <w:i/>
                <w:iCs/>
                <w:color w:val="4F81BD" w:themeColor="accent1"/>
                <w:sz w:val="18"/>
                <w:szCs w:val="18"/>
              </w:rPr>
              <w:t>CC–BY-SA</w:t>
            </w:r>
            <w:r w:rsidRPr="00AA5464">
              <w:rPr>
                <w:rFonts w:ascii="Century" w:hAnsi="Century"/>
                <w:i/>
                <w:iCs/>
                <w:color w:val="000000"/>
                <w:sz w:val="18"/>
                <w:szCs w:val="18"/>
              </w:rPr>
              <w:t xml:space="preserve"> license</w:t>
            </w:r>
          </w:p>
        </w:tc>
      </w:tr>
    </w:tbl>
    <w:p w:rsidR="00922A80" w:rsidRPr="00AA5464" w:rsidRDefault="00922A80" w:rsidP="00922A80">
      <w:pPr>
        <w:rPr>
          <w:rFonts w:ascii="Century" w:hAnsi="Century"/>
          <w:lang w:val="en-US" w:eastAsia="en-US"/>
        </w:rPr>
      </w:pPr>
    </w:p>
    <w:p w:rsidR="00B3521D" w:rsidRPr="00AA5464" w:rsidRDefault="00B3521D" w:rsidP="00B3521D">
      <w:pPr>
        <w:rPr>
          <w:rFonts w:ascii="Century" w:hAnsi="Century"/>
          <w:sz w:val="14"/>
          <w:lang w:val="en-US" w:eastAsia="en-US"/>
        </w:rPr>
      </w:pPr>
    </w:p>
    <w:p w:rsidR="00B3521D" w:rsidRPr="00AA5464" w:rsidRDefault="00B3521D" w:rsidP="006A3AE1">
      <w:pPr>
        <w:pStyle w:val="IEEEHeading1"/>
        <w:numPr>
          <w:ilvl w:val="0"/>
          <w:numId w:val="0"/>
        </w:numPr>
        <w:ind w:left="360"/>
        <w:jc w:val="left"/>
        <w:rPr>
          <w:rFonts w:ascii="Century" w:hAnsi="Century"/>
          <w:b/>
          <w:iCs/>
          <w:sz w:val="26"/>
          <w:szCs w:val="20"/>
          <w:lang w:val="id-ID"/>
        </w:rPr>
        <w:sectPr w:rsidR="00B3521D" w:rsidRPr="00AA5464" w:rsidSect="00B47460">
          <w:type w:val="continuous"/>
          <w:pgSz w:w="11906" w:h="16838" w:code="9"/>
          <w:pgMar w:top="1134" w:right="1701" w:bottom="1134" w:left="1701" w:header="709" w:footer="709" w:gutter="0"/>
          <w:cols w:space="238"/>
          <w:docGrid w:linePitch="360"/>
        </w:sectPr>
      </w:pPr>
    </w:p>
    <w:p w:rsidR="00AD335D" w:rsidRPr="00AA5464" w:rsidRDefault="00AE1477" w:rsidP="00F07174">
      <w:pPr>
        <w:pStyle w:val="IEEEHeading1"/>
        <w:numPr>
          <w:ilvl w:val="0"/>
          <w:numId w:val="11"/>
        </w:numPr>
        <w:spacing w:before="0" w:after="0" w:line="276" w:lineRule="auto"/>
        <w:jc w:val="left"/>
        <w:rPr>
          <w:rFonts w:ascii="Century" w:hAnsi="Century"/>
          <w:b/>
          <w:iCs/>
          <w:sz w:val="25"/>
          <w:szCs w:val="25"/>
          <w:lang w:val="en-US"/>
        </w:rPr>
      </w:pPr>
      <w:r w:rsidRPr="00AA5464">
        <w:rPr>
          <w:rFonts w:ascii="Century" w:hAnsi="Century"/>
          <w:b/>
          <w:iCs/>
          <w:sz w:val="25"/>
          <w:szCs w:val="25"/>
          <w:lang w:val="id-ID"/>
        </w:rPr>
        <w:lastRenderedPageBreak/>
        <w:t>LATAR BELAKANG</w:t>
      </w:r>
    </w:p>
    <w:p w:rsidR="00AA5464" w:rsidRPr="00AA5464" w:rsidRDefault="00AA5464" w:rsidP="00F07174">
      <w:pPr>
        <w:pStyle w:val="ListParagraph"/>
        <w:autoSpaceDE w:val="0"/>
        <w:autoSpaceDN w:val="0"/>
        <w:adjustRightInd w:val="0"/>
        <w:spacing w:line="276" w:lineRule="auto"/>
        <w:ind w:left="0" w:firstLine="360"/>
        <w:contextualSpacing/>
        <w:jc w:val="both"/>
        <w:rPr>
          <w:rFonts w:ascii="Century" w:hAnsi="Century"/>
        </w:rPr>
      </w:pPr>
      <w:r w:rsidRPr="00AA5464">
        <w:rPr>
          <w:rFonts w:ascii="Century" w:hAnsi="Century"/>
        </w:rPr>
        <w:t>H</w:t>
      </w:r>
      <w:r w:rsidRPr="00AA5464">
        <w:rPr>
          <w:rFonts w:ascii="Century" w:hAnsi="Century"/>
          <w:lang w:val="id-ID"/>
        </w:rPr>
        <w:t>asil Riset</w:t>
      </w:r>
      <w:r w:rsidR="00F07174">
        <w:rPr>
          <w:rFonts w:ascii="Century" w:hAnsi="Century"/>
          <w:lang w:val="en-US"/>
        </w:rPr>
        <w:t xml:space="preserve"> </w:t>
      </w:r>
      <w:r w:rsidRPr="00AA5464">
        <w:rPr>
          <w:rFonts w:ascii="Century" w:hAnsi="Century"/>
          <w:lang w:val="id-ID"/>
        </w:rPr>
        <w:t xml:space="preserve">Kesehatan Dasar (Riskesdas) tahun 2007, 2013, dan 2018 </w:t>
      </w:r>
      <w:r w:rsidRPr="00AA5464">
        <w:rPr>
          <w:rFonts w:ascii="Century" w:hAnsi="Century"/>
        </w:rPr>
        <w:t>menunjukkan</w:t>
      </w:r>
      <w:r w:rsidRPr="00AA5464">
        <w:rPr>
          <w:rFonts w:ascii="Century" w:hAnsi="Century"/>
          <w:lang w:val="id-ID"/>
        </w:rPr>
        <w:t xml:space="preserve"> kecenderungan </w:t>
      </w:r>
      <w:r w:rsidRPr="00AA5464">
        <w:rPr>
          <w:rFonts w:ascii="Century" w:hAnsi="Century"/>
        </w:rPr>
        <w:t xml:space="preserve">terhadap </w:t>
      </w:r>
      <w:r w:rsidRPr="00AA5464">
        <w:rPr>
          <w:rFonts w:ascii="Century" w:hAnsi="Century"/>
          <w:lang w:val="id-ID"/>
        </w:rPr>
        <w:t>peningkatan</w:t>
      </w:r>
      <w:r w:rsidRPr="00AA5464">
        <w:rPr>
          <w:rFonts w:ascii="Century" w:hAnsi="Century"/>
        </w:rPr>
        <w:t xml:space="preserve"> prevalensi penyakit tidak menular termasuk hipertensi. Data Riskesdas tahun 2018  menunjukkan prevalensi penduduk secara nasional dengan penyakit hipertensi sebesar 34,11%</w:t>
      </w:r>
      <w:r w:rsidRPr="00AA5464">
        <w:rPr>
          <w:rFonts w:ascii="Century" w:hAnsi="Century"/>
          <w:lang w:val="id-ID"/>
        </w:rPr>
        <w:t xml:space="preserve"> dengan penderita</w:t>
      </w:r>
      <w:r w:rsidRPr="00AA5464">
        <w:rPr>
          <w:rFonts w:ascii="Century" w:hAnsi="Century"/>
          <w:lang w:val="en-US"/>
        </w:rPr>
        <w:t xml:space="preserve"> </w:t>
      </w:r>
      <w:r w:rsidRPr="00AA5464">
        <w:rPr>
          <w:rFonts w:ascii="Century" w:hAnsi="Century"/>
          <w:lang w:val="id-ID"/>
        </w:rPr>
        <w:t xml:space="preserve">lansia </w:t>
      </w:r>
      <w:r w:rsidRPr="00AA5464">
        <w:rPr>
          <w:rFonts w:ascii="Century" w:hAnsi="Century"/>
        </w:rPr>
        <w:t>sebesar</w:t>
      </w:r>
      <w:r w:rsidRPr="00AA5464">
        <w:rPr>
          <w:rFonts w:ascii="Century" w:hAnsi="Century"/>
          <w:lang w:val="id-ID"/>
        </w:rPr>
        <w:t xml:space="preserve"> 63,5%</w:t>
      </w:r>
      <w:r w:rsidRPr="00AA5464">
        <w:rPr>
          <w:rFonts w:ascii="Century" w:hAnsi="Century"/>
        </w:rPr>
        <w:t>. Prevalensi tersebut diprediksi akan semakin meningka</w:t>
      </w:r>
      <w:r w:rsidRPr="00AA5464">
        <w:rPr>
          <w:rFonts w:ascii="Century" w:hAnsi="Century"/>
          <w:lang w:val="id-ID"/>
        </w:rPr>
        <w:t xml:space="preserve">t </w:t>
      </w:r>
      <w:r w:rsidR="00713612" w:rsidRPr="00AA5464">
        <w:rPr>
          <w:rFonts w:ascii="Century" w:hAnsi="Century"/>
          <w:lang w:val="id-ID"/>
        </w:rPr>
        <w:fldChar w:fldCharType="begin" w:fldLock="1"/>
      </w:r>
      <w:r w:rsidRPr="00AA5464">
        <w:rPr>
          <w:rFonts w:ascii="Century" w:hAnsi="Century"/>
          <w:lang w:val="id-ID"/>
        </w:rPr>
        <w:instrText>ADDIN CSL_CITATION {"citationItems":[{"id":"ITEM-1","itemData":{"author":[{"dropping-particle":"","family":"Kementerian Kesehatan RI","given":"","non-dropping-particle":"","parse-names":false,"suffix":""}],"id":"ITEM-1","issued":{"date-parts":[["2019"]]},"title":"Profil Kesehatan Indonesia Tahun 2018","type":"article"},"uris":["http://www.mendeley.com/documents/?uuid=8464f9eb-476c-42c2-8d62-0f1fc204f243"]}],"mendeley":{"formattedCitation":"(Kementerian Kesehatan RI, 2019)","plainTextFormattedCitation":"(Kementerian Kesehatan RI, 2019)","previouslyFormattedCitation":"(Kementerian Kesehatan RI, 2019)"},"properties":{"noteIndex":0},"schema":"https://github.com/citation-style-language/schema/raw/master/csl-citation.json"}</w:instrText>
      </w:r>
      <w:r w:rsidR="00713612" w:rsidRPr="00AA5464">
        <w:rPr>
          <w:rFonts w:ascii="Century" w:hAnsi="Century"/>
          <w:lang w:val="id-ID"/>
        </w:rPr>
        <w:fldChar w:fldCharType="separate"/>
      </w:r>
      <w:r w:rsidRPr="00AA5464">
        <w:rPr>
          <w:rFonts w:ascii="Century" w:hAnsi="Century"/>
          <w:noProof/>
          <w:lang w:val="id-ID"/>
        </w:rPr>
        <w:t>(Kementerian Kesehatan RI, 2019)</w:t>
      </w:r>
      <w:r w:rsidR="00713612" w:rsidRPr="00AA5464">
        <w:rPr>
          <w:rFonts w:ascii="Century" w:hAnsi="Century"/>
          <w:lang w:val="id-ID"/>
        </w:rPr>
        <w:fldChar w:fldCharType="end"/>
      </w:r>
      <w:r w:rsidRPr="00AA5464">
        <w:rPr>
          <w:rFonts w:ascii="Century" w:hAnsi="Century"/>
        </w:rPr>
        <w:t>. Berdasarkan data Puskesmas Kemingking Dalam tahun 2019 yang menaungi wilayah Desa Tebat Patah diperoleh bahwa penyakit hipertensi merupakan urutan keempat penyakit terbesar di</w:t>
      </w:r>
      <w:r w:rsidR="00F07174">
        <w:rPr>
          <w:rFonts w:ascii="Century" w:hAnsi="Century"/>
        </w:rPr>
        <w:t xml:space="preserve"> </w:t>
      </w:r>
      <w:r w:rsidRPr="00AA5464">
        <w:rPr>
          <w:rFonts w:ascii="Century" w:hAnsi="Century"/>
        </w:rPr>
        <w:t>wilayah tersebut setelah ISPA, diare dan masalah gigi.</w:t>
      </w:r>
    </w:p>
    <w:p w:rsidR="00AA5464" w:rsidRPr="00AA5464" w:rsidRDefault="00AA5464" w:rsidP="00F07174">
      <w:pPr>
        <w:pStyle w:val="ListParagraph"/>
        <w:autoSpaceDE w:val="0"/>
        <w:autoSpaceDN w:val="0"/>
        <w:adjustRightInd w:val="0"/>
        <w:spacing w:line="276" w:lineRule="auto"/>
        <w:ind w:left="0" w:firstLine="360"/>
        <w:contextualSpacing/>
        <w:jc w:val="both"/>
        <w:rPr>
          <w:rFonts w:ascii="Century" w:hAnsi="Century" w:cstheme="majorBidi"/>
          <w:lang w:val="en-US"/>
        </w:rPr>
      </w:pPr>
      <w:r w:rsidRPr="00AA5464">
        <w:rPr>
          <w:rFonts w:ascii="Century" w:hAnsi="Century" w:cstheme="majorBidi"/>
          <w:color w:val="000000"/>
          <w:lang w:val="id-ID"/>
        </w:rPr>
        <w:t>Daun salam (</w:t>
      </w:r>
      <w:r w:rsidRPr="00AA5464">
        <w:rPr>
          <w:rFonts w:ascii="Century" w:hAnsi="Century" w:cstheme="majorBidi"/>
          <w:i/>
          <w:iCs/>
        </w:rPr>
        <w:t>Eugenia polyantha</w:t>
      </w:r>
      <w:r w:rsidRPr="00AA5464">
        <w:rPr>
          <w:rFonts w:ascii="Century" w:hAnsi="Century" w:cstheme="majorBidi"/>
          <w:i/>
          <w:iCs/>
          <w:lang w:val="id-ID"/>
        </w:rPr>
        <w:t xml:space="preserve">) </w:t>
      </w:r>
      <w:r w:rsidRPr="00AA5464">
        <w:rPr>
          <w:rFonts w:ascii="Century" w:hAnsi="Century" w:cstheme="majorBidi"/>
        </w:rPr>
        <w:t>mengandung flavono</w:t>
      </w:r>
      <w:r w:rsidRPr="00AA5464">
        <w:rPr>
          <w:rFonts w:ascii="Century" w:hAnsi="Century" w:cstheme="majorBidi"/>
          <w:lang w:val="id-ID"/>
        </w:rPr>
        <w:t>id</w:t>
      </w:r>
      <w:r w:rsidRPr="00AA5464">
        <w:rPr>
          <w:rFonts w:ascii="Century" w:hAnsi="Century" w:cstheme="majorBidi"/>
        </w:rPr>
        <w:t>, triterpen, tannin, polifenol, dan alkaloid serta minyak atsiri</w:t>
      </w:r>
      <w:r w:rsidRPr="00AA5464">
        <w:rPr>
          <w:rFonts w:ascii="Century" w:hAnsi="Century" w:cstheme="majorBidi"/>
          <w:lang w:val="id-ID"/>
        </w:rPr>
        <w:t xml:space="preserve"> </w:t>
      </w:r>
      <w:r w:rsidR="00713612" w:rsidRPr="00AA5464">
        <w:rPr>
          <w:rFonts w:ascii="Century" w:hAnsi="Century" w:cstheme="majorBidi"/>
          <w:lang w:val="id-ID"/>
        </w:rPr>
        <w:fldChar w:fldCharType="begin" w:fldLock="1"/>
      </w:r>
      <w:r w:rsidRPr="00AA5464">
        <w:rPr>
          <w:rFonts w:ascii="Century" w:hAnsi="Century" w:cstheme="majorBidi"/>
          <w:lang w:val="id-ID"/>
        </w:rPr>
        <w:instrText>ADDIN CSL_CITATION {"citationItems":[{"id":"ITEM-1","itemData":{"abstract":"Hipertensi merupakan penyakit degeneratif yang ditandai dengan meningkatnya konstriksi pembuluh darah arteri sehingga terjadi resistensi aliran darah yang akan meningkatkan tekanan darah terhadap dinding pembuluh darah. Menurut WHO, dikatakan hipertensi apabila tekanan darah sistolik lebih dari 160 mmHg dan diastolik lebih dari 95 mmHg. Berdasarkan data tahun 2007-2010 menunjukkan bahwa sebanyak 81,5% penderita hipertensi menyadari bahwa mereka menderita hipertensi, 74,9% menerima pengobatan dengan 52,5% pasien yang tekanan darahnya terkontrol (tekanan darah sistolik &lt;140 mmHg dan diastolik &lt;90 mmHg) dan 47,5% pasien yang tekanan darahnya tidak terkontrol. Daun salam merupakan salah satu kekayaan alam di Indonesia yang sampai saat ini menjadi obat tradisional masyarakat dalam menangani hipertensi. Karena kandungan flavonoid yang menunjukkan antioksidan serta mampu mengontrol HDL kolesterol pada tikus Wistar. Oleh karena itu, peneliti ingin mengetahui efektivitas ekstrak daun salam (Sizygium polyantha) terhadap terapi tradisional dalam menangani antihipertensi. Metode yang digunakan adalah metode maserasi dengan menggunakan etanol 96 % yang dilakukan dengan merendam serbuk simplisia dengan pelarut yang sesuai dan ditempatkan dalam wadah tertutup serta dibiarkan pada suhu kamar. Dengan bukti ilmiah yang cukup, diharapkan ekstrak daun salam layak dikembangkan sebagai obat alternatif atau obat pilihan sebagai terapi hipertensi dan obat yang ada. Pemberian kadar ekstrak yang tinggi meningkatkan HDL kolesterol serum. Peningkatan kolesterol total merupakan salah satu penyebab ateroskerosis. Perubahan arteri karena pengerasan, penyempitan lumen dan hilangnya elastisitas arteri pada ateroskerosis merupakan faktor resiko hipertensi.","author":[{"dropping-particle":"","family":"Putri","given":"Tasya Utami Atma","non-dropping-particle":"","parse-names":false,"suffix":""},{"dropping-particle":"","family":"Sumekar","given":"Dyah Wulan","non-dropping-particle":"","parse-names":false,"suffix":""}],"container-title":"Majority","id":"ITEM-1","issue":"1","issued":{"date-parts":[["2017"]]},"page":"77-81","title":"Uji Efektivitas Daun Salam ( Sizygium polyantha ) sebagai Antihipertensi pada Tikus Galur Wistar","type":"article-journal","volume":"6"},"uris":["http://www.mendeley.com/documents/?uuid=7180bdf2-1639-4386-b576-8c87390f81a2"]}],"mendeley":{"formattedCitation":"(Putri &amp; Sumekar, 2017)","plainTextFormattedCitation":"(Putri &amp; Sumekar, 2017)","previouslyFormattedCitation":"(Putri &amp; Sumekar, 2017)"},"properties":{"noteIndex":0},"schema":"https://github.com/citation-style-language/schema/raw/master/csl-citation.json"}</w:instrText>
      </w:r>
      <w:r w:rsidR="00713612" w:rsidRPr="00AA5464">
        <w:rPr>
          <w:rFonts w:ascii="Century" w:hAnsi="Century" w:cstheme="majorBidi"/>
          <w:lang w:val="id-ID"/>
        </w:rPr>
        <w:fldChar w:fldCharType="separate"/>
      </w:r>
      <w:r w:rsidRPr="00AA5464">
        <w:rPr>
          <w:rFonts w:ascii="Century" w:hAnsi="Century" w:cstheme="majorBidi"/>
          <w:noProof/>
          <w:lang w:val="id-ID"/>
        </w:rPr>
        <w:t>(Putri &amp; Sumekar, 2017)</w:t>
      </w:r>
      <w:r w:rsidR="00713612" w:rsidRPr="00AA5464">
        <w:rPr>
          <w:rFonts w:ascii="Century" w:hAnsi="Century" w:cstheme="majorBidi"/>
          <w:lang w:val="id-ID"/>
        </w:rPr>
        <w:fldChar w:fldCharType="end"/>
      </w:r>
      <w:r w:rsidRPr="00AA5464">
        <w:rPr>
          <w:rFonts w:ascii="Century" w:hAnsi="Century" w:cstheme="majorBidi"/>
          <w:lang w:val="id-ID"/>
        </w:rPr>
        <w:t xml:space="preserve">. Flavonoid merupakan senyawa polifenol yang bermanfaat sebagai </w:t>
      </w:r>
      <w:r w:rsidRPr="00AA5464">
        <w:rPr>
          <w:rFonts w:ascii="Century" w:hAnsi="Century" w:cstheme="majorBidi"/>
        </w:rPr>
        <w:t xml:space="preserve">antihipertensi, </w:t>
      </w:r>
      <w:r w:rsidRPr="00AA5464">
        <w:rPr>
          <w:rFonts w:ascii="Century" w:hAnsi="Century" w:cstheme="majorBidi"/>
          <w:lang w:val="id-ID"/>
        </w:rPr>
        <w:t xml:space="preserve">antivirus, antimikroba, antialergik, antiplatelet, antiinflamasi, antitumor, merangsang pembentukkan kolagen, melindungi pembuluh darah, antioksidan, antidiabetes, antimalaria, antihiperurisemia antikarsinogenik dan sebagai sistem pertahanan tubuh </w:t>
      </w:r>
      <w:r w:rsidR="00713612" w:rsidRPr="00AA5464">
        <w:rPr>
          <w:rFonts w:ascii="Century" w:hAnsi="Century" w:cstheme="majorBidi"/>
          <w:lang w:val="id-ID"/>
        </w:rPr>
        <w:fldChar w:fldCharType="begin" w:fldLock="1"/>
      </w:r>
      <w:r w:rsidRPr="00AA5464">
        <w:rPr>
          <w:rFonts w:ascii="Century" w:hAnsi="Century" w:cstheme="majorBidi"/>
          <w:lang w:val="id-ID"/>
        </w:rPr>
        <w:instrText>ADDIN CSL_CITATION {"citationItems":[{"id":"ITEM-1","itemData":{"abstract":"Hipertensi merupakan penyakit degeneratif yang ditandai dengan meningkatnya konstriksi pembuluh darah arteri sehingga terjadi resistensi aliran darah yang akan meningkatkan tekanan darah terhadap dinding pembuluh darah. Menurut WHO, dikatakan hipertensi apabila tekanan darah sistolik lebih dari 160 mmHg dan diastolik lebih dari 95 mmHg. Berdasarkan data tahun 2007-2010 menunjukkan bahwa sebanyak 81,5% penderita hipertensi menyadari bahwa mereka menderita hipertensi, 74,9% menerima pengobatan dengan 52,5% pasien yang tekanan darahnya terkontrol (tekanan darah sistolik &lt;140 mmHg dan diastolik &lt;90 mmHg) dan 47,5% pasien yang tekanan darahnya tidak terkontrol. Daun salam merupakan salah satu kekayaan alam di Indonesia yang sampai saat ini menjadi obat tradisional masyarakat dalam menangani hipertensi. Karena kandungan flavonoid yang menunjukkan antioksidan serta mampu mengontrol HDL kolesterol pada tikus Wistar. Oleh karena itu, peneliti ingin mengetahui efektivitas ekstrak daun salam (Sizygium polyantha) terhadap terapi tradisional dalam menangani antihipertensi. Metode yang digunakan adalah metode maserasi dengan menggunakan etanol 96 % yang dilakukan dengan merendam serbuk simplisia dengan pelarut yang sesuai dan ditempatkan dalam wadah tertutup serta dibiarkan pada suhu kamar. Dengan bukti ilmiah yang cukup, diharapkan ekstrak daun salam layak dikembangkan sebagai obat alternatif atau obat pilihan sebagai terapi hipertensi dan obat yang ada. Pemberian kadar ekstrak yang tinggi meningkatkan HDL kolesterol serum. Peningkatan kolesterol total merupakan salah satu penyebab ateroskerosis. Perubahan arteri karena pengerasan, penyempitan lumen dan hilangnya elastisitas arteri pada ateroskerosis merupakan faktor resiko hipertensi.","author":[{"dropping-particle":"","family":"Putri","given":"Tasya Utami Atma","non-dropping-particle":"","parse-names":false,"suffix":""},{"dropping-particle":"","family":"Sumekar","given":"Dyah Wulan","non-dropping-particle":"","parse-names":false,"suffix":""}],"container-title":"Majority","id":"ITEM-1","issue":"1","issued":{"date-parts":[["2017"]]},"page":"77-81","title":"Uji Efektivitas Daun Salam ( Sizygium polyantha ) sebagai Antihipertensi pada Tikus Galur Wistar","type":"article-journal","volume":"6"},"uris":["http://www.mendeley.com/documents/?uuid=7180bdf2-1639-4386-b576-8c87390f81a2"]}],"mendeley":{"formattedCitation":"(Putri &amp; Sumekar, 2017)","manualFormatting":"(Harismah &amp; Chusniatun, 2016","plainTextFormattedCitation":"(Putri &amp; Sumekar, 2017)","previouslyFormattedCitation":"(Putri &amp; Sumekar, 2017)"},"properties":{"noteIndex":0},"schema":"https://github.com/citation-style-language/schema/raw/master/csl-citation.json"}</w:instrText>
      </w:r>
      <w:r w:rsidR="00713612" w:rsidRPr="00AA5464">
        <w:rPr>
          <w:rFonts w:ascii="Century" w:hAnsi="Century" w:cstheme="majorBidi"/>
          <w:lang w:val="id-ID"/>
        </w:rPr>
        <w:fldChar w:fldCharType="separate"/>
      </w:r>
      <w:r w:rsidRPr="00AA5464">
        <w:rPr>
          <w:rFonts w:ascii="Century" w:hAnsi="Century" w:cstheme="majorBidi"/>
          <w:noProof/>
          <w:lang w:val="id-ID"/>
        </w:rPr>
        <w:t>(Harismah &amp; Chusniatun, 2016</w:t>
      </w:r>
      <w:r w:rsidR="00713612" w:rsidRPr="00AA5464">
        <w:rPr>
          <w:rFonts w:ascii="Century" w:hAnsi="Century" w:cstheme="majorBidi"/>
          <w:lang w:val="id-ID"/>
        </w:rPr>
        <w:fldChar w:fldCharType="end"/>
      </w:r>
      <w:r w:rsidRPr="00AA5464">
        <w:rPr>
          <w:rFonts w:ascii="Century" w:hAnsi="Century" w:cstheme="majorBidi"/>
          <w:lang w:val="id-ID"/>
        </w:rPr>
        <w:t>;</w:t>
      </w:r>
      <w:r w:rsidR="00713612" w:rsidRPr="00AA5464">
        <w:rPr>
          <w:rFonts w:ascii="Century" w:hAnsi="Century" w:cstheme="majorBidi"/>
          <w:lang w:val="id-ID"/>
        </w:rPr>
        <w:fldChar w:fldCharType="begin" w:fldLock="1"/>
      </w:r>
      <w:r w:rsidRPr="00AA5464">
        <w:rPr>
          <w:rFonts w:ascii="Century" w:hAnsi="Century" w:cstheme="majorBidi"/>
          <w:lang w:val="id-ID"/>
        </w:rPr>
        <w:instrText>ADDIN CSL_CITATION {"citationItems":[{"id":"ITEM-1","itemData":{"abstract":"Hipertensi merupakan penyakit degeneratif yang ditandai dengan meningkatnya konstriksi pembuluh darah arteri sehingga terjadi resistensi aliran darah yang akan meningkatkan tekanan darah terhadap dinding pembuluh darah. Menurut WHO, dikatakan hipertensi apabila tekanan darah sistolik lebih dari 160 mmHg dan diastolik lebih dari 95 mmHg. Berdasarkan data tahun 2007-2010 menunjukkan bahwa sebanyak 81,5% penderita hipertensi menyadari bahwa mereka menderita hipertensi, 74,9% menerima pengobatan dengan 52,5% pasien yang tekanan darahnya terkontrol (tekanan darah sistolik &lt;140 mmHg dan diastolik &lt;90 mmHg) dan 47,5% pasien yang tekanan darahnya tidak terkontrol. Daun salam merupakan salah satu kekayaan alam di Indonesia yang sampai saat ini menjadi obat tradisional masyarakat dalam menangani hipertensi. Karena kandungan flavonoid yang menunjukkan antioksidan serta mampu mengontrol HDL kolesterol pada tikus Wistar. Oleh karena itu, peneliti ingin mengetahui efektivitas ekstrak daun salam (Sizygium polyantha) terhadap terapi tradisional dalam menangani antihipertensi. Metode yang digunakan adalah metode maserasi dengan menggunakan etanol 96 % yang dilakukan dengan merendam serbuk simplisia dengan pelarut yang sesuai dan ditempatkan dalam wadah tertutup serta dibiarkan pada suhu kamar. Dengan bukti ilmiah yang cukup, diharapkan ekstrak daun salam layak dikembangkan sebagai obat alternatif atau obat pilihan sebagai terapi hipertensi dan obat yang ada. Pemberian kadar ekstrak yang tinggi meningkatkan HDL kolesterol serum. Peningkatan kolesterol total merupakan salah satu penyebab ateroskerosis. Perubahan arteri karena pengerasan, penyempitan lumen dan hilangnya elastisitas arteri pada ateroskerosis merupakan faktor resiko hipertensi.","author":[{"dropping-particle":"","family":"Putri","given":"Tasya Utami Atma","non-dropping-particle":"","parse-names":false,"suffix":""},{"dropping-particle":"","family":"Sumekar","given":"Dyah Wulan","non-dropping-particle":"","parse-names":false,"suffix":""}],"container-title":"Majority","id":"ITEM-1","issue":"1","issued":{"date-parts":[["2017"]]},"page":"77-81","title":"Uji Efektivitas Daun Salam ( Sizygium polyantha ) sebagai Antihipertensi pada Tikus Galur Wistar","type":"article-journal","volume":"6"},"uris":["http://www.mendeley.com/documents/?uuid=7180bdf2-1639-4386-b576-8c87390f81a2"]}],"mendeley":{"formattedCitation":"(Putri &amp; Sumekar, 2017)","manualFormatting":"Putri &amp; Sumekar, 2017)","plainTextFormattedCitation":"(Putri &amp; Sumekar, 2017)","previouslyFormattedCitation":"(Putri &amp; Sumekar, 2017)"},"properties":{"noteIndex":0},"schema":"https://github.com/citation-style-language/schema/raw/master/csl-citation.json"}</w:instrText>
      </w:r>
      <w:r w:rsidR="00713612" w:rsidRPr="00AA5464">
        <w:rPr>
          <w:rFonts w:ascii="Century" w:hAnsi="Century" w:cstheme="majorBidi"/>
          <w:lang w:val="id-ID"/>
        </w:rPr>
        <w:fldChar w:fldCharType="separate"/>
      </w:r>
      <w:r w:rsidRPr="00AA5464">
        <w:rPr>
          <w:rFonts w:ascii="Century" w:hAnsi="Century" w:cstheme="majorBidi"/>
          <w:noProof/>
          <w:lang w:val="id-ID"/>
        </w:rPr>
        <w:t>Putri &amp; Sumekar, 2017)</w:t>
      </w:r>
      <w:r w:rsidR="00713612" w:rsidRPr="00AA5464">
        <w:rPr>
          <w:rFonts w:ascii="Century" w:hAnsi="Century" w:cstheme="majorBidi"/>
          <w:lang w:val="id-ID"/>
        </w:rPr>
        <w:fldChar w:fldCharType="end"/>
      </w:r>
      <w:r w:rsidRPr="00AA5464">
        <w:rPr>
          <w:rFonts w:ascii="Century" w:hAnsi="Century" w:cstheme="majorBidi"/>
          <w:lang w:val="id-ID"/>
        </w:rPr>
        <w:t xml:space="preserve">. Senyawa flavonoid utama yang terkandung dalam daun salam adalah kuersetin dan fluoretin </w:t>
      </w:r>
      <w:r w:rsidR="00713612" w:rsidRPr="00AA5464">
        <w:rPr>
          <w:rFonts w:ascii="Century" w:hAnsi="Century" w:cstheme="majorBidi"/>
          <w:lang w:val="id-ID"/>
        </w:rPr>
        <w:fldChar w:fldCharType="begin" w:fldLock="1"/>
      </w:r>
      <w:r w:rsidRPr="00AA5464">
        <w:rPr>
          <w:rFonts w:ascii="Century" w:hAnsi="Century" w:cstheme="majorBidi"/>
          <w:lang w:val="id-ID"/>
        </w:rPr>
        <w:instrText>ADDIN CSL_CITATION {"citationItems":[{"id":"ITEM-1","itemData":{"author":[{"dropping-particle":"","family":"Prahastuti","given":"Sijani","non-dropping-particle":"","parse-names":false,"suffix":""},{"dropping-particle":"","family":"Tjahjani","given":"Susy","non-dropping-particle":"","parse-names":false,"suffix":""},{"dropping-particle":"","family":"Hartini","given":"Entin","non-dropping-particle":"","parse-names":false,"suffix":""},{"dropping-particle":"","family":"Kedokteran","given":"Fakultas","non-dropping-particle":"","parse-names":false,"suffix":""},{"dropping-particle":"","family":"Maranatha","given":"Universitas Kristen","non-dropping-particle":"","parse-names":false,"suffix":""},{"dropping-particle":"","family":"Prof","given":"Jl","non-dropping-particle":"","parse-names":false,"suffix":""},{"dropping-particle":"","family":"Soeria","given":"Drg","non-dropping-particle":"","parse-names":false,"suffix":""},{"dropping-particle":"","family":"No","given":"M P H","non-dropping-particle":"","parse-names":false,"suffix":""},{"dropping-particle":"","family":"Indonesia","given":"Bandung","non-dropping-particle":"","parse-names":false,"suffix":""}],"container-title":"Jurnal Medika Planta","id":"ITEM-1","issue":"4","issued":{"date-parts":[["2011"]]},"page":"27-32","title":"The Effect of Bay Leaf Infusion (Syzygium Polyanthum (Wigt) Walp) to Decrease Blood Total Cholesterol Level in Dyslipidemia Model Wistar Rats","type":"article-journal","volume":"1"},"uris":["http://www.mendeley.com/documents/?uuid=b774f0b6-4c57-4bed-81b2-db416ae9f0f0"]}],"mendeley":{"formattedCitation":"(Prahastuti et al., 2011)","plainTextFormattedCitation":"(Prahastuti et al., 2011)","previouslyFormattedCitation":"(Prahastuti et al., 2011)"},"properties":{"noteIndex":0},"schema":"https://github.com/citation-style-language/schema/raw/master/csl-citation.json"}</w:instrText>
      </w:r>
      <w:r w:rsidR="00713612" w:rsidRPr="00AA5464">
        <w:rPr>
          <w:rFonts w:ascii="Century" w:hAnsi="Century" w:cstheme="majorBidi"/>
          <w:lang w:val="id-ID"/>
        </w:rPr>
        <w:fldChar w:fldCharType="separate"/>
      </w:r>
      <w:r w:rsidRPr="00AA5464">
        <w:rPr>
          <w:rFonts w:ascii="Century" w:hAnsi="Century" w:cstheme="majorBidi"/>
          <w:noProof/>
          <w:lang w:val="id-ID"/>
        </w:rPr>
        <w:t>(Prahastuti et al., 2011)</w:t>
      </w:r>
      <w:r w:rsidR="00713612" w:rsidRPr="00AA5464">
        <w:rPr>
          <w:rFonts w:ascii="Century" w:hAnsi="Century" w:cstheme="majorBidi"/>
          <w:lang w:val="id-ID"/>
        </w:rPr>
        <w:fldChar w:fldCharType="end"/>
      </w:r>
      <w:r w:rsidRPr="00AA5464">
        <w:rPr>
          <w:rFonts w:ascii="Century" w:hAnsi="Century" w:cstheme="majorBidi"/>
          <w:lang w:val="id-ID"/>
        </w:rPr>
        <w:t xml:space="preserve">. </w:t>
      </w:r>
      <w:r w:rsidRPr="00AA5464">
        <w:rPr>
          <w:rFonts w:ascii="Century" w:hAnsi="Century" w:cstheme="majorBidi"/>
          <w:color w:val="000000"/>
          <w:lang w:val="id-ID"/>
        </w:rPr>
        <w:t xml:space="preserve">Beberapa penelitian menunjukkan bahwa air rebusan daun salam dapat menurunkan tekanan darah sehingga dapat dijadikan alternatif terapi pada penderita hipertensi </w:t>
      </w:r>
      <w:r w:rsidR="00713612" w:rsidRPr="00AA5464">
        <w:rPr>
          <w:rFonts w:ascii="Century" w:hAnsi="Century" w:cstheme="majorBidi"/>
          <w:color w:val="000000"/>
          <w:lang w:val="id-ID"/>
        </w:rPr>
        <w:fldChar w:fldCharType="begin" w:fldLock="1"/>
      </w:r>
      <w:r w:rsidRPr="00AA5464">
        <w:rPr>
          <w:rFonts w:ascii="Century" w:hAnsi="Century" w:cstheme="majorBidi"/>
          <w:color w:val="000000"/>
          <w:lang w:val="id-ID"/>
        </w:rPr>
        <w:instrText>ADDIN CSL_CITATION {"citationItems":[{"id":"ITEM-1","itemData":{"author":[{"dropping-particle":"","family":"Andoko","given":"","non-dropping-particle":"","parse-names":false,"suffix":""},{"dropping-particle":"","family":"Pangesti","given":"Dimas Ning","non-dropping-particle":"","parse-names":false,"suffix":""}],"id":"ITEM-1","issue":"2","issued":{"date-parts":[["2016"]]},"page":"1-4","title":"Efektifitas Rebusan Daun Salam terhadap Penurunan Tekanan Darah pada Penderita Hipertensi","type":"article-journal","volume":"10"},"uris":["http://www.mendeley.com/documents/?uuid=c1c65064-5404-4f75-9e38-52080f8fba85"]}],"mendeley":{"formattedCitation":"(Andoko &amp; Pangesti, 2016)","manualFormatting":"(Andoko, 2016;","plainTextFormattedCitation":"(Andoko &amp; Pangesti, 2016)","previouslyFormattedCitation":"(Andoko &amp; Pangesti, 2016)"},"properties":{"noteIndex":0},"schema":"https://github.com/citation-style-language/schema/raw/master/csl-citation.json"}</w:instrText>
      </w:r>
      <w:r w:rsidR="00713612" w:rsidRPr="00AA5464">
        <w:rPr>
          <w:rFonts w:ascii="Century" w:hAnsi="Century" w:cstheme="majorBidi"/>
          <w:color w:val="000000"/>
          <w:lang w:val="id-ID"/>
        </w:rPr>
        <w:fldChar w:fldCharType="separate"/>
      </w:r>
      <w:r w:rsidRPr="00AA5464">
        <w:rPr>
          <w:rFonts w:ascii="Century" w:hAnsi="Century" w:cstheme="majorBidi"/>
          <w:noProof/>
          <w:color w:val="000000"/>
          <w:lang w:val="id-ID"/>
        </w:rPr>
        <w:t>(Andoko, 2016;</w:t>
      </w:r>
      <w:r w:rsidR="00713612" w:rsidRPr="00AA5464">
        <w:rPr>
          <w:rFonts w:ascii="Century" w:hAnsi="Century" w:cstheme="majorBidi"/>
          <w:color w:val="000000"/>
          <w:lang w:val="id-ID"/>
        </w:rPr>
        <w:fldChar w:fldCharType="end"/>
      </w:r>
      <w:r w:rsidR="00713612" w:rsidRPr="00AA5464">
        <w:rPr>
          <w:rFonts w:ascii="Century" w:hAnsi="Century" w:cstheme="majorBidi"/>
          <w:color w:val="000000"/>
          <w:lang w:val="id-ID"/>
        </w:rPr>
        <w:fldChar w:fldCharType="begin" w:fldLock="1"/>
      </w:r>
      <w:r w:rsidRPr="00AA5464">
        <w:rPr>
          <w:rFonts w:ascii="Century" w:hAnsi="Century" w:cstheme="majorBidi"/>
          <w:color w:val="000000"/>
          <w:lang w:val="id-ID"/>
        </w:rPr>
        <w:instrText>ADDIN CSL_CITATION {"citationItems":[{"id":"ITEM-1","itemData":{"abstract":"Penyakit Tidak Menular (PTM) merupakan salah satu kelompok penyakit yang memberi beban kesehatan masyarakat tersendiri karena keberadaannya cukup prevalen, tersebar diseluruh dunia, menjadi penyebab utama kematian, dan cukup sulit untuk dikendalikan. Data Riskesdas 2013 prevelensi kejadian hipertensi pada lansia sebanyak 19,49%. Data Dinas Kesehatan Kota Padang tahun 2014 dari 22 puskesmas di Kota Padang di dapatkan hipertensi tertinggi di Puskesmas Lubuk Buaya sebanyak 1917 orang. Tujuan penelitian untuk mengetahui hubungan terapi farmakologi dan konsumsi garam dalam pencapaian target tekanan darah pada lansia penderita hipertensi di Puskesmas Lubuk Buaya Padang tahun 2016. Desain penelitian ini Deskriptif analitik dengan pendekatan cross sectional study. Variabel dependen target tekanan darah dan variabel independen terapi farmakologi dan konsumsi garam. Penelitian ini telah dilakukan pada tanggal 22 Februari – 5 Maret 2016. Sampel semua lansia penderita hipertensi yang datang berobat ke Poli Lansia Puskesmas Lubuk Buaya pada waktu penelitian dilakukan berjumlah 56 orang secara Accidental sampling. Data dikumpulkan dengan menggunakan kuesioner, dan di olah dengan menggunakan uji Chi-Square. Hasil penelitian didapatkan 60,7% target tekanan darah tidak tercapai, 41,1% konsumsi garam cukup mengikuti, 37,5% terapi farmakologi menengah, terdapat hubungan terapi farmakologi dengan target tekanan darah (P value 0,003) dan terdapat hubungan konsumsi garam dengan target tekanan darah ( P value 0,000) pada lansia penderita hipertensi di Puskesmas Lubuk Buaya padang tahun 2016. Berdasarkan hasil penelitian disarankan kepada pimpinan Puskesmas serta petugas kesehatan agar dapat meningkatkan kegiatan Promosi Kesehatan (PROMKES) serta kegiatan Program Pengelolaan Penyakit Kronis (PROLANIS) yang sedang berjalan tentang manfaat ketarutan mengkonsumsi obat anti hipertensi agar tekanan darah terkontrol dapat mengurangi efek lanjut dari hipertensi di Puskesmas Lubuk Buaya Padang tahun 2016.","author":[{"dropping-particle":"","family":"Dafriani","given":"Putri","non-dropping-particle":"","parse-names":false,"suffix":""}],"container-title":"Jurnal Kesehatan Medika Saintika","id":"ITEM-1","issue":"2","issued":{"date-parts":[["2016"]]},"page":"25-34","title":"Pengaruh Rebusan Daun Salam (Syzigium Polyanthum Wight Walp) terhadap Tekanan Darah Pasien Hipertensi di Sungai Bungkal, Kerinci 2016","type":"article-journal","volume":"7"},"uris":["http://www.mendeley.com/documents/?uuid=1d66166e-a833-42bc-9dfe-0714bfc26e87"]}],"mendeley":{"formattedCitation":"(Dafriani, 2016)","manualFormatting":"Dafriani, 2016;","plainTextFormattedCitation":"(Dafriani, 2016)","previouslyFormattedCitation":"(Dafriani, 2016)"},"properties":{"noteIndex":0},"schema":"https://github.com/citation-style-language/schema/raw/master/csl-citation.json"}</w:instrText>
      </w:r>
      <w:r w:rsidR="00713612" w:rsidRPr="00AA5464">
        <w:rPr>
          <w:rFonts w:ascii="Century" w:hAnsi="Century" w:cstheme="majorBidi"/>
          <w:color w:val="000000"/>
          <w:lang w:val="id-ID"/>
        </w:rPr>
        <w:fldChar w:fldCharType="separate"/>
      </w:r>
      <w:r w:rsidRPr="00AA5464">
        <w:rPr>
          <w:rFonts w:ascii="Century" w:hAnsi="Century" w:cstheme="majorBidi"/>
          <w:noProof/>
          <w:color w:val="000000"/>
          <w:lang w:val="id-ID"/>
        </w:rPr>
        <w:t>Dafriani, 2016;</w:t>
      </w:r>
      <w:r w:rsidR="00713612" w:rsidRPr="00AA5464">
        <w:rPr>
          <w:rFonts w:ascii="Century" w:hAnsi="Century" w:cstheme="majorBidi"/>
          <w:color w:val="000000"/>
          <w:lang w:val="id-ID"/>
        </w:rPr>
        <w:fldChar w:fldCharType="end"/>
      </w:r>
      <w:r w:rsidR="00713612" w:rsidRPr="00AA5464">
        <w:rPr>
          <w:rFonts w:ascii="Century" w:hAnsi="Century" w:cstheme="majorBidi"/>
          <w:color w:val="000000"/>
          <w:lang w:val="id-ID"/>
        </w:rPr>
        <w:fldChar w:fldCharType="begin" w:fldLock="1"/>
      </w:r>
      <w:r w:rsidRPr="00AA5464">
        <w:rPr>
          <w:rFonts w:ascii="Century" w:hAnsi="Century" w:cstheme="majorBidi"/>
          <w:color w:val="000000"/>
          <w:lang w:val="id-ID"/>
        </w:rPr>
        <w:instrText>ADDIN CSL_CITATION {"citationItems":[{"id":"ITEM-1","itemData":{"DOI":"10.32528/ijhs.v0i0.1543","ISSN":"2087-5053","abstract":"Hipertensi merupakan salah satu bentuk penyakit kronis pada lansia. Perubahan fisiologis pada lansia mengindikasikan perlunya pendekatan lain untuk menangani hipertensi, seperti dengan menggunakan terapi herbal. Salah satu bentuk terapi herbal yang dapat digunakan untuk mengatasi hipertensi adalah daun salam. Tujuan penelitian ini adalah untuk mengetahui pengaruh daun salam terhadap penuruan tekanan darah pada lansia dengan hipertensi di UPT PSTW Jember. Penelitian ini adalah penelitian pre eksperimental dengan pendekatan one group pre post test design. Populasi dalam penelitian ini adalah seluruh lansia dengan hipertensi yang tinggal di UPT PSTW Jember sejumlah 45 orang. Responden diambil dengan teknik total sampling. Responden diberi air rebusan daun salam sebanyak 1 gelas, dua kali sehari selama 2 minggu. Tekanan darah responden diukur dengan menggunakan sphygmomanometer. Analisis statistik menunjukkan uji t test untuk tekanan darah sistolik adalah 0,000 dan 0,087 untuk tekanan darah diastolik. Sehingga dapat disimpulkan bahwa air rebusan daun salam berpengaruh terhadap penurunan tekanan darah sistolik dan tidak berpengaruh terhadap penurunan tekanan darah diastolik lansia dengan hipertensi. Oleh karenanya, daun salam dapat digunakan sebagai salah satu terapi herbal untuk menurunkan tekanan darah pada lansia dengan hipertensi.","author":[{"dropping-particle":"","family":"Asih","given":"Susi Wahyuning","non-dropping-particle":"","parse-names":false,"suffix":""}],"container-title":"The Indonesian Journal of Health Science","id":"ITEM-1","issue":"September","issued":{"date-parts":[["2018"]]},"page":"169","title":"Pengaruh Rebusan Daun Salam Terhadap Penurunan Tekanan Darah Pada Lansia Penderita Hipertensi Di Wisma Seruni Upt Pslu Jember","type":"article-journal"},"uris":["http://www.mendeley.com/documents/?uuid=555d1dd1-166c-4a63-968c-1813755faf13"]}],"mendeley":{"formattedCitation":"(Asih, 2018)","manualFormatting":"Asih, 2018)","plainTextFormattedCitation":"(Asih, 2018)","previouslyFormattedCitation":"(Asih, 2018)"},"properties":{"noteIndex":0},"schema":"https://github.com/citation-style-language/schema/raw/master/csl-citation.json"}</w:instrText>
      </w:r>
      <w:r w:rsidR="00713612" w:rsidRPr="00AA5464">
        <w:rPr>
          <w:rFonts w:ascii="Century" w:hAnsi="Century" w:cstheme="majorBidi"/>
          <w:color w:val="000000"/>
          <w:lang w:val="id-ID"/>
        </w:rPr>
        <w:fldChar w:fldCharType="separate"/>
      </w:r>
      <w:r w:rsidRPr="00AA5464">
        <w:rPr>
          <w:rFonts w:ascii="Century" w:hAnsi="Century" w:cstheme="majorBidi"/>
          <w:noProof/>
          <w:color w:val="000000"/>
          <w:lang w:val="id-ID"/>
        </w:rPr>
        <w:t>Asih, 2018)</w:t>
      </w:r>
      <w:r w:rsidR="00713612" w:rsidRPr="00AA5464">
        <w:rPr>
          <w:rFonts w:ascii="Century" w:hAnsi="Century" w:cstheme="majorBidi"/>
          <w:color w:val="000000"/>
          <w:lang w:val="id-ID"/>
        </w:rPr>
        <w:fldChar w:fldCharType="end"/>
      </w:r>
      <w:r w:rsidRPr="00AA5464">
        <w:rPr>
          <w:rFonts w:ascii="Century" w:hAnsi="Century" w:cstheme="majorBidi"/>
          <w:color w:val="000000"/>
          <w:lang w:val="id-ID"/>
        </w:rPr>
        <w:t xml:space="preserve"> </w:t>
      </w:r>
      <w:r w:rsidRPr="00AA5464">
        <w:rPr>
          <w:rFonts w:ascii="Century" w:hAnsi="Century" w:cstheme="majorBidi"/>
          <w:lang w:val="id-ID"/>
        </w:rPr>
        <w:t xml:space="preserve">dan kadar asam urat tinggi (hiperurisemia) </w:t>
      </w:r>
      <w:r w:rsidR="00713612" w:rsidRPr="00AA5464">
        <w:rPr>
          <w:rFonts w:ascii="Century" w:hAnsi="Century" w:cstheme="majorBidi"/>
          <w:lang w:val="id-ID"/>
        </w:rPr>
        <w:fldChar w:fldCharType="begin" w:fldLock="1"/>
      </w:r>
      <w:r w:rsidRPr="00AA5464">
        <w:rPr>
          <w:rFonts w:ascii="Century" w:hAnsi="Century" w:cstheme="majorBidi"/>
          <w:lang w:val="id-ID"/>
        </w:rPr>
        <w:instrText>ADDIN CSL_CITATION {"citationItems":[{"id":"ITEM-1","itemData":{"author":[{"dropping-particle":"","family":"Djohari","given":"Meiriza","non-dropping-particle":"","parse-names":false,"suffix":""},{"dropping-particle":"","family":"Paramitha","given":"Rovi","non-dropping-particle":"","parse-names":false,"suffix":""}],"container-title":"Pharmacy","id":"ITEM-1","issue":"02","issued":{"date-parts":[["2015"]]},"page":"1-9","title":"Efektivitas Rebusan Daun Salam (Syzygium polyanthum) terhadap Penurunan Kadar Asam Urat dalam Darah Mencit Putih Jantan","type":"article-journal","volume":"12"},"uris":["http://www.mendeley.com/documents/?uuid=14ca9900-f907-4533-be0d-8c7f88c449c8"]}],"mendeley":{"formattedCitation":"(Djohari &amp; Paramitha, 2015)","plainTextFormattedCitation":"(Djohari &amp; Paramitha, 2015)","previouslyFormattedCitation":"(Djohari &amp; Paramitha, 2015)"},"properties":{"noteIndex":0},"schema":"https://github.com/citation-style-language/schema/raw/master/csl-citation.json"}</w:instrText>
      </w:r>
      <w:r w:rsidR="00713612" w:rsidRPr="00AA5464">
        <w:rPr>
          <w:rFonts w:ascii="Century" w:hAnsi="Century" w:cstheme="majorBidi"/>
          <w:lang w:val="id-ID"/>
        </w:rPr>
        <w:fldChar w:fldCharType="separate"/>
      </w:r>
      <w:r w:rsidRPr="00AA5464">
        <w:rPr>
          <w:rFonts w:ascii="Century" w:hAnsi="Century" w:cstheme="majorBidi"/>
          <w:noProof/>
          <w:lang w:val="id-ID"/>
        </w:rPr>
        <w:t>(Djohari &amp; Paramitha, 2015)</w:t>
      </w:r>
      <w:r w:rsidR="00713612" w:rsidRPr="00AA5464">
        <w:rPr>
          <w:rFonts w:ascii="Century" w:hAnsi="Century" w:cstheme="majorBidi"/>
          <w:lang w:val="id-ID"/>
        </w:rPr>
        <w:fldChar w:fldCharType="end"/>
      </w:r>
      <w:r w:rsidRPr="00AA5464">
        <w:rPr>
          <w:rFonts w:ascii="Century" w:hAnsi="Century" w:cstheme="majorBidi"/>
          <w:lang w:val="id-ID"/>
        </w:rPr>
        <w:t>.</w:t>
      </w:r>
    </w:p>
    <w:p w:rsidR="00AA5464" w:rsidRPr="00AA5464" w:rsidRDefault="00AA5464" w:rsidP="00F07174">
      <w:pPr>
        <w:pStyle w:val="ListParagraph"/>
        <w:autoSpaceDE w:val="0"/>
        <w:autoSpaceDN w:val="0"/>
        <w:adjustRightInd w:val="0"/>
        <w:spacing w:line="276" w:lineRule="auto"/>
        <w:ind w:left="0" w:firstLine="360"/>
        <w:contextualSpacing/>
        <w:jc w:val="both"/>
        <w:rPr>
          <w:rFonts w:ascii="Century" w:hAnsi="Century" w:cstheme="majorBidi"/>
          <w:color w:val="000000"/>
        </w:rPr>
      </w:pPr>
      <w:r w:rsidRPr="00AA5464">
        <w:rPr>
          <w:rFonts w:ascii="Century" w:hAnsi="Century" w:cstheme="majorBidi"/>
          <w:color w:val="000000"/>
          <w:lang w:val="id-ID"/>
        </w:rPr>
        <w:t xml:space="preserve">Kegiatan pengabdian pada masyarakat terkait pengendalian hipertensi dan penyakit tidak menular yang memanfaatkan tanaman obat juga pernah dilakukan dibeberapa daerah di Indonesia melalui strategi pemberian edukasi dengan penyuluhan dan demonstrasi yang melibatkan partisipasi masyarakat. Hasil kegiatan tersebut menunjukkan peningkatan terhadap pengetahuan dan minat masyarakat dalam menjaga dan meningkatkan kesadaran untuk berperilaku hidup sehat, sehingga diharapkan dengan memanfaatkan bahan tanaman obat dapat menekan angka kejadian hipertensi dan penyakit tidak menular lainnya di masyarakat </w:t>
      </w:r>
      <w:r w:rsidR="00713612" w:rsidRPr="00AA5464">
        <w:rPr>
          <w:rFonts w:ascii="Century" w:hAnsi="Century" w:cstheme="majorBidi"/>
          <w:color w:val="000000"/>
        </w:rPr>
        <w:fldChar w:fldCharType="begin" w:fldLock="1"/>
      </w:r>
      <w:r w:rsidRPr="00AA5464">
        <w:rPr>
          <w:rFonts w:ascii="Century" w:hAnsi="Century" w:cstheme="majorBidi"/>
          <w:color w:val="000000"/>
          <w:lang w:val="id-ID"/>
        </w:rPr>
        <w:instrText>ADDIN CSL_CITATION {"citationItems":[{"id":"ITEM-1","itemData":{"DOI":"10.22146/jpkm.25944","ISSN":"2460-9447","abstract":"Prevalence of hypertension in Indonesia has reached 25.8%; Yogyakarta is the third largest prevalence in Indonesia, and hypertension in Seyegan sub-district is ranked first most diagnosed. Hypertension can lead to an increased risk of cardiovascular diseases such as heart attacks and strokes. Knowledge related to hypertension of residents, especially youth is still quite low. Youth is provided with education and training on how to measure blood pressure and basic knowledge related to hypertension. The education was done by discussion using Focus Group Discussion (FGD) method, then youth made program to overcome hypertension problem. Conducted blood pressure screening and interviews about the lifestyle of residents to determine the cause of hypertension. Blood pressure screening and interviews were analyzed by chi square or fisher, increased youth knowledge from pre-test and post-test analyzed with kolmogorov-smirnov and analyzed by paired T test with 95% confidence level. There was no significant effect between BMI, education and exercise on blood pressure, but there was a significant influence between smoking and consumption of foods high in salt and fat to blood pressure. The results of pre-test and post-test showed an increase in youth knowledge from the beginning only 5.27 to 7.37 with p-value 0.000 (p &lt;0.05). Provision of education to youth increases the level of knowledge related to hypertension.","author":[{"dropping-particle":"","family":"Sudarsono","given":"Erica Kusuma Rahayu","non-dropping-particle":"","parse-names":false,"suffix":""},{"dropping-particle":"","family":"Sasmita","given":"Julius Fajar Aji","non-dropping-particle":"","parse-names":false,"suffix":""},{"dropping-particle":"","family":"Handyasto","given":"Albertus Bayu","non-dropping-particle":"","parse-names":false,"suffix":""},{"dropping-particle":"","family":"Arissaputra","given":"Stefanus Sofian","non-dropping-particle":"","parse-names":false,"suffix":""},{"dropping-particle":"","family":"Kuswantiningsi","given":"Natalia","non-dropping-particle":"","parse-names":false,"suffix":""}],"container-title":"Jurnal Pengabdian Kepada Masyarakat","id":"ITEM-1","issue":"1","issued":{"date-parts":[["2017"]]},"page":"26-38","title":"Peningkatan Pengetahuan Terkait Hipertensi G</w:instrText>
      </w:r>
      <w:r w:rsidRPr="00AA5464">
        <w:rPr>
          <w:rFonts w:ascii="Century" w:hAnsi="Century" w:cstheme="majorBidi"/>
          <w:color w:val="000000"/>
        </w:rPr>
        <w:instrText>una Perbaikan Tekanan Darah pada Pemuda di Dusun Japanan, Margodadi, Seyegan, Sleman, Yogyakarta","type":"article-journal","volume":"3"},"uris":["http://www.mendeley.com/documents/?uuid=7491ef6c-f471-45d8-82e4-58e680d9398f"]}],"mendeley":{"formattedCitation":"(Sudarsono, Sasmita, Handyasto, Arissaputra, &amp; Kuswantiningsi, 2017)","manualFormatting":"(Sudarsono, Sasmita, Handyasto, Arissaputra, &amp; Kuswantiningsi, 2017;","plainTextFormattedCitation":"(Sudarsono, Sasmita, Handyasto, Arissaputra, &amp; Kuswantiningsi, 2017)","previouslyFormattedCitation":"(Sudarsono, Sasmita, Handyasto, Arissaputra, &amp; Kuswantiningsi, 2017)"},"properties":{"noteIndex":0},"schema":"https://github.com/citation-style-language/schema/raw/master/csl-citation.json"}</w:instrText>
      </w:r>
      <w:r w:rsidR="00713612" w:rsidRPr="00AA5464">
        <w:rPr>
          <w:rFonts w:ascii="Century" w:hAnsi="Century" w:cstheme="majorBidi"/>
          <w:color w:val="000000"/>
        </w:rPr>
        <w:fldChar w:fldCharType="separate"/>
      </w:r>
      <w:r w:rsidRPr="00AA5464">
        <w:rPr>
          <w:rFonts w:ascii="Century" w:hAnsi="Century" w:cstheme="majorBidi"/>
          <w:noProof/>
          <w:color w:val="000000"/>
        </w:rPr>
        <w:t>(Sudarsono, Sasmita, Handyasto, Arissaputra, &amp; Kuswantiningsi, 2017</w:t>
      </w:r>
      <w:r w:rsidRPr="00AA5464">
        <w:rPr>
          <w:rFonts w:ascii="Century" w:hAnsi="Century" w:cstheme="majorBidi"/>
          <w:noProof/>
          <w:color w:val="000000"/>
          <w:lang w:val="id-ID"/>
        </w:rPr>
        <w:t>;</w:t>
      </w:r>
      <w:r w:rsidR="00713612" w:rsidRPr="00AA5464">
        <w:rPr>
          <w:rFonts w:ascii="Century" w:hAnsi="Century" w:cstheme="majorBidi"/>
          <w:color w:val="000000"/>
        </w:rPr>
        <w:fldChar w:fldCharType="end"/>
      </w:r>
      <w:r w:rsidR="00713612" w:rsidRPr="00AA5464">
        <w:rPr>
          <w:rFonts w:ascii="Century" w:hAnsi="Century" w:cstheme="majorBidi"/>
          <w:color w:val="000000"/>
        </w:rPr>
        <w:fldChar w:fldCharType="begin" w:fldLock="1"/>
      </w:r>
      <w:r w:rsidRPr="00AA5464">
        <w:rPr>
          <w:rFonts w:ascii="Century" w:hAnsi="Century" w:cstheme="majorBidi"/>
          <w:color w:val="000000"/>
        </w:rPr>
        <w:instrText>ADDIN CSL_CITATION {"citationItems":[{"id":"ITEM-1","itemData":{"DOI":"10.30595/jppm.v3i2.4472","ISSN":"2579-9126","abstract":"Hipertensi merupakan faktor resiko penyakit yang sangat berbahaya. Pengobatan jangka panjang yang dilakukan untuk mengontrol tekanan darah dan kadar asam urat akan menyebabkan masalah farmakologis yang berdampak buruk kepada penderita. Berdasarkan uraian tersebut maka perlu dilakukan sosialisasi tentang cara mengendalikan hipertensi dan asam urat melalui penggunaan tanaman obat keluarga. Tujuan dari kegiatan ini yaitu untuk memberikan pengetahuan kepada ibu-ibu majelis taklim tentang pentingnya mengendalikan hipertensi dan asam urat dengan  menggunakan tanaman obat keluarga; memberikan pengetahuan tentang  jenis tanaman obat keluarga yang dapat digunakan untuk mengendalikan hipertensi dan asam urat ringan. Metode yang digunakan adalah  penyuluhan langsung artinya para petugas langsung bertatap muka dengan masyarakat. Hasil yang didapatkan menunjukkan bahwa, pengetahuan peserta mengenai jenis-jenis dan manfaat tanaman obat sanga ttinggi (90%). Pengetahuan untuk menanam, membudidayakan, dan meracik tanaman obat sebagai pencegahan penyakit Hipertensi dan asam urat ringan juga sangat tinggi (80%).","author":[{"dropping-particle":"","family":"Sammulia","given":"Suci Fitriani","non-dropping-particle":"","parse-names":false,"suffix":""},{"dropping-particle":"","family":"Suhaera","given":"Suhaera","non-dropping-particle":"","parse-names":false,"suffix":""}],"container-title":"JPPM (Jurnal Pengabdian dan Pemberdayaan Masyarakat)","id":"ITEM-1","issue":"2","issued":{"date-parts":[["2019"]]},"page":"201","title":"Pencegahan dan Pengendalian Hipertensi dan Asam Urat Ringan Melalui Tanaman Obat Keluarga (TOGA)","type":"article-journal","volume":"3"},"uris":["http://www.mendeley.com/documents/?uuid=670cf59c-bc1f-4954-9c27-fc77d2ff2a48"]}],"mendeley":{"formattedCitation":"(Sammulia &amp; Suhaera, 2019)","manualFormatting":"Sammulia &amp; Suhaera, 2019;","plainTextFormattedCitation":"(Sammulia &amp; Suhaera, 2019)","previouslyFormattedCitation":"(Sammulia &amp; Suhaera, 2019)"},"properties":{"noteIndex":0},"schema":"https://github.com/citation-style-language/schema/raw/master/csl-citation.json"}</w:instrText>
      </w:r>
      <w:r w:rsidR="00713612" w:rsidRPr="00AA5464">
        <w:rPr>
          <w:rFonts w:ascii="Century" w:hAnsi="Century" w:cstheme="majorBidi"/>
          <w:color w:val="000000"/>
        </w:rPr>
        <w:fldChar w:fldCharType="separate"/>
      </w:r>
      <w:r w:rsidRPr="00AA5464">
        <w:rPr>
          <w:rFonts w:ascii="Century" w:hAnsi="Century" w:cstheme="majorBidi"/>
          <w:noProof/>
          <w:color w:val="000000"/>
        </w:rPr>
        <w:t>Sammulia &amp; Suhaera, 2019</w:t>
      </w:r>
      <w:r w:rsidRPr="00AA5464">
        <w:rPr>
          <w:rFonts w:ascii="Century" w:hAnsi="Century" w:cstheme="majorBidi"/>
          <w:noProof/>
          <w:color w:val="000000"/>
          <w:lang w:val="id-ID"/>
        </w:rPr>
        <w:t>;</w:t>
      </w:r>
      <w:r w:rsidR="00713612" w:rsidRPr="00AA5464">
        <w:rPr>
          <w:rFonts w:ascii="Century" w:hAnsi="Century" w:cstheme="majorBidi"/>
          <w:color w:val="000000"/>
        </w:rPr>
        <w:fldChar w:fldCharType="end"/>
      </w:r>
      <w:r w:rsidR="00713612" w:rsidRPr="00AA5464">
        <w:rPr>
          <w:rFonts w:ascii="Century" w:hAnsi="Century" w:cstheme="majorBidi"/>
          <w:color w:val="000000"/>
        </w:rPr>
        <w:fldChar w:fldCharType="begin" w:fldLock="1"/>
      </w:r>
      <w:r w:rsidRPr="00AA5464">
        <w:rPr>
          <w:rFonts w:ascii="Century" w:hAnsi="Century" w:cstheme="majorBidi"/>
          <w:color w:val="000000"/>
        </w:rPr>
        <w:instrText>ADDIN CSL_CITATION {"citationItems":[{"id":"ITEM-1","itemData":{"DOI":"10.30595/jppm.v3i2.4554","ISSN":"2579-9126","abstract":"Ibu-ibu anggota TP – PKK Desa Gesik telah mengetahui tentang manfaat dari tanaman obat namun belum banyak yang membudidayakannya di lahan pekarangan mereka. Kegiatan ini dilaksanakan dengan tujuan meningkatkan keterampilan para ibu dalam budidaya tanaman obat di lahan pekarangan. Metode yang digunakan adalah pelatihan, yang terdiri dari penyuluhan, demonstrasi, dan pendampingan. Penyuluhan diikuti oleh 23 orang peserta sementara praktek diikuti oleh sepuluh orang peserta. Hasil kegiatan menunjukkan terjadi peningkatan pengetahuan dan minat peserta dalam budidaya tanaman obat.  ","author":[{"dropping-particle":"","family":"Trisnaningsih","given":"Umi","non-dropping-particle":"","parse-names":false,"suffix":""},{"dropping-particle":"","family":"Wahyuni","given":"Siti","non-dropping-particle":"","parse-names":false,"suffix":""},{"dropping-particle":"","family":"Nur","given":"Subandi","non-dropping-particle":"","parse-names":false,"suffix":""}],"container-title":"JPPM (Jurnal Pengabdian dan Pemberdayaan Masyarakat)","id":"ITEM-1","issue":"2","issued":{"date-parts":[["2019"]]},"page":"259","title":"Pemanfaatan Lahan Pekarangan Dengan Tanaman Obat Keluarga","type":"article-journal","volume":"3"},"uris":["http://www.mendeley.com/documents/?uuid=57570893-8062-4b63-990b-2386a374c6f9"]}],"mendeley":{"formattedCitation":"(Trisnaningsih, Wahyuni, &amp; Nur, 2019)","manualFormatting":"Trisnaningsih, Wahyuni, &amp; Nur, 2019;","plainTextFormattedCitation":"(Trisnaningsih, Wahyuni, &amp; Nur, 2019)","previouslyFormattedCitation":"(Trisnaningsih, Wahyuni, &amp; Nur, 2019)"},"properties":{"noteIndex":0},"schema":"https://github.com/citation-style-language/schema/raw/master/csl-citation.json"}</w:instrText>
      </w:r>
      <w:r w:rsidR="00713612" w:rsidRPr="00AA5464">
        <w:rPr>
          <w:rFonts w:ascii="Century" w:hAnsi="Century" w:cstheme="majorBidi"/>
          <w:color w:val="000000"/>
        </w:rPr>
        <w:fldChar w:fldCharType="separate"/>
      </w:r>
      <w:r w:rsidRPr="00AA5464">
        <w:rPr>
          <w:rFonts w:ascii="Century" w:hAnsi="Century" w:cstheme="majorBidi"/>
          <w:noProof/>
          <w:color w:val="000000"/>
        </w:rPr>
        <w:t>Trisnaningsih, Wahyuni, &amp; Nur, 2019</w:t>
      </w:r>
      <w:r w:rsidRPr="00AA5464">
        <w:rPr>
          <w:rFonts w:ascii="Century" w:hAnsi="Century" w:cstheme="majorBidi"/>
          <w:noProof/>
          <w:color w:val="000000"/>
          <w:lang w:val="id-ID"/>
        </w:rPr>
        <w:t>;</w:t>
      </w:r>
      <w:r w:rsidR="00713612" w:rsidRPr="00AA5464">
        <w:rPr>
          <w:rFonts w:ascii="Century" w:hAnsi="Century" w:cstheme="majorBidi"/>
          <w:color w:val="000000"/>
        </w:rPr>
        <w:fldChar w:fldCharType="end"/>
      </w:r>
      <w:r w:rsidR="00713612" w:rsidRPr="00AA5464">
        <w:rPr>
          <w:rFonts w:ascii="Century" w:hAnsi="Century" w:cstheme="majorBidi"/>
          <w:color w:val="000000"/>
        </w:rPr>
        <w:fldChar w:fldCharType="begin" w:fldLock="1"/>
      </w:r>
      <w:r w:rsidRPr="00AA5464">
        <w:rPr>
          <w:rFonts w:ascii="Century" w:hAnsi="Century" w:cstheme="majorBidi"/>
          <w:color w:val="000000"/>
        </w:rPr>
        <w:instrText>ADDIN CSL_CITATION {"citationItems":[{"id":"ITEM-1","itemData":{"DOI":"10.30595/jppm.v3i2.4726","ISSN":"2579-9126","abstract":"Meningkatnya kejadian PTM merupakan permasalahan yang banyak terjadi di area Asia Tenggara, serta diprediksi terus meningkat pada tahun 2030, dan  menjadi penyebab kematian tertinggi di Indonesia, dimana 64% sebagian besar disebabkan oleh penyakit kardiovaskuler, hipertensi dan diabetes melitus. Strategi pemberdayaan masyarakat digunakan untuk merubah perilaku masyarakat dalammenurunkan masalah penyakit PTM seperti hipertensi dan diabetes melitus.Kegiatan Program Kemitraan Masyarakat melibatkan kelompok  masyarakat di 10 RT yang berada di Kelurahan Sambutan, dan berkoordinasi dengan pihak Puskesmas Sambutan.  Metode pemecahan masalah diantaranya (1) Survey dengan cara melakukan screening pemeriksaan kesehatan, (2) Pendidikan masyarakat untuk meningkatkan pengetahuan melalui penyuluhan, dan (3) Pelatihan dengan melakukan demonstrasi untuk meningkatkan keterampilan. Hasil pengabdian kepada masyarakat ini menunjukkan dari 242 orang, teridentifikasi sekitar 103 orang (42,5 %) mengalami penyakit hipertensi, 66 orang (27,3 %) teridentifikasi gejalan diabetes melitus sampai dengan teridentifikasi menderita diabetes melitus. Penyuluhan kesehatan yang dilakukan dapat meningkatkan pengetahuan dan meningkatkan wawasan bagi masyarakat tentang penyakit tidak menular dan diharapkan menjadi awal untuk meningkatkan kesadaran masyarakat dengan berperilaku hidup sehat di kelurahan Sambutan kota Samarinda.","author":[{"dropping-particle":"","family":"Nopriyanto","given":"Dwi","non-dropping-particle":"","parse-names":false,"suffix":""},{"dropping-particle":"","family":"Aminuddin","given":"Muhammad","non-dropping-particle":"","parse-names":false,"suffix":""},{"dropping-particle":"","family":"Samsugito","given":"Iwan","non-dropping-particle":"","parse-names":false,"suffix":""},{"dropping-particle":"","family":"Puspasari","given":"Rita","non-dropping-particle":"","parse-names":false,"suffix":""},{"dropping-particle":"","family":"Ruminem","given":"Ruminem","non-dropping-particle":"","parse-names":false,"suffix":""},{"dropping-particle":"","family":"Syukmana","given":"Mayusef","non-dropping-particle":"","parse-names":false,"suffix":""}],"container-title":"JPPM (Jurnal Pengabdian dan Pemberdayaan Masyarakat)","id":"ITEM-1","issue":"2","issued":{"date-parts":[["2019"]]},"page":"285","title":"Meningkatkan Peran Serta Masyarakat Dalam Upaya Menurunkan Peningkatan Penyakit Tidak Menular (PTM)","type":"article-journal","volume":"3"},"uris":["http://www.mendeley.com/documents/?uuid=c6aa9769-9a42-4983-b45c-fcca5753499c"]}],"mendeley":{"formattedCitation":"(Nopriyanto et al., 2019)","manualFormatting":"Nopriyanto et al., 2019)","plainTextFormattedCitation":"(Nopriyanto et al., 2019)","previouslyFormattedCitation":"(Nopriyanto et al., 2019)"},"properties":{"noteIndex":0},"schema":"https://github.com/citation-style-language/schema/raw/master/csl-citation.json"}</w:instrText>
      </w:r>
      <w:r w:rsidR="00713612" w:rsidRPr="00AA5464">
        <w:rPr>
          <w:rFonts w:ascii="Century" w:hAnsi="Century" w:cstheme="majorBidi"/>
          <w:color w:val="000000"/>
        </w:rPr>
        <w:fldChar w:fldCharType="separate"/>
      </w:r>
      <w:r w:rsidRPr="00AA5464">
        <w:rPr>
          <w:rFonts w:ascii="Century" w:hAnsi="Century" w:cstheme="majorBidi"/>
          <w:noProof/>
          <w:color w:val="000000"/>
        </w:rPr>
        <w:t>Nopriyanto et al., 2019)</w:t>
      </w:r>
      <w:r w:rsidR="00713612" w:rsidRPr="00AA5464">
        <w:rPr>
          <w:rFonts w:ascii="Century" w:hAnsi="Century" w:cstheme="majorBidi"/>
          <w:color w:val="000000"/>
        </w:rPr>
        <w:fldChar w:fldCharType="end"/>
      </w:r>
    </w:p>
    <w:p w:rsidR="00AA5464" w:rsidRPr="00F07174" w:rsidRDefault="00AA5464" w:rsidP="00F07174">
      <w:pPr>
        <w:pStyle w:val="ListParagraph"/>
        <w:autoSpaceDE w:val="0"/>
        <w:autoSpaceDN w:val="0"/>
        <w:adjustRightInd w:val="0"/>
        <w:spacing w:line="276" w:lineRule="auto"/>
        <w:ind w:left="0" w:firstLine="360"/>
        <w:contextualSpacing/>
        <w:jc w:val="both"/>
        <w:rPr>
          <w:rFonts w:ascii="Century" w:hAnsi="Century" w:cstheme="majorBidi"/>
        </w:rPr>
      </w:pPr>
      <w:r w:rsidRPr="00AA5464">
        <w:rPr>
          <w:rFonts w:ascii="Century" w:hAnsi="Century" w:cstheme="majorBidi"/>
        </w:rPr>
        <w:t>Kegiatan p</w:t>
      </w:r>
      <w:r w:rsidRPr="00AA5464">
        <w:rPr>
          <w:rFonts w:ascii="Century" w:hAnsi="Century" w:cstheme="majorBidi"/>
          <w:lang w:val="id-ID"/>
        </w:rPr>
        <w:t>engabdian</w:t>
      </w:r>
      <w:r w:rsidRPr="00AA5464">
        <w:rPr>
          <w:rFonts w:ascii="Century" w:hAnsi="Century" w:cstheme="majorBidi"/>
        </w:rPr>
        <w:t xml:space="preserve"> masyarakat ini bertujuan untuk mencegah dan mengendalikan</w:t>
      </w:r>
      <w:r w:rsidR="00FE21B8">
        <w:rPr>
          <w:rFonts w:ascii="Century" w:hAnsi="Century" w:cstheme="majorBidi"/>
        </w:rPr>
        <w:t xml:space="preserve"> </w:t>
      </w:r>
      <w:r w:rsidRPr="00AA5464">
        <w:rPr>
          <w:rFonts w:ascii="Century" w:hAnsi="Century" w:cstheme="majorBidi"/>
        </w:rPr>
        <w:t xml:space="preserve">penyakit tidak menular khususnya hipertensi melalui </w:t>
      </w:r>
      <w:r w:rsidRPr="00AA5464">
        <w:rPr>
          <w:rFonts w:ascii="Century" w:hAnsi="Century" w:cstheme="majorBidi"/>
        </w:rPr>
        <w:lastRenderedPageBreak/>
        <w:t>pemberian  informasi kesehatan dan pemanfaatan bahan herbal serta cara mengolah daun salam menjadi alternatif produk kesehatan yang dapat bertahan lama dan memiliki nilai jual kompetitif.</w:t>
      </w:r>
    </w:p>
    <w:p w:rsidR="00AA5464" w:rsidRPr="00AA5464" w:rsidRDefault="00AA5464" w:rsidP="00AA5464">
      <w:pPr>
        <w:pStyle w:val="IEEEParagraph"/>
        <w:ind w:firstLine="426"/>
        <w:rPr>
          <w:rFonts w:ascii="Century" w:hAnsi="Century"/>
          <w:lang w:val="en-US"/>
        </w:rPr>
      </w:pPr>
    </w:p>
    <w:p w:rsidR="001218D3" w:rsidRPr="00AA5464" w:rsidRDefault="00E70EE3" w:rsidP="00F07174">
      <w:pPr>
        <w:pStyle w:val="IEEEHeading1"/>
        <w:numPr>
          <w:ilvl w:val="0"/>
          <w:numId w:val="11"/>
        </w:numPr>
        <w:spacing w:before="0" w:after="0" w:line="276" w:lineRule="auto"/>
        <w:jc w:val="left"/>
        <w:rPr>
          <w:rFonts w:ascii="Century" w:hAnsi="Century"/>
          <w:b/>
          <w:sz w:val="25"/>
          <w:szCs w:val="25"/>
          <w:lang w:val="id-ID"/>
        </w:rPr>
      </w:pPr>
      <w:r w:rsidRPr="00AA5464">
        <w:rPr>
          <w:rFonts w:ascii="Century" w:hAnsi="Century"/>
          <w:b/>
          <w:iCs/>
          <w:sz w:val="25"/>
          <w:szCs w:val="25"/>
          <w:lang w:val="id-ID"/>
        </w:rPr>
        <w:t>METODE</w:t>
      </w:r>
      <w:r w:rsidR="00F17F9B">
        <w:rPr>
          <w:rFonts w:ascii="Century" w:hAnsi="Century"/>
          <w:b/>
          <w:iCs/>
          <w:sz w:val="25"/>
          <w:szCs w:val="25"/>
          <w:lang w:val="en-US"/>
        </w:rPr>
        <w:t xml:space="preserve"> </w:t>
      </w:r>
      <w:r w:rsidR="00922A80" w:rsidRPr="00AA5464">
        <w:rPr>
          <w:rFonts w:ascii="Century" w:hAnsi="Century"/>
          <w:b/>
          <w:iCs/>
          <w:sz w:val="25"/>
          <w:szCs w:val="25"/>
          <w:lang w:val="en-US"/>
        </w:rPr>
        <w:t>PELAKSANAAN</w:t>
      </w:r>
    </w:p>
    <w:p w:rsidR="00AA5464" w:rsidRPr="00AA5464" w:rsidRDefault="00AA5464" w:rsidP="00F07174">
      <w:pPr>
        <w:autoSpaceDE w:val="0"/>
        <w:autoSpaceDN w:val="0"/>
        <w:adjustRightInd w:val="0"/>
        <w:spacing w:line="276" w:lineRule="auto"/>
        <w:ind w:firstLine="426"/>
        <w:contextualSpacing/>
        <w:jc w:val="both"/>
        <w:rPr>
          <w:rFonts w:ascii="Century" w:hAnsi="Century"/>
          <w:shd w:val="clear" w:color="auto" w:fill="FFFFFF"/>
        </w:rPr>
      </w:pPr>
      <w:r w:rsidRPr="00AA5464">
        <w:rPr>
          <w:rFonts w:ascii="Century" w:hAnsi="Century"/>
          <w:shd w:val="clear" w:color="auto" w:fill="FFFFFF"/>
        </w:rPr>
        <w:t>Kegiatan ini dilakukan di Desa Tebat Patah, Kecamatan Taman Rajo, Kabupaten Muaro Jambi. Metode</w:t>
      </w:r>
      <w:r w:rsidR="00FE21B8">
        <w:rPr>
          <w:rFonts w:ascii="Century" w:hAnsi="Century"/>
          <w:shd w:val="clear" w:color="auto" w:fill="FFFFFF"/>
        </w:rPr>
        <w:t xml:space="preserve"> </w:t>
      </w:r>
      <w:r w:rsidRPr="00AA5464">
        <w:rPr>
          <w:rFonts w:ascii="Century" w:hAnsi="Century"/>
          <w:shd w:val="clear" w:color="auto" w:fill="FFFFFF"/>
        </w:rPr>
        <w:t xml:space="preserve">yang digunakan untuk menyelesaikan masalah kesehatan terkait hipertensi terdiri dari: </w:t>
      </w:r>
    </w:p>
    <w:p w:rsidR="00AA5464" w:rsidRPr="00AA5464" w:rsidRDefault="00AA5464" w:rsidP="00F07174">
      <w:pPr>
        <w:pStyle w:val="ListParagraph"/>
        <w:numPr>
          <w:ilvl w:val="0"/>
          <w:numId w:val="16"/>
        </w:numPr>
        <w:autoSpaceDE w:val="0"/>
        <w:autoSpaceDN w:val="0"/>
        <w:adjustRightInd w:val="0"/>
        <w:spacing w:line="276" w:lineRule="auto"/>
        <w:ind w:left="426" w:hanging="284"/>
        <w:contextualSpacing/>
        <w:jc w:val="both"/>
        <w:rPr>
          <w:rFonts w:ascii="Century" w:hAnsi="Century"/>
          <w:shd w:val="clear" w:color="auto" w:fill="FFFFFF"/>
        </w:rPr>
      </w:pPr>
      <w:r w:rsidRPr="00AA5464">
        <w:rPr>
          <w:rFonts w:ascii="Century" w:hAnsi="Century"/>
          <w:shd w:val="clear" w:color="auto" w:fill="FFFFFF"/>
        </w:rPr>
        <w:t>Pemeriksaan kesehatan gratis meliputi tekanan darah, gula darah, dan asam urat</w:t>
      </w:r>
      <w:r w:rsidR="00F07174">
        <w:rPr>
          <w:rFonts w:ascii="Century" w:hAnsi="Century"/>
          <w:shd w:val="clear" w:color="auto" w:fill="FFFFFF"/>
        </w:rPr>
        <w:t xml:space="preserve"> </w:t>
      </w:r>
      <w:r w:rsidRPr="00AA5464">
        <w:rPr>
          <w:rFonts w:ascii="Century" w:hAnsi="Century"/>
          <w:shd w:val="clear" w:color="auto" w:fill="FFFFFF"/>
        </w:rPr>
        <w:t>yang berkerjasama dengan Puskesmas Kemingking Dalam.</w:t>
      </w:r>
    </w:p>
    <w:p w:rsidR="00AA5464" w:rsidRPr="00AA5464" w:rsidRDefault="00AA5464" w:rsidP="00F07174">
      <w:pPr>
        <w:pStyle w:val="ListParagraph"/>
        <w:numPr>
          <w:ilvl w:val="0"/>
          <w:numId w:val="16"/>
        </w:numPr>
        <w:autoSpaceDE w:val="0"/>
        <w:autoSpaceDN w:val="0"/>
        <w:adjustRightInd w:val="0"/>
        <w:spacing w:line="276" w:lineRule="auto"/>
        <w:ind w:left="426" w:hanging="284"/>
        <w:contextualSpacing/>
        <w:jc w:val="both"/>
        <w:rPr>
          <w:rFonts w:ascii="Century" w:hAnsi="Century"/>
          <w:shd w:val="clear" w:color="auto" w:fill="FFFFFF"/>
        </w:rPr>
      </w:pPr>
      <w:r w:rsidRPr="00AA5464">
        <w:rPr>
          <w:rFonts w:ascii="Century" w:hAnsi="Century"/>
          <w:shd w:val="clear" w:color="auto" w:fill="FFFFFF"/>
        </w:rPr>
        <w:t>Edukasi Masyarakat melalui penyuluhan yang bertujuan meningkatkan pemahaman serta kesadaran masyarakat terhadap perilaku hidup sehat, serta pemanfaatan bahan herbal sebagai produk kesehatan.</w:t>
      </w:r>
    </w:p>
    <w:p w:rsidR="00AA5464" w:rsidRPr="00AA5464" w:rsidRDefault="00AA5464" w:rsidP="00F07174">
      <w:pPr>
        <w:pStyle w:val="ListParagraph"/>
        <w:numPr>
          <w:ilvl w:val="0"/>
          <w:numId w:val="16"/>
        </w:numPr>
        <w:autoSpaceDE w:val="0"/>
        <w:autoSpaceDN w:val="0"/>
        <w:adjustRightInd w:val="0"/>
        <w:spacing w:line="276" w:lineRule="auto"/>
        <w:ind w:left="426" w:hanging="284"/>
        <w:contextualSpacing/>
        <w:jc w:val="both"/>
        <w:rPr>
          <w:rFonts w:ascii="Century" w:hAnsi="Century"/>
          <w:shd w:val="clear" w:color="auto" w:fill="FFFFFF"/>
        </w:rPr>
      </w:pPr>
      <w:r w:rsidRPr="00AA5464">
        <w:rPr>
          <w:rFonts w:ascii="Century" w:hAnsi="Century"/>
          <w:shd w:val="clear" w:color="auto" w:fill="FFFFFF"/>
        </w:rPr>
        <w:t>Pelatihan, demonstrasi pembuatan produk teh berbahan daun salam untuk menghasilkan keterampilan guna pemanfaatan jangka panjang dan</w:t>
      </w:r>
      <w:r w:rsidR="00F07174">
        <w:rPr>
          <w:rFonts w:ascii="Century" w:hAnsi="Century"/>
          <w:shd w:val="clear" w:color="auto" w:fill="FFFFFF"/>
        </w:rPr>
        <w:t xml:space="preserve"> </w:t>
      </w:r>
      <w:r w:rsidRPr="00AA5464">
        <w:rPr>
          <w:rFonts w:ascii="Century" w:hAnsi="Century"/>
          <w:shd w:val="clear" w:color="auto" w:fill="FFFFFF"/>
        </w:rPr>
        <w:t>bernilai jual kompetitif</w:t>
      </w:r>
      <w:r w:rsidRPr="00AA5464">
        <w:rPr>
          <w:rFonts w:ascii="Century" w:hAnsi="Century"/>
          <w:color w:val="333333"/>
          <w:shd w:val="clear" w:color="auto" w:fill="FFFFFF"/>
        </w:rPr>
        <w:t>.</w:t>
      </w:r>
    </w:p>
    <w:p w:rsidR="00BB64E7" w:rsidRPr="00AA5464" w:rsidRDefault="00AA5464" w:rsidP="00F07174">
      <w:pPr>
        <w:autoSpaceDE w:val="0"/>
        <w:autoSpaceDN w:val="0"/>
        <w:adjustRightInd w:val="0"/>
        <w:spacing w:after="120" w:line="276" w:lineRule="auto"/>
        <w:jc w:val="both"/>
        <w:rPr>
          <w:rFonts w:ascii="Century" w:hAnsi="Century"/>
          <w:b/>
          <w:lang w:val="en-US"/>
        </w:rPr>
      </w:pPr>
      <w:r w:rsidRPr="00AA5464">
        <w:rPr>
          <w:rFonts w:ascii="Century" w:hAnsi="Century"/>
          <w:color w:val="333333"/>
          <w:shd w:val="clear" w:color="auto" w:fill="FFFFFF"/>
        </w:rPr>
        <w:t> </w:t>
      </w:r>
    </w:p>
    <w:p w:rsidR="00D5771A" w:rsidRPr="00F07174" w:rsidRDefault="00E70EE3" w:rsidP="00F07174">
      <w:pPr>
        <w:pStyle w:val="IEEEHeading1"/>
        <w:numPr>
          <w:ilvl w:val="0"/>
          <w:numId w:val="11"/>
        </w:numPr>
        <w:spacing w:before="0" w:after="0" w:line="276" w:lineRule="auto"/>
        <w:ind w:left="426" w:hanging="426"/>
        <w:jc w:val="left"/>
        <w:rPr>
          <w:rFonts w:ascii="Century" w:hAnsi="Century"/>
          <w:b/>
          <w:iCs/>
          <w:sz w:val="25"/>
          <w:szCs w:val="25"/>
          <w:lang w:val="id-ID"/>
        </w:rPr>
      </w:pPr>
      <w:r w:rsidRPr="00AA5464">
        <w:rPr>
          <w:rFonts w:ascii="Century" w:hAnsi="Century"/>
          <w:b/>
          <w:iCs/>
          <w:sz w:val="25"/>
          <w:szCs w:val="25"/>
          <w:lang w:val="id-ID"/>
        </w:rPr>
        <w:t>HASIL</w:t>
      </w:r>
      <w:r w:rsidR="0000069A" w:rsidRPr="00AA5464">
        <w:rPr>
          <w:rFonts w:ascii="Century" w:hAnsi="Century"/>
          <w:b/>
          <w:iCs/>
          <w:sz w:val="25"/>
          <w:szCs w:val="25"/>
          <w:lang w:val="en-US"/>
        </w:rPr>
        <w:t xml:space="preserve"> DAN PEMBAHASAN</w:t>
      </w:r>
    </w:p>
    <w:p w:rsidR="00D5771A" w:rsidRPr="00F07174" w:rsidRDefault="00D5771A" w:rsidP="00F07174">
      <w:pPr>
        <w:spacing w:line="276" w:lineRule="auto"/>
        <w:ind w:firstLine="426"/>
        <w:jc w:val="both"/>
        <w:rPr>
          <w:rFonts w:ascii="Century" w:hAnsi="Century"/>
        </w:rPr>
      </w:pPr>
      <w:r w:rsidRPr="00F07174">
        <w:rPr>
          <w:rFonts w:ascii="Century" w:hAnsi="Century"/>
        </w:rPr>
        <w:t>Hasil pemeriksaan tekanan darah terhadap30 peserta menunjukkan sebesar 26,7% peserta mengalami hipertensi, sedangkan 16,7% peserta berpotensi mengalami hipertensi (Tabel 1). Berdasarkan hasil wawancara terdapat 20 peserta (66,7%)telah menyadari pentingnya pemeriksaan kesehatan secara berkaladengan mendatangi petugas kesehatan setempat yakni bidan puskesmas pembantu terdekat.</w:t>
      </w:r>
    </w:p>
    <w:p w:rsidR="00A102D3" w:rsidRDefault="00A102D3" w:rsidP="00F07174">
      <w:pPr>
        <w:spacing w:line="276" w:lineRule="auto"/>
        <w:jc w:val="center"/>
        <w:rPr>
          <w:rFonts w:ascii="Century" w:hAnsi="Century"/>
          <w:b/>
          <w:sz w:val="22"/>
          <w:szCs w:val="22"/>
        </w:rPr>
      </w:pPr>
    </w:p>
    <w:p w:rsidR="00D5771A" w:rsidRPr="00F07174" w:rsidRDefault="00D5771A" w:rsidP="00F07174">
      <w:pPr>
        <w:spacing w:line="276" w:lineRule="auto"/>
        <w:jc w:val="center"/>
        <w:rPr>
          <w:rFonts w:ascii="Century" w:hAnsi="Century"/>
          <w:b/>
          <w:sz w:val="22"/>
          <w:szCs w:val="22"/>
        </w:rPr>
      </w:pPr>
      <w:r w:rsidRPr="00F07174">
        <w:rPr>
          <w:rFonts w:ascii="Century" w:hAnsi="Century"/>
          <w:b/>
          <w:sz w:val="22"/>
          <w:szCs w:val="22"/>
        </w:rPr>
        <w:t xml:space="preserve">Tabel 1. </w:t>
      </w:r>
      <w:r w:rsidRPr="00F07174">
        <w:rPr>
          <w:rFonts w:ascii="Century" w:hAnsi="Century"/>
          <w:sz w:val="22"/>
          <w:szCs w:val="22"/>
        </w:rPr>
        <w:t>Proporsi Hasil Pemeriksaan Tekanan Darah Masyarakat di Desa Tebat Patah</w:t>
      </w:r>
    </w:p>
    <w:tbl>
      <w:tblPr>
        <w:tblStyle w:val="ListTable2"/>
        <w:tblW w:w="0" w:type="auto"/>
        <w:tblInd w:w="1960" w:type="dxa"/>
        <w:tblLook w:val="04A0"/>
      </w:tblPr>
      <w:tblGrid>
        <w:gridCol w:w="599"/>
        <w:gridCol w:w="1200"/>
        <w:gridCol w:w="1346"/>
        <w:gridCol w:w="1440"/>
      </w:tblGrid>
      <w:tr w:rsidR="00D5771A" w:rsidRPr="00A102D3" w:rsidTr="00F07174">
        <w:trPr>
          <w:cnfStyle w:val="100000000000"/>
        </w:trPr>
        <w:tc>
          <w:tcPr>
            <w:cnfStyle w:val="001000000000"/>
            <w:tcW w:w="599" w:type="dxa"/>
          </w:tcPr>
          <w:p w:rsidR="00D5771A" w:rsidRPr="00A102D3" w:rsidRDefault="00D5771A" w:rsidP="00A102D3">
            <w:pPr>
              <w:jc w:val="center"/>
              <w:rPr>
                <w:rFonts w:ascii="Century" w:hAnsi="Century"/>
                <w:sz w:val="22"/>
                <w:szCs w:val="22"/>
              </w:rPr>
            </w:pPr>
            <w:r w:rsidRPr="00A102D3">
              <w:rPr>
                <w:rFonts w:ascii="Century" w:hAnsi="Century"/>
                <w:sz w:val="22"/>
                <w:szCs w:val="22"/>
              </w:rPr>
              <w:t>No.</w:t>
            </w:r>
          </w:p>
        </w:tc>
        <w:tc>
          <w:tcPr>
            <w:tcW w:w="1200" w:type="dxa"/>
          </w:tcPr>
          <w:p w:rsidR="00D5771A" w:rsidRPr="00A102D3" w:rsidRDefault="00D5771A" w:rsidP="00A102D3">
            <w:pPr>
              <w:jc w:val="center"/>
              <w:cnfStyle w:val="100000000000"/>
              <w:rPr>
                <w:rFonts w:ascii="Century" w:hAnsi="Century"/>
                <w:sz w:val="22"/>
                <w:szCs w:val="22"/>
              </w:rPr>
            </w:pPr>
            <w:r w:rsidRPr="00A102D3">
              <w:rPr>
                <w:rFonts w:ascii="Century" w:hAnsi="Century"/>
                <w:sz w:val="22"/>
                <w:szCs w:val="22"/>
              </w:rPr>
              <w:t>Tekanan Darah</w:t>
            </w:r>
          </w:p>
        </w:tc>
        <w:tc>
          <w:tcPr>
            <w:tcW w:w="1346" w:type="dxa"/>
          </w:tcPr>
          <w:p w:rsidR="00D5771A" w:rsidRPr="00A102D3" w:rsidRDefault="00D5771A" w:rsidP="00A102D3">
            <w:pPr>
              <w:jc w:val="center"/>
              <w:cnfStyle w:val="100000000000"/>
              <w:rPr>
                <w:rFonts w:ascii="Century" w:hAnsi="Century"/>
                <w:sz w:val="22"/>
                <w:szCs w:val="22"/>
              </w:rPr>
            </w:pPr>
            <w:r w:rsidRPr="00A102D3">
              <w:rPr>
                <w:rFonts w:ascii="Century" w:hAnsi="Century"/>
                <w:sz w:val="22"/>
                <w:szCs w:val="22"/>
              </w:rPr>
              <w:t>Frekuensi</w:t>
            </w:r>
          </w:p>
        </w:tc>
        <w:tc>
          <w:tcPr>
            <w:tcW w:w="1440" w:type="dxa"/>
          </w:tcPr>
          <w:p w:rsidR="00D5771A" w:rsidRPr="00A102D3" w:rsidRDefault="00D5771A" w:rsidP="00A102D3">
            <w:pPr>
              <w:jc w:val="center"/>
              <w:cnfStyle w:val="100000000000"/>
              <w:rPr>
                <w:rFonts w:ascii="Century" w:hAnsi="Century"/>
                <w:sz w:val="22"/>
                <w:szCs w:val="22"/>
              </w:rPr>
            </w:pPr>
            <w:r w:rsidRPr="00A102D3">
              <w:rPr>
                <w:rFonts w:ascii="Century" w:hAnsi="Century"/>
                <w:sz w:val="22"/>
                <w:szCs w:val="22"/>
              </w:rPr>
              <w:t>Persentase</w:t>
            </w:r>
          </w:p>
        </w:tc>
      </w:tr>
      <w:tr w:rsidR="00D5771A" w:rsidRPr="00A102D3" w:rsidTr="00F07174">
        <w:trPr>
          <w:cnfStyle w:val="000000100000"/>
        </w:trPr>
        <w:tc>
          <w:tcPr>
            <w:cnfStyle w:val="001000000000"/>
            <w:tcW w:w="599" w:type="dxa"/>
          </w:tcPr>
          <w:p w:rsidR="00D5771A" w:rsidRPr="00A102D3" w:rsidRDefault="00D5771A" w:rsidP="00A102D3">
            <w:pPr>
              <w:jc w:val="center"/>
              <w:rPr>
                <w:rFonts w:ascii="Century" w:hAnsi="Century"/>
                <w:sz w:val="22"/>
                <w:szCs w:val="22"/>
              </w:rPr>
            </w:pPr>
            <w:r w:rsidRPr="00A102D3">
              <w:rPr>
                <w:rFonts w:ascii="Century" w:hAnsi="Century"/>
                <w:sz w:val="22"/>
                <w:szCs w:val="22"/>
              </w:rPr>
              <w:t>1</w:t>
            </w:r>
          </w:p>
        </w:tc>
        <w:tc>
          <w:tcPr>
            <w:tcW w:w="1200" w:type="dxa"/>
          </w:tcPr>
          <w:p w:rsidR="00D5771A" w:rsidRPr="00A102D3" w:rsidRDefault="00D5771A" w:rsidP="00A102D3">
            <w:pPr>
              <w:jc w:val="center"/>
              <w:cnfStyle w:val="000000100000"/>
              <w:rPr>
                <w:rFonts w:ascii="Century" w:hAnsi="Century"/>
                <w:sz w:val="22"/>
                <w:szCs w:val="22"/>
              </w:rPr>
            </w:pPr>
            <w:r w:rsidRPr="00A102D3">
              <w:rPr>
                <w:rFonts w:ascii="Century" w:hAnsi="Century"/>
                <w:sz w:val="22"/>
                <w:szCs w:val="22"/>
              </w:rPr>
              <w:t>≤ 120/80</w:t>
            </w:r>
          </w:p>
        </w:tc>
        <w:tc>
          <w:tcPr>
            <w:tcW w:w="1346" w:type="dxa"/>
          </w:tcPr>
          <w:p w:rsidR="00D5771A" w:rsidRPr="00A102D3" w:rsidRDefault="00D5771A" w:rsidP="00A102D3">
            <w:pPr>
              <w:jc w:val="center"/>
              <w:cnfStyle w:val="000000100000"/>
              <w:rPr>
                <w:rFonts w:ascii="Century" w:hAnsi="Century"/>
                <w:sz w:val="22"/>
                <w:szCs w:val="22"/>
              </w:rPr>
            </w:pPr>
            <w:r w:rsidRPr="00A102D3">
              <w:rPr>
                <w:rFonts w:ascii="Century" w:hAnsi="Century"/>
                <w:sz w:val="22"/>
                <w:szCs w:val="22"/>
              </w:rPr>
              <w:t>17</w:t>
            </w:r>
          </w:p>
        </w:tc>
        <w:tc>
          <w:tcPr>
            <w:tcW w:w="1440" w:type="dxa"/>
          </w:tcPr>
          <w:p w:rsidR="00D5771A" w:rsidRPr="00A102D3" w:rsidRDefault="00D5771A" w:rsidP="00A102D3">
            <w:pPr>
              <w:jc w:val="center"/>
              <w:cnfStyle w:val="000000100000"/>
              <w:rPr>
                <w:rFonts w:ascii="Century" w:hAnsi="Century"/>
                <w:sz w:val="22"/>
                <w:szCs w:val="22"/>
              </w:rPr>
            </w:pPr>
            <w:r w:rsidRPr="00A102D3">
              <w:rPr>
                <w:rFonts w:ascii="Century" w:hAnsi="Century"/>
                <w:sz w:val="22"/>
                <w:szCs w:val="22"/>
              </w:rPr>
              <w:t>56,7%</w:t>
            </w:r>
          </w:p>
        </w:tc>
      </w:tr>
      <w:tr w:rsidR="00D5771A" w:rsidRPr="00A102D3" w:rsidTr="00F07174">
        <w:tc>
          <w:tcPr>
            <w:cnfStyle w:val="001000000000"/>
            <w:tcW w:w="599" w:type="dxa"/>
          </w:tcPr>
          <w:p w:rsidR="00D5771A" w:rsidRPr="00A102D3" w:rsidRDefault="00D5771A" w:rsidP="00A102D3">
            <w:pPr>
              <w:jc w:val="center"/>
              <w:rPr>
                <w:rFonts w:ascii="Century" w:hAnsi="Century"/>
                <w:sz w:val="22"/>
                <w:szCs w:val="22"/>
              </w:rPr>
            </w:pPr>
            <w:r w:rsidRPr="00A102D3">
              <w:rPr>
                <w:rFonts w:ascii="Century" w:hAnsi="Century"/>
                <w:sz w:val="22"/>
                <w:szCs w:val="22"/>
              </w:rPr>
              <w:t>2</w:t>
            </w:r>
          </w:p>
        </w:tc>
        <w:tc>
          <w:tcPr>
            <w:tcW w:w="1200" w:type="dxa"/>
          </w:tcPr>
          <w:p w:rsidR="00D5771A" w:rsidRPr="00A102D3" w:rsidRDefault="00D5771A" w:rsidP="00A102D3">
            <w:pPr>
              <w:jc w:val="center"/>
              <w:cnfStyle w:val="000000000000"/>
              <w:rPr>
                <w:rFonts w:ascii="Century" w:hAnsi="Century"/>
                <w:sz w:val="22"/>
                <w:szCs w:val="22"/>
              </w:rPr>
            </w:pPr>
            <w:r w:rsidRPr="00A102D3">
              <w:rPr>
                <w:rFonts w:ascii="Century" w:hAnsi="Century"/>
                <w:sz w:val="22"/>
                <w:szCs w:val="22"/>
              </w:rPr>
              <w:t>121/81– 139/89</w:t>
            </w:r>
          </w:p>
        </w:tc>
        <w:tc>
          <w:tcPr>
            <w:tcW w:w="1346" w:type="dxa"/>
          </w:tcPr>
          <w:p w:rsidR="00D5771A" w:rsidRPr="00A102D3" w:rsidRDefault="00D5771A" w:rsidP="00A102D3">
            <w:pPr>
              <w:jc w:val="center"/>
              <w:cnfStyle w:val="000000000000"/>
              <w:rPr>
                <w:rFonts w:ascii="Century" w:hAnsi="Century"/>
                <w:sz w:val="22"/>
                <w:szCs w:val="22"/>
              </w:rPr>
            </w:pPr>
            <w:r w:rsidRPr="00A102D3">
              <w:rPr>
                <w:rFonts w:ascii="Century" w:hAnsi="Century"/>
                <w:sz w:val="22"/>
                <w:szCs w:val="22"/>
              </w:rPr>
              <w:t>5</w:t>
            </w:r>
          </w:p>
        </w:tc>
        <w:tc>
          <w:tcPr>
            <w:tcW w:w="1440" w:type="dxa"/>
          </w:tcPr>
          <w:p w:rsidR="00D5771A" w:rsidRPr="00A102D3" w:rsidRDefault="00D5771A" w:rsidP="00A102D3">
            <w:pPr>
              <w:jc w:val="center"/>
              <w:cnfStyle w:val="000000000000"/>
              <w:rPr>
                <w:rFonts w:ascii="Century" w:hAnsi="Century"/>
                <w:sz w:val="22"/>
                <w:szCs w:val="22"/>
              </w:rPr>
            </w:pPr>
            <w:r w:rsidRPr="00A102D3">
              <w:rPr>
                <w:rFonts w:ascii="Century" w:hAnsi="Century"/>
                <w:sz w:val="22"/>
                <w:szCs w:val="22"/>
              </w:rPr>
              <w:t>16,7%</w:t>
            </w:r>
          </w:p>
        </w:tc>
      </w:tr>
      <w:tr w:rsidR="00D5771A" w:rsidRPr="00A102D3" w:rsidTr="00F07174">
        <w:trPr>
          <w:cnfStyle w:val="000000100000"/>
        </w:trPr>
        <w:tc>
          <w:tcPr>
            <w:cnfStyle w:val="001000000000"/>
            <w:tcW w:w="599" w:type="dxa"/>
          </w:tcPr>
          <w:p w:rsidR="00D5771A" w:rsidRPr="00A102D3" w:rsidRDefault="00D5771A" w:rsidP="00A102D3">
            <w:pPr>
              <w:jc w:val="center"/>
              <w:rPr>
                <w:rFonts w:ascii="Century" w:hAnsi="Century"/>
                <w:sz w:val="22"/>
                <w:szCs w:val="22"/>
              </w:rPr>
            </w:pPr>
            <w:r w:rsidRPr="00A102D3">
              <w:rPr>
                <w:rFonts w:ascii="Century" w:hAnsi="Century"/>
                <w:sz w:val="22"/>
                <w:szCs w:val="22"/>
              </w:rPr>
              <w:t>3</w:t>
            </w:r>
          </w:p>
        </w:tc>
        <w:tc>
          <w:tcPr>
            <w:tcW w:w="1200" w:type="dxa"/>
          </w:tcPr>
          <w:p w:rsidR="00D5771A" w:rsidRPr="00A102D3" w:rsidRDefault="00D5771A" w:rsidP="00A102D3">
            <w:pPr>
              <w:jc w:val="center"/>
              <w:cnfStyle w:val="000000100000"/>
              <w:rPr>
                <w:rFonts w:ascii="Century" w:hAnsi="Century"/>
                <w:sz w:val="22"/>
                <w:szCs w:val="22"/>
              </w:rPr>
            </w:pPr>
            <w:r w:rsidRPr="00A102D3">
              <w:rPr>
                <w:rFonts w:ascii="Century" w:hAnsi="Century"/>
                <w:sz w:val="22"/>
                <w:szCs w:val="22"/>
              </w:rPr>
              <w:t>≥ 140/90</w:t>
            </w:r>
          </w:p>
        </w:tc>
        <w:tc>
          <w:tcPr>
            <w:tcW w:w="1346" w:type="dxa"/>
          </w:tcPr>
          <w:p w:rsidR="00D5771A" w:rsidRPr="00A102D3" w:rsidRDefault="00D5771A" w:rsidP="00A102D3">
            <w:pPr>
              <w:jc w:val="center"/>
              <w:cnfStyle w:val="000000100000"/>
              <w:rPr>
                <w:rFonts w:ascii="Century" w:hAnsi="Century"/>
                <w:sz w:val="22"/>
                <w:szCs w:val="22"/>
              </w:rPr>
            </w:pPr>
            <w:r w:rsidRPr="00A102D3">
              <w:rPr>
                <w:rFonts w:ascii="Century" w:hAnsi="Century"/>
                <w:sz w:val="22"/>
                <w:szCs w:val="22"/>
              </w:rPr>
              <w:t>8</w:t>
            </w:r>
          </w:p>
        </w:tc>
        <w:tc>
          <w:tcPr>
            <w:tcW w:w="1440" w:type="dxa"/>
          </w:tcPr>
          <w:p w:rsidR="00D5771A" w:rsidRPr="00A102D3" w:rsidRDefault="00D5771A" w:rsidP="00A102D3">
            <w:pPr>
              <w:jc w:val="center"/>
              <w:cnfStyle w:val="000000100000"/>
              <w:rPr>
                <w:rFonts w:ascii="Century" w:hAnsi="Century"/>
                <w:sz w:val="22"/>
                <w:szCs w:val="22"/>
              </w:rPr>
            </w:pPr>
            <w:r w:rsidRPr="00A102D3">
              <w:rPr>
                <w:rFonts w:ascii="Century" w:hAnsi="Century"/>
                <w:sz w:val="22"/>
                <w:szCs w:val="22"/>
              </w:rPr>
              <w:t>26,7%</w:t>
            </w:r>
          </w:p>
        </w:tc>
      </w:tr>
      <w:tr w:rsidR="00D5771A" w:rsidRPr="00A102D3" w:rsidTr="00F07174">
        <w:tc>
          <w:tcPr>
            <w:cnfStyle w:val="001000000000"/>
            <w:tcW w:w="599" w:type="dxa"/>
          </w:tcPr>
          <w:p w:rsidR="00D5771A" w:rsidRPr="00A102D3" w:rsidRDefault="00D5771A" w:rsidP="00A102D3">
            <w:pPr>
              <w:jc w:val="center"/>
              <w:rPr>
                <w:rFonts w:ascii="Century" w:hAnsi="Century"/>
                <w:sz w:val="22"/>
                <w:szCs w:val="22"/>
              </w:rPr>
            </w:pPr>
          </w:p>
        </w:tc>
        <w:tc>
          <w:tcPr>
            <w:tcW w:w="1200" w:type="dxa"/>
          </w:tcPr>
          <w:p w:rsidR="00D5771A" w:rsidRPr="00A102D3" w:rsidRDefault="00D5771A" w:rsidP="00A102D3">
            <w:pPr>
              <w:jc w:val="center"/>
              <w:cnfStyle w:val="000000000000"/>
              <w:rPr>
                <w:rFonts w:ascii="Century" w:hAnsi="Century"/>
                <w:b/>
                <w:sz w:val="22"/>
                <w:szCs w:val="22"/>
              </w:rPr>
            </w:pPr>
            <w:r w:rsidRPr="00A102D3">
              <w:rPr>
                <w:rFonts w:ascii="Century" w:hAnsi="Century"/>
                <w:b/>
                <w:sz w:val="22"/>
                <w:szCs w:val="22"/>
              </w:rPr>
              <w:t>Total</w:t>
            </w:r>
          </w:p>
        </w:tc>
        <w:tc>
          <w:tcPr>
            <w:tcW w:w="1346" w:type="dxa"/>
          </w:tcPr>
          <w:p w:rsidR="00D5771A" w:rsidRPr="00A102D3" w:rsidRDefault="00D5771A" w:rsidP="00A102D3">
            <w:pPr>
              <w:jc w:val="center"/>
              <w:cnfStyle w:val="000000000000"/>
              <w:rPr>
                <w:rFonts w:ascii="Century" w:hAnsi="Century"/>
                <w:sz w:val="22"/>
                <w:szCs w:val="22"/>
              </w:rPr>
            </w:pPr>
            <w:r w:rsidRPr="00A102D3">
              <w:rPr>
                <w:rFonts w:ascii="Century" w:hAnsi="Century"/>
                <w:sz w:val="22"/>
                <w:szCs w:val="22"/>
              </w:rPr>
              <w:t>30</w:t>
            </w:r>
          </w:p>
        </w:tc>
        <w:tc>
          <w:tcPr>
            <w:tcW w:w="1440" w:type="dxa"/>
          </w:tcPr>
          <w:p w:rsidR="00D5771A" w:rsidRPr="00A102D3" w:rsidRDefault="00D5771A" w:rsidP="00A102D3">
            <w:pPr>
              <w:jc w:val="center"/>
              <w:cnfStyle w:val="000000000000"/>
              <w:rPr>
                <w:rFonts w:ascii="Century" w:hAnsi="Century"/>
                <w:sz w:val="22"/>
                <w:szCs w:val="22"/>
              </w:rPr>
            </w:pPr>
            <w:r w:rsidRPr="00A102D3">
              <w:rPr>
                <w:rFonts w:ascii="Century" w:hAnsi="Century"/>
                <w:sz w:val="22"/>
                <w:szCs w:val="22"/>
              </w:rPr>
              <w:t>100%</w:t>
            </w:r>
          </w:p>
        </w:tc>
      </w:tr>
    </w:tbl>
    <w:p w:rsidR="00A102D3" w:rsidRDefault="00A102D3" w:rsidP="00A102D3">
      <w:pPr>
        <w:spacing w:line="276" w:lineRule="auto"/>
        <w:jc w:val="both"/>
        <w:rPr>
          <w:rFonts w:ascii="Century" w:hAnsi="Century"/>
        </w:rPr>
      </w:pPr>
    </w:p>
    <w:p w:rsidR="00A102D3" w:rsidRDefault="00D5771A" w:rsidP="00A102D3">
      <w:pPr>
        <w:spacing w:line="276" w:lineRule="auto"/>
        <w:ind w:firstLine="426"/>
        <w:jc w:val="both"/>
        <w:rPr>
          <w:rFonts w:ascii="Century" w:hAnsi="Century"/>
          <w:color w:val="FF0000"/>
        </w:rPr>
      </w:pPr>
      <w:r w:rsidRPr="00F07174">
        <w:rPr>
          <w:rFonts w:ascii="Century" w:hAnsi="Century"/>
        </w:rPr>
        <w:t xml:space="preserve">Faktor resiko hipertensi dapat terjadi dengan peningkatan usia </w:t>
      </w:r>
      <w:r w:rsidR="00713612" w:rsidRPr="00F07174">
        <w:rPr>
          <w:rFonts w:ascii="Century" w:hAnsi="Century"/>
        </w:rPr>
        <w:fldChar w:fldCharType="begin" w:fldLock="1"/>
      </w:r>
      <w:r w:rsidRPr="00F07174">
        <w:rPr>
          <w:rFonts w:ascii="Century" w:hAnsi="Century"/>
        </w:rPr>
        <w:instrText>ADDIN CSL_CITATION {"citationItems":[{"id":"ITEM-1","itemData":{"DOI":"10.26553/jikm.2017.8.3.180-191","ISSN":"20866380","abstract":"Latar Belakang: Peningkatan umur harapan hidup berkontribusi pada meningkatnya jumlah lanjut usia yang berdampak pada pergeseran pola penyakit dari penyakit infeksi ke penyakit degeneratif salah satunya Hipertensi. Di Indonesia hipertensi merupakan masalah yang potensial selain karena prevalensinya tinggi, juga penyakit yang diakibatkannya sangat fatal seperti penyakit jantung, stroke, gagal ginjal dan lain-lain. Penelitian ini bertujuan untuk menganalisis faktor-faktor risiko hipertensi. Metode: Penelitian ini menggunakan survey analitik dengan rancangan cross sectional pada bulan April-Mei 2015, Sampel diambil dari populasi yang memenuhi kriteria inklusi sebanyak 397. Pengambilan sampel dengan teknik multistage random sampling. Data dianalisis dengan menggunakan uji chi square dan regresi logistik ganda. Hasil Penelitian: Didapatkan angka kejadian hipertensi sebesar 22,9%. Terdapat hubungan yang signifikan antara umur (p=0,000; OR=6,55; 95% CI=3,17-13,52), riwayat keluarga (p=0,000; OR=4,60; 95% CI=2,707,83), kebiasaan merokok (OR=1,76; 95% CI=1,06-2,95); kebiasaan berolahraga (p=0,020; OR=1,77; 95% CI=1,09-2,88) dan Indeks Massa Tubuh (p=0,002; OR=2,52; 95% CI=1,40-4,53) dengan kejadian hipertensi Kesimpulan: Angka kejadian hipertensi di Kota Palembang tahun 2015 masih tinggi yaitu 22,9%. Faktor risiko kejadian hipertensi yang utama adalah umur (OR=6,138) berpeluang 6,1 kali lebih besar setelah di kontrol variabel lain.","author":[{"dropping-particle":"","family":"Sartik","given":"","non-dropping-particle":"","parse-names":false,"suffix":""},{"dropping-particle":"","family":"Tjekyan","given":"RM. Suryadi","non-dropping-particle":"","parse-names":false,"suffix":""},{"dropping-particle":"","family":"Zulkarnain","given":"M.","non-dropping-particle":"","parse-names":false,"suffix":""}],"container-title":"Jurnal Ilmu Kesehatan Masyarakat","id":"ITEM-1","issue":"3","issued":{"date-parts":[["2017"]]},"page":"180-191","title":"Faktor-faktor Risiko dan Angka Kejadian Hipertensi pada Penduduk Palembang","type":"article-journal","volume":"8"},"uris":["http://www.mendeley.com/documents/?uuid=5f29ee05-2d51-4e10-8ddc-84d3822d2e7a"]}],"mendeley":{"formattedCitation":"(Sartik, Tjekyan, &amp; Zulkarnain, 2017)","plainTextFormattedCitation":"(Sartik, Tjekyan, &amp; Zulkarnain, 2017)","previouslyFormattedCitation":"(Sartik, Tjekyan, &amp; Zulkarnain, 2017)"},"properties":{"noteIndex":0},"schema":"https://github.com/citation-style-language/schema/raw/master/csl-citation.json"}</w:instrText>
      </w:r>
      <w:r w:rsidR="00713612" w:rsidRPr="00F07174">
        <w:rPr>
          <w:rFonts w:ascii="Century" w:hAnsi="Century"/>
        </w:rPr>
        <w:fldChar w:fldCharType="separate"/>
      </w:r>
      <w:r w:rsidRPr="00F07174">
        <w:rPr>
          <w:rFonts w:ascii="Century" w:hAnsi="Century"/>
          <w:noProof/>
        </w:rPr>
        <w:t>(Sartik, Tjekyan, &amp; Zulkarnain, 2017)</w:t>
      </w:r>
      <w:r w:rsidR="00713612" w:rsidRPr="00F07174">
        <w:rPr>
          <w:rFonts w:ascii="Century" w:hAnsi="Century"/>
        </w:rPr>
        <w:fldChar w:fldCharType="end"/>
      </w:r>
      <w:r w:rsidRPr="00F07174">
        <w:rPr>
          <w:rFonts w:ascii="Century" w:hAnsi="Century"/>
          <w:lang w:val="id-ID"/>
        </w:rPr>
        <w:t>, d</w:t>
      </w:r>
      <w:r w:rsidRPr="00F07174">
        <w:rPr>
          <w:rFonts w:ascii="Century" w:hAnsi="Century"/>
        </w:rPr>
        <w:t xml:space="preserve">an kurangnya kesadaran dalam menerapkan pola makan dan gaya hidup sehat </w:t>
      </w:r>
      <w:r w:rsidR="00713612" w:rsidRPr="00F07174">
        <w:rPr>
          <w:rFonts w:ascii="Century" w:hAnsi="Century"/>
        </w:rPr>
        <w:fldChar w:fldCharType="begin" w:fldLock="1"/>
      </w:r>
      <w:r w:rsidRPr="00F07174">
        <w:rPr>
          <w:rFonts w:ascii="Century" w:hAnsi="Century"/>
        </w:rPr>
        <w:instrText>ADDIN CSL_CITATION {"citationItems":[{"id":"ITEM-1","itemData":{"author":[{"dropping-particle":"","family":"Widianto","given":"Ajikwa Ari","non-dropping-particle":"","parse-names":false,"suffix":""},{"dropping-particle":"","family":"Romdhoni","given":"Muhammad Fadhol","non-dropping-particle":"","parse-names":false,"suffix":""},{"dropping-particle":"","family":"Karita","given":"Dewi","non-dropping-particle":"","parse-names":false,"suffix":""},{"dropping-particle":"","family":"Purbowati","given":"Mustika Ratnaningsih","non-dropping-particle":"","parse-names":false,"suffix":""}],"container-title":"Fakultas Kedokteran, Universitas Muhammadiyah Purwokerto","id":"ITEM-1","issued":{"date-parts":[["2018"]]},"page":"58-67","title":"Hubungan Pola Makan Dan Gaya Hidup Dengan Angka Kejadian Hipertensi Pralansia Dan Lansia Di Wilayah Kerja Puskesmas I Kembaran","type":"article-journal","volume":"Vol.1 No.5"},"uris":["http://www.mendeley.com/documents/?uuid=3855c826-6e33-4715-bd4e-45ede4e5cdfb"]}],"mendeley":{"formattedCitation":"(Widianto, Romdhoni, Karita, &amp; Purbowati, 2018)","manualFormatting":"(Widianto, Romdhoni, Karita, &amp; Purbowati, 2018;","plainTextFormattedCitation":"(Widianto, Romdhoni, Karita, &amp; Purbowati, 2018)","previouslyFormattedCitation":"(Widianto, Romdhoni, Karita, &amp; Purbowati, 2018)"},"properties":{"noteIndex":0},"schema":"https://github.com/citation-style-language/schema/raw/master/csl-citation.json"}</w:instrText>
      </w:r>
      <w:r w:rsidR="00713612" w:rsidRPr="00F07174">
        <w:rPr>
          <w:rFonts w:ascii="Century" w:hAnsi="Century"/>
        </w:rPr>
        <w:fldChar w:fldCharType="separate"/>
      </w:r>
      <w:r w:rsidRPr="00F07174">
        <w:rPr>
          <w:rFonts w:ascii="Century" w:hAnsi="Century"/>
          <w:noProof/>
        </w:rPr>
        <w:t>(Widianto, Romdhoni, Karita, &amp; Purbowati, 2018</w:t>
      </w:r>
      <w:r w:rsidRPr="00F07174">
        <w:rPr>
          <w:rFonts w:ascii="Century" w:hAnsi="Century"/>
          <w:noProof/>
          <w:lang w:val="id-ID"/>
        </w:rPr>
        <w:t>;</w:t>
      </w:r>
      <w:r w:rsidR="00713612" w:rsidRPr="00F07174">
        <w:rPr>
          <w:rFonts w:ascii="Century" w:hAnsi="Century"/>
        </w:rPr>
        <w:fldChar w:fldCharType="end"/>
      </w:r>
      <w:r w:rsidR="00713612" w:rsidRPr="00F07174">
        <w:rPr>
          <w:rFonts w:ascii="Century" w:hAnsi="Century"/>
        </w:rPr>
        <w:fldChar w:fldCharType="begin" w:fldLock="1"/>
      </w:r>
      <w:r w:rsidRPr="00F07174">
        <w:rPr>
          <w:rFonts w:ascii="Century" w:hAnsi="Century"/>
        </w:rPr>
        <w:instrText>ADDIN CSL_CITATION {"citationItems":[{"id":"ITEM-1","itemData":{"ISSN":"2302-1349","abstract":"Abstrack:Hypertension is one of degenerative disease caused by increased blood pressure beyond normal limits. The number of cases of hypertension in Ranomuut Health Center high. From march 2014 until October 2015 reach to 1.126 cases at the age 60-74 years. Research Purpose : to identify the correlation between food consumption with the incidence of hypertension in Ranomuut Health Center Manado City. Methods :this type of research is observasional analytic cross sectional study with purposive sampling technique. The study involved 47 elderly as respondents. The instruments used in this study is food frequention questionnaires or FFQ, sphygmomanometer and stethoscope.Result :Analysis using Fisher Exact Test and showed there is relationship with the consumption of salty foods and incidence of hypertension (p=0,000) while the consumption of fatty foods (p=0,464) and the consumption of sweet foods (0,728) there was no association with the incidence of hypertension.Conclusion :there is a relationship between the consumption of salty food with the incidence of hypertension in the elderly in Ranomuut Health Center Manado City. Suggestion: for the further study can examine each variable food consumption take effect of hypertension incidence and how strong the relationship both variables.","author":[{"dropping-particle":"","family":"Andriaansz","given":"Patricia N.","non-dropping-particle":"","parse-names":false,"suffix":""},{"dropping-particle":"","family":"Rottie","given":"Julia","non-dropping-particle":"","parse-names":false,"suffix":""},{"dropping-particle":"","family":"Lolong","given":"Jill","non-dropping-particle":"","parse-names":false,"suffix":""}],"container-title":"Jurnal Keperawatan","id":"ITEM-1","issue":"1","issued":{"date-parts":[["2016"]]},"title":"Hubungan Konsumsi Makanan Dengan Kejadian Hipertensi Pada Lansia Di Puskesmasranomuut Kota Manado","type":"article-journal","volume":"4"},"uris":["http://www.mendeley.com/documents/?uuid=fadc1643-2cc5-45bd-993a-702c7e96b281"]}],"mendeley":{"formattedCitation":"(Andriaansz, Rottie, &amp; Lolong, 2016)","manualFormatting":"Andriaansz, Rottie, &amp; Lolong, 2016)","plainTextFormattedCitation":"(Andriaansz, Rottie, &amp; Lolong, 2016)","previouslyFormattedCitation":"(Andriaansz, Rottie, &amp; Lolong, 2016)"},"properties":{"noteIndex":0},"schema":"https://github.com/citation-style-language/schema/raw/master/csl-citation.json"}</w:instrText>
      </w:r>
      <w:r w:rsidR="00713612" w:rsidRPr="00F07174">
        <w:rPr>
          <w:rFonts w:ascii="Century" w:hAnsi="Century"/>
        </w:rPr>
        <w:fldChar w:fldCharType="separate"/>
      </w:r>
      <w:r w:rsidRPr="00F07174">
        <w:rPr>
          <w:rFonts w:ascii="Century" w:hAnsi="Century"/>
          <w:noProof/>
        </w:rPr>
        <w:t>Andriaansz, Rottie, &amp; Lolong, 2016)</w:t>
      </w:r>
      <w:r w:rsidR="00713612" w:rsidRPr="00F07174">
        <w:rPr>
          <w:rFonts w:ascii="Century" w:hAnsi="Century"/>
        </w:rPr>
        <w:fldChar w:fldCharType="end"/>
      </w:r>
      <w:r w:rsidRPr="00F07174">
        <w:rPr>
          <w:rFonts w:ascii="Century" w:hAnsi="Century"/>
          <w:lang w:val="id-ID"/>
        </w:rPr>
        <w:t xml:space="preserve"> </w:t>
      </w:r>
      <w:r w:rsidRPr="00F07174">
        <w:rPr>
          <w:rFonts w:ascii="Century" w:hAnsi="Century"/>
        </w:rPr>
        <w:t xml:space="preserve">sepertipola tidur buruk </w:t>
      </w:r>
      <w:r w:rsidR="00713612" w:rsidRPr="00F07174">
        <w:rPr>
          <w:rFonts w:ascii="Century" w:hAnsi="Century"/>
        </w:rPr>
        <w:fldChar w:fldCharType="begin" w:fldLock="1"/>
      </w:r>
      <w:r w:rsidRPr="00F07174">
        <w:rPr>
          <w:rFonts w:ascii="Century" w:hAnsi="Century"/>
        </w:rPr>
        <w:instrText>ADDIN CSL_CITATION {"citationItems":[{"id":"ITEM-1","itemData":{"DOI":"10.20473/jbe.v4i3","abstract":"ABSTRAK WHO menyatakan bahwa polusi udara berkontribusi terhadap 7 juta kematian di dunia setiap tahunnya, sekitar 4 juta kematian disebabkan oleh polusi udara dalam ruangan dan 3 juta kematian diakibatkan oleh polusi udara luar ruangan. Salah satu masalah kesehatan yang ditimbulkan dari polusi udara adalah ISPA yang diketahui berada di urutan pertama dari sepuluh besar penyakit pada 80% propinsi di Indonesia. Penelitian ini merupakan penelitian observasional analitik dengan menggunakan rancang bangun case control. Besar sampel menggunakan teknik pengambilan sampel systematic random sampling. Untuk mengetahui hubungan dan besar risiko, penelitian ini menggunakan uji statistik chi square. Hasil penelitian menunjukkan bahwa ada hubungan antara perilaku berkendara yang terdiri dari pemakaian APD (p = 0,008) dan kecepatan rata-rata berkendara (p = 0,001) dengan kejadian ISPA. Jarak tempuh (p = 0,001) berhubungan dengan kejadian ISPA. Responden yang tidak memakai APD lebih berisiko mengalami ISPA 2,6 kali dibandingkan responden yang selalu memakai APD. Kecepatan rata-rata berkendara &lt; 40 km/jam memiliki risiko mengalami ISPA 5,4 kali dibandingkan responden dengan kecepatan &gt; 40 km/jam. Jarak tempuh ≥ 5 km memiliki risiko ISPA 5,156 kali dibandingkan responden dengan jarak tempuh &lt; 5km. Disimpulkan bahwa perilaku berkendara dan jarak tempuh berhubungan dengan kejadian ISPA. Disarankan agar petugas PLK Unair kampus C memberikan brosur dan penyuluhan pentingnya menggunakan APD dan perilaku berkendara untuk menurunkan angka kejadian ISPA. Kata kunci: perilaku berkendara, jarak tempuh, ISPA ABSTRACT WHO states air pollution contributes to 7 million deaths each year in the world, 4 million deaths due to indoor pollution and 3 million deaths due to outdoor pollution. One of the health problems arising from air pollution is upper respiratory infection in the fi rst sequence of ten major disease on 80% provinces in Indonesia. The purpose of this study is to analyze the correlation between driving behavior and mileage with the incidence of URI on students at Universitas Airlangga. This study used observational analytic study and case control design. The sample size used systematic random sampling technique. To determine the correlation and odd ratio, this study used a chi square. The results showed that there was a correlation and risk between driving behavior consist of the used Personal Protection Equipment (PPE) and speed drive with the incidence of URI. Mileage wa…","author":[{"dropping-particle":"","family":"Roshifanni","given":"Shofa","non-dropping-particle":"","parse-names":false,"suffix":""}],"container-title":"Jurnal Berkala Epidemiologi","id":"ITEM-1","issue":"3","issued":{"date-parts":[["2016"]]},"page":"384-395","title":"Risiko Hipertensi pada Orang dengan Pola Tidur Buruk","type":"article-journal","volume":"4"},"uris":["http://www.mendeley.com/documents/?uuid=dea3f0e8-fee0-4ff9-902e-23259a8254dd"]}],"mendeley":{"formattedCitation":"(Roshifanni, 2016)","plainTextFormattedCitation":"(Roshifanni, 2016)","previouslyFormattedCitation":"(Roshifanni, 2016)"},"properties":{"noteIndex":0},"schema":"https://github.com/citation-style-language/schema/raw/master/csl-citation.json"}</w:instrText>
      </w:r>
      <w:r w:rsidR="00713612" w:rsidRPr="00F07174">
        <w:rPr>
          <w:rFonts w:ascii="Century" w:hAnsi="Century"/>
        </w:rPr>
        <w:fldChar w:fldCharType="separate"/>
      </w:r>
      <w:r w:rsidRPr="00F07174">
        <w:rPr>
          <w:rFonts w:ascii="Century" w:hAnsi="Century"/>
          <w:noProof/>
        </w:rPr>
        <w:t>(Roshifanni, 2016)</w:t>
      </w:r>
      <w:r w:rsidR="00713612" w:rsidRPr="00F07174">
        <w:rPr>
          <w:rFonts w:ascii="Century" w:hAnsi="Century"/>
        </w:rPr>
        <w:fldChar w:fldCharType="end"/>
      </w:r>
      <w:r w:rsidRPr="00F07174">
        <w:rPr>
          <w:rFonts w:ascii="Century" w:hAnsi="Century"/>
          <w:lang w:val="id-ID"/>
        </w:rPr>
        <w:t xml:space="preserve">, </w:t>
      </w:r>
      <w:r w:rsidRPr="00F07174">
        <w:rPr>
          <w:rFonts w:ascii="Century" w:hAnsi="Century"/>
        </w:rPr>
        <w:t>aktivitas</w:t>
      </w:r>
      <w:r w:rsidRPr="00F07174">
        <w:rPr>
          <w:rFonts w:ascii="Century" w:hAnsi="Century"/>
          <w:lang w:val="id-ID"/>
        </w:rPr>
        <w:t xml:space="preserve"> </w:t>
      </w:r>
      <w:r w:rsidRPr="00F07174">
        <w:rPr>
          <w:rFonts w:ascii="Century" w:hAnsi="Century"/>
        </w:rPr>
        <w:t>olahraga yang terbatas</w:t>
      </w:r>
      <w:r w:rsidRPr="00F07174">
        <w:rPr>
          <w:rFonts w:ascii="Century" w:hAnsi="Century"/>
          <w:lang w:val="id-ID"/>
        </w:rPr>
        <w:t xml:space="preserve"> </w:t>
      </w:r>
      <w:r w:rsidR="00713612" w:rsidRPr="00F07174">
        <w:rPr>
          <w:rFonts w:ascii="Century" w:hAnsi="Century"/>
        </w:rPr>
        <w:fldChar w:fldCharType="begin" w:fldLock="1"/>
      </w:r>
      <w:r w:rsidRPr="00F07174">
        <w:rPr>
          <w:rFonts w:ascii="Century" w:hAnsi="Century"/>
        </w:rPr>
        <w:instrText>ADDIN CSL_CITATION {"citationItems":[{"id":"ITEM-1","itemData":{"abstract":"ABSTRAK Resiko Hipertensi di Indonesia termasuk tinggi, perubahan gaya hidup menyebabkan peningkatan prevalensi Hipertensi, pola diet dan kebiasaan berolahraga dapat rnenstabilkan tekanan darah. Riskesda tahun 2007 prevalensi hipertensi di Indonesia sebesar 3 1,7%. Tujuan penelitian ini mengetahui hubungan pola diet dan kebiasaan berolahraga dengan terkontrolnya tekanan darah pada penderita hipertensi di Puskesmas PadangPasir tahun 2011. Jumlah responden pada penelitian ini 78 orang. Data pola diet,kebiasaan berolahraga dikumpulkan menggunakan kuesioner, pengukuran tekanan darah menggunakan tensirneter. Penelitian dengan desain cross sectional dilaksanakan pada bulan Januari sampai Agustus 2011. Pengambilan sampel purposif sampling. Hasil penelitian ini 82,1% responden tekanan darahnya tidak terkontrol,56,4% mempunyai pola diet kurang baik, 80,8% kebiasaan berolahraga tidak baik. Analisa bivariat terdapat hubungan yang signifikan antara pola diet dengan terkontrolnya tekanan darah pada penderita hipertensi, (p&lt;0,05) dan terdapat hubungan yang signifikan antara kebiasaan berolahrga dengan terkontrolnya tekanan darah penderita hipertensi dengan (p&lt; 0,05). Disarankan kepada pimpinan puskesmas Padang Pasir untuk melaksanakan konseling diet, penyuluhan tentang olahraga dan upaya deteksi dinipenderita hipertensi. KataKunci :Pola diet,Kebiasaan Berolahraga,Tekanan DarahHipertensi ABSTRACT The risk of hypertension in Indonesia relatively was high. Lifestyle changes caused to an increase in the prevalence ofhypertension, diet and exercise habits can stabilize bloodpressure.Riskesda in2007 the prevalence of hypertension of 3 1.7% inIndonesia. Purpose of this research was know relationship between diet and exercise habits with controlled bloodpressure at hypertensive patients on Public Health Center Padang Pasir in 20 11. The number of respondents in this study 78 people. Diet paterns data, exercise habits were collected using a questionnaire, blood pressure measurement using tensirneter. Research with cross sectional design conducted from January to August 20 11. Sampling was purposive sampling. The results of this study 82.1% of respondents bloodpressure was not controlled, 56.4% had a poor diet, 80.8% was not good exercise habits. Bivariate analysis found a significant association between dietary patterns with uncontrolled blood pressure in people with hypertension, (p &lt;0.05) and a significant relationship between habitual exercised with uncontrolled hypertensi…","author":[{"dropping-particle":"","family":"Herawati","given":"","non-dropping-particle":"","parse-names":false,"suffix":""},{"dropping-particle":"","family":"Sartika","given":"Wiwi","non-dropping-particle":"","parse-names":false,"suffix":""}],"id":"ITEM-1","issue":"1","issued":{"date-parts":[["2013"]]},"page":"8-14","title":"Terkontrolnya Tekanan Darah Penderita Hipertensi Berdasarkan Pola Diet Dan Kebiasaan Olah Raga Dipadang Tahun 2011","type":"article-journal","volume":"8"},"uris":["http://www.mendeley.com/documents/?uuid=2341aa8a-a875-4482-b865-59ae3d1704bc"]}],"mendeley":{"formattedCitation":"(Herawati &amp; Sartika, 2013)","plainTextFormattedCitation":"(Herawati &amp; Sartika, 2013)","previouslyFormattedCitation":"(Herawati &amp; Sartika, 2013)"},"properties":{"noteIndex":0},"schema":"https://github.com/citation-style-language/schema/raw/master/csl-citation.json"}</w:instrText>
      </w:r>
      <w:r w:rsidR="00713612" w:rsidRPr="00F07174">
        <w:rPr>
          <w:rFonts w:ascii="Century" w:hAnsi="Century"/>
        </w:rPr>
        <w:fldChar w:fldCharType="separate"/>
      </w:r>
      <w:r w:rsidRPr="00F07174">
        <w:rPr>
          <w:rFonts w:ascii="Century" w:hAnsi="Century"/>
          <w:noProof/>
        </w:rPr>
        <w:t>(Herawati &amp; Sartika, 2013)</w:t>
      </w:r>
      <w:r w:rsidR="00713612" w:rsidRPr="00F07174">
        <w:rPr>
          <w:rFonts w:ascii="Century" w:hAnsi="Century"/>
        </w:rPr>
        <w:fldChar w:fldCharType="end"/>
      </w:r>
      <w:r w:rsidRPr="00F07174">
        <w:rPr>
          <w:rFonts w:ascii="Century" w:hAnsi="Century"/>
        </w:rPr>
        <w:t>,serta</w:t>
      </w:r>
      <w:r w:rsidR="00FE21B8">
        <w:rPr>
          <w:rFonts w:ascii="Century" w:hAnsi="Century"/>
        </w:rPr>
        <w:t xml:space="preserve"> </w:t>
      </w:r>
      <w:r w:rsidRPr="00F07174">
        <w:rPr>
          <w:rFonts w:ascii="Century" w:hAnsi="Century"/>
        </w:rPr>
        <w:t>obesitas dan stres</w:t>
      </w:r>
      <w:r w:rsidRPr="00F07174">
        <w:rPr>
          <w:rFonts w:ascii="Century" w:hAnsi="Century"/>
          <w:lang w:val="id-ID"/>
        </w:rPr>
        <w:t xml:space="preserve"> </w:t>
      </w:r>
      <w:r w:rsidR="00713612" w:rsidRPr="00F07174">
        <w:rPr>
          <w:rFonts w:ascii="Century" w:hAnsi="Century"/>
        </w:rPr>
        <w:fldChar w:fldCharType="begin" w:fldLock="1"/>
      </w:r>
      <w:r w:rsidRPr="00F07174">
        <w:rPr>
          <w:rFonts w:ascii="Century" w:hAnsi="Century"/>
        </w:rPr>
        <w:instrText>ADDIN CSL_CITATION {"citationItems":[{"id":"ITEM-1","itemData":{"DOI":"10.15294/kemas.v7i2.2806","ISSN":"2355-3596","abstract":"Wanita pekerja seksual (WPS) merupakan perilaku berisiko tinggi terjadinya infeksi HIV/AIDS. Penelitian terdahulu di resosialisasi Argorejo Semarang menunjukkan rendahnya konsistensi penggunaan kondom pada WPS/pasangannya (hanya 56,3%). Permasalahan dalam penelitian ini adalah faktor apakah yang berhubungan dengan konsistensi penggunaan kondom. Tujuan penelitian untuk mengetahui faktor yang berhubungan dengan konsistensi penggunaan kondom pada WPS/pasangannya. Metode penelitian survei, melibatkan 140 WPS di resosialisasi Argorejo Semarang. Variabel bebas penelitian meliputi pengetahuan tentang PMS dan HIV/AIDS, sikap terhadap penggunaan kondom, akses informasi tentang IMS dan HIV/AIDS, persepsi pelanggan tentang kemampuan melakukan hubungan seks aman, dan dukungan germo. Variabel terikat adalah konsistensi penggunaan kondom. Hasil penelitian menunjukkan angka konsistensi penggunaan kondom sebesar 62,9 %. Faktor yang terbukti berhubungan dengan praktik penggunaan kondom adalah pengetahuan WPS tentang IMS dan HIV/AIDS, sikap WPS terhadap penggunaan kondom, akses informasi tentang IMS dan HIV/AIDS, persepsi pelanggan tentang kemampuan untuk melakukan perilaku seks secara aman, serta dukungan germo. Simpulan penelitian, pengetahuan,sikap, akses informasi, persepsi, dan dukungan germo berpengaruh terhadap penggunaan kondom.","author":[{"dropping-particle":"","family":"Korneliani","given":"Kiki","non-dropping-particle":"","parse-names":false,"suffix":""},{"dropping-particle":"","family":"Meida","given":"Dida","non-dropping-particle":"","parse-names":false,"suffix":""}],"container-title":"KESMAS - Jurnal Kesehatan Masyarakat","id":"ITEM-1","issue":"2","issued":{"date-parts":[["2012"]]},"page":"117-121","title":"Obesitas Dan Stress Dengan Kejadian Hipertensi","type":"article-journal","volume":"7"},"uris":["http://www.mendeley.com/documents/?uuid=f1e300fa-877a-4aa9-b6d7-8768b24a9e8f"]}],"mendeley":{"formattedCitation":"(Korneliani &amp; Meida, 2012)","plainTextFormattedCitation":"(Korneliani &amp; Meida, 2012)","previouslyFormattedCitation":"(Korneliani &amp; Meida, 2012)"},"properties":{"noteIndex":0},"schema":"https://github.com/citation-style-language/schema/raw/master/csl-citation.json"}</w:instrText>
      </w:r>
      <w:r w:rsidR="00713612" w:rsidRPr="00F07174">
        <w:rPr>
          <w:rFonts w:ascii="Century" w:hAnsi="Century"/>
        </w:rPr>
        <w:fldChar w:fldCharType="separate"/>
      </w:r>
      <w:r w:rsidRPr="00F07174">
        <w:rPr>
          <w:rFonts w:ascii="Century" w:hAnsi="Century"/>
          <w:noProof/>
        </w:rPr>
        <w:t>(Korneliani &amp; Meida, 2012)</w:t>
      </w:r>
      <w:r w:rsidR="00713612" w:rsidRPr="00F07174">
        <w:rPr>
          <w:rFonts w:ascii="Century" w:hAnsi="Century"/>
        </w:rPr>
        <w:fldChar w:fldCharType="end"/>
      </w:r>
      <w:r w:rsidRPr="00F07174">
        <w:rPr>
          <w:rFonts w:ascii="Century" w:hAnsi="Century"/>
          <w:lang w:val="id-ID"/>
        </w:rPr>
        <w:t>.</w:t>
      </w:r>
    </w:p>
    <w:p w:rsidR="00D5771A" w:rsidRPr="00A102D3" w:rsidRDefault="00D5771A" w:rsidP="00A102D3">
      <w:pPr>
        <w:spacing w:line="276" w:lineRule="auto"/>
        <w:ind w:firstLine="426"/>
        <w:jc w:val="both"/>
        <w:rPr>
          <w:rFonts w:ascii="Century" w:hAnsi="Century"/>
          <w:color w:val="FF0000"/>
        </w:rPr>
      </w:pPr>
      <w:r w:rsidRPr="00F07174">
        <w:rPr>
          <w:rFonts w:ascii="Century" w:hAnsi="Century"/>
        </w:rPr>
        <w:t xml:space="preserve">Edukasi yang diberikan kepada </w:t>
      </w:r>
      <w:r w:rsidRPr="00F07174">
        <w:rPr>
          <w:rFonts w:ascii="Century" w:hAnsi="Century" w:cstheme="majorBidi"/>
        </w:rPr>
        <w:t xml:space="preserve">masyarakat Desa Tebat Patah melalui penyuluhan telah mendorong partisipasi masyarakat dalam </w:t>
      </w:r>
      <w:r w:rsidRPr="00F07174">
        <w:rPr>
          <w:rFonts w:ascii="Century" w:hAnsi="Century" w:cstheme="majorBidi"/>
          <w:shd w:val="clear" w:color="auto" w:fill="FFFFFF"/>
        </w:rPr>
        <w:t xml:space="preserve">meningkatkan pemahaman serta kesadaran terhadap perilaku hidup sehat dan </w:t>
      </w:r>
      <w:r w:rsidRPr="00F07174">
        <w:rPr>
          <w:rFonts w:ascii="Century" w:hAnsi="Century" w:cstheme="majorBidi"/>
          <w:shd w:val="clear" w:color="auto" w:fill="FFFFFF"/>
        </w:rPr>
        <w:lastRenderedPageBreak/>
        <w:t>pemanfaatan bahan herbal</w:t>
      </w:r>
      <w:r w:rsidRPr="00F07174">
        <w:rPr>
          <w:rFonts w:ascii="Century" w:hAnsi="Century" w:cstheme="majorBidi"/>
        </w:rPr>
        <w:t xml:space="preserve"> sebagai alternatif terapi hipertensi</w:t>
      </w:r>
      <w:r w:rsidRPr="00F07174">
        <w:rPr>
          <w:rFonts w:ascii="Century" w:hAnsi="Century" w:cstheme="majorBidi"/>
          <w:lang w:val="id-ID"/>
        </w:rPr>
        <w:t xml:space="preserve"> </w:t>
      </w:r>
      <w:r w:rsidR="00713612" w:rsidRPr="00F07174">
        <w:rPr>
          <w:rFonts w:ascii="Century" w:hAnsi="Century" w:cstheme="majorBidi"/>
        </w:rPr>
        <w:fldChar w:fldCharType="begin" w:fldLock="1"/>
      </w:r>
      <w:r w:rsidRPr="00F07174">
        <w:rPr>
          <w:rFonts w:ascii="Century" w:hAnsi="Century" w:cstheme="majorBidi"/>
        </w:rPr>
        <w:instrText>ADDIN CSL_CITATION {"citationItems":[{"id":"ITEM-1","itemData":{"author":[{"dropping-particle":"","family":"Andoko","given":"","non-dropping-particle":"","parse-names":false,"suffix":""},{"dropping-particle":"","family":"Pangesti","given":"Dimas Ning","non-dropping-particle":"","parse-names":false,"suffix":""}],"id":"ITEM-1","issue":"2","issued":{"date-parts":[["2016"]]},"page":"1-4","title":"Efektifitas Rebusan Daun Salam terhadap Penurunan Tekanan Darah pada Penderita Hipertensi","type":"article-journal","volume":"10"},"uris":["http://www.mendeley.com/documents/?uuid=c1c65064-5404-4f75-9e38-52080f8fba85"]}],"mendeley":{"formattedCitation":"(Andoko &amp; Pangesti, 2016)","manualFormatting":"(Andoko &amp; Pangesti, 2016;","plainTextFormattedCitation":"(Andoko &amp; Pangesti, 2016)","previouslyFormattedCitation":"(Andoko &amp; Pangesti, 2016)"},"properties":{"noteIndex":0},"schema":"https://github.com/citation-style-language/schema/raw/master/csl-citation.json"}</w:instrText>
      </w:r>
      <w:r w:rsidR="00713612" w:rsidRPr="00F07174">
        <w:rPr>
          <w:rFonts w:ascii="Century" w:hAnsi="Century" w:cstheme="majorBidi"/>
        </w:rPr>
        <w:fldChar w:fldCharType="separate"/>
      </w:r>
      <w:r w:rsidRPr="00F07174">
        <w:rPr>
          <w:rFonts w:ascii="Century" w:hAnsi="Century" w:cstheme="majorBidi"/>
          <w:noProof/>
        </w:rPr>
        <w:t>(Andoko &amp; Pangesti, 2016</w:t>
      </w:r>
      <w:r w:rsidRPr="00F07174">
        <w:rPr>
          <w:rFonts w:ascii="Century" w:hAnsi="Century" w:cstheme="majorBidi"/>
          <w:noProof/>
          <w:lang w:val="id-ID"/>
        </w:rPr>
        <w:t>;</w:t>
      </w:r>
      <w:r w:rsidR="00713612" w:rsidRPr="00F07174">
        <w:rPr>
          <w:rFonts w:ascii="Century" w:hAnsi="Century" w:cstheme="majorBidi"/>
        </w:rPr>
        <w:fldChar w:fldCharType="end"/>
      </w:r>
      <w:r w:rsidR="00713612" w:rsidRPr="00F07174">
        <w:rPr>
          <w:rFonts w:ascii="Century" w:hAnsi="Century" w:cstheme="majorBidi"/>
        </w:rPr>
        <w:fldChar w:fldCharType="begin" w:fldLock="1"/>
      </w:r>
      <w:r w:rsidRPr="00F07174">
        <w:rPr>
          <w:rFonts w:ascii="Century" w:hAnsi="Century" w:cstheme="majorBidi"/>
        </w:rPr>
        <w:instrText>ADDIN CSL_CITATION {"citationItems":[{"id":"ITEM-1","itemData":{"abstract":"Penyakit Tidak Menular (PTM) merupakan salah satu kelompok penyakit yang memberi beban kesehatan masyarakat tersendiri karena keberadaannya cukup prevalen, tersebar diseluruh dunia, menjadi penyebab utama kematian, dan cukup sulit untuk dikendalikan. Data Riskesdas 2013 prevelensi kejadian hipertensi pada lansia sebanyak 19,49%. Data Dinas Kesehatan Kota Padang tahun 2014 dari 22 puskesmas di Kota Padang di dapatkan hipertensi tertinggi di Puskesmas Lubuk Buaya sebanyak 1917 orang. Tujuan penelitian untuk mengetahui hubungan terapi farmakologi dan konsumsi garam dalam pencapaian target tekanan darah pada lansia penderita hipertensi di Puskesmas Lubuk Buaya Padang tahun 2016. Desain penelitian ini Deskriptif analitik dengan pendekatan cross sectional study. Variabel dependen target tekanan darah dan variabel independen terapi farmakologi dan konsumsi garam. Penelitian ini telah dilakukan pada tanggal 22 Februari – 5 Maret 2016. Sampel semua lansia penderita hipertensi yang datang berobat ke Poli Lansia Puskesmas Lubuk Buaya pada waktu penelitian dilakukan berjumlah 56 orang secara Accidental sampling. Data dikumpulkan dengan menggunakan kuesioner, dan di olah dengan menggunakan uji Chi-Square. Hasil penelitian didapatkan 60,7% target tekanan darah tidak tercapai, 41,1% konsumsi garam cukup mengikuti, 37,5% terapi farmakologi menengah, terdapat hubungan terapi farmakologi dengan target tekanan darah (P value 0,003) dan terdapat hubungan konsumsi garam dengan target tekanan darah ( P value 0,000) pada lansia penderita hipertensi di Puskesmas Lubuk Buaya padang tahun 2016. Berdasarkan hasil penelitian disarankan kepada pimpinan Puskesmas serta petugas kesehatan agar dapat meningkatkan kegiatan Promosi Kesehatan (PROMKES) serta kegiatan Program Pengelolaan Penyakit Kronis (PROLANIS) yang sedang berjalan tentang manfaat ketarutan mengkonsumsi obat anti hipertensi agar tekanan darah terkontrol dapat mengurangi efek lanjut dari hipertensi di Puskesmas Lubuk Buaya Padang tahun 2016.","author":[{"dropping-particle":"","family":"Dafriani","given":"Putri","non-dropping-particle":"","parse-names":false,"suffix":""}],"container-title":"Jurnal Kesehatan Medika Saintika","id":"ITEM-1","issue":"2","issued":{"date-parts":[["2016"]]},"page":"25-34","title":"Pengaruh Rebusan Daun Salam (Syzigium Polyanthum Wight Walp) terhadap Tekanan Darah Pasien Hipertensi di Sungai Bungkal, Kerinci 2016","type":"article-journal","volume":"7"},"uris":["http://www.mendeley.com/documents/?uuid=1d66166e-a833-42bc-9dfe-0714bfc26e87"]}],"mendeley":{"formattedCitation":"(Dafriani, 2016)","manualFormatting":"Dafriani, 2016;","plainTextFormattedCitation":"(Dafriani, 2016)","previouslyFormattedCitation":"(Dafriani, 2016)"},"properties":{"noteIndex":0},"schema":"https://github.com/citation-style-language/schema/raw/master/csl-citation.json"}</w:instrText>
      </w:r>
      <w:r w:rsidR="00713612" w:rsidRPr="00F07174">
        <w:rPr>
          <w:rFonts w:ascii="Century" w:hAnsi="Century" w:cstheme="majorBidi"/>
        </w:rPr>
        <w:fldChar w:fldCharType="separate"/>
      </w:r>
      <w:r w:rsidRPr="00F07174">
        <w:rPr>
          <w:rFonts w:ascii="Century" w:hAnsi="Century" w:cstheme="majorBidi"/>
          <w:noProof/>
        </w:rPr>
        <w:t>Dafriani, 2016</w:t>
      </w:r>
      <w:r w:rsidRPr="00F07174">
        <w:rPr>
          <w:rFonts w:ascii="Century" w:hAnsi="Century" w:cstheme="majorBidi"/>
          <w:noProof/>
          <w:lang w:val="id-ID"/>
        </w:rPr>
        <w:t>;</w:t>
      </w:r>
      <w:r w:rsidR="00713612" w:rsidRPr="00F07174">
        <w:rPr>
          <w:rFonts w:ascii="Century" w:hAnsi="Century" w:cstheme="majorBidi"/>
        </w:rPr>
        <w:fldChar w:fldCharType="end"/>
      </w:r>
      <w:r w:rsidR="00713612" w:rsidRPr="00F07174">
        <w:rPr>
          <w:rFonts w:ascii="Century" w:hAnsi="Century" w:cstheme="majorBidi"/>
        </w:rPr>
        <w:fldChar w:fldCharType="begin" w:fldLock="1"/>
      </w:r>
      <w:r w:rsidRPr="00F07174">
        <w:rPr>
          <w:rFonts w:ascii="Century" w:hAnsi="Century" w:cstheme="majorBidi"/>
        </w:rPr>
        <w:instrText>ADDIN CSL_CITATION {"citationItems":[{"id":"ITEM-1","itemData":{"DOI":"10.32528/ijhs.v0i0.1543","ISSN":"2087-5053","abstract":"Hipertensi merupakan salah satu bentuk penyakit kronis pada lansia. Perubahan fisiologis pada lansia mengindikasikan perlunya pendekatan lain untuk menangani hipertensi, seperti dengan menggunakan terapi herbal. Salah satu bentuk terapi herbal yang dapat digunakan untuk mengatasi hipertensi adalah daun salam. Tujuan penelitian ini adalah untuk mengetahui pengaruh daun salam terhadap penuruan tekanan darah pada lansia dengan hipertensi di UPT PSTW Jember. Penelitian ini adalah penelitian pre eksperimental dengan pendekatan one group pre post test design. Populasi dalam penelitian ini adalah seluruh lansia dengan hipertensi yang tinggal di UPT PSTW Jember sejumlah 45 orang. Responden diambil dengan teknik total sampling. Responden diberi air rebusan daun salam sebanyak 1 gelas, dua kali sehari selama 2 minggu. Tekanan darah responden diukur dengan menggunakan sphygmomanometer. Analisis statistik menunjukkan uji t test untuk tekanan darah sistolik adalah 0,000 dan 0,087 untuk tekanan darah diastolik. Sehingga dapat disimpulkan bahwa air rebusan daun salam berpengaruh terhadap penurunan tekanan darah sistolik dan tidak berpengaruh terhadap penurunan tekanan darah diastolik lansia dengan hipertensi. Oleh karenanya, daun salam dapat digunakan sebagai salah satu terapi herbal untuk menurunkan tekanan darah pada lansia dengan hipertensi.","author":[{"dropping-particle":"","family":"Asih","given":"Susi Wahyuning","non-dropping-particle":"","parse-names":false,"suffix":""}],"container-title":"The Indonesian Journal of Health Science","id":"ITEM-1","issue":"September","issued":{"date-parts":[["2018"]]},"page":"169","title":"Pengaruh Rebusan Daun Salam Terhadap Penurunan Tekanan Darah Pada Lansia Penderita Hipertensi Di Wisma Seruni Upt Pslu Jember","type":"article-journal"},"uris":["http://www.mendeley.com/documents/?uuid=555d1dd1-166c-4a63-968c-1813755faf13"]}],"mendeley":{"formattedCitation":"(Asih, 2018)","manualFormatting":"Asih, 2018)","plainTextFormattedCitation":"(Asih, 2018)","previouslyFormattedCitation":"(Asih, 2018)"},"properties":{"noteIndex":0},"schema":"https://github.com/citation-style-language/schema/raw/master/csl-citation.json"}</w:instrText>
      </w:r>
      <w:r w:rsidR="00713612" w:rsidRPr="00F07174">
        <w:rPr>
          <w:rFonts w:ascii="Century" w:hAnsi="Century" w:cstheme="majorBidi"/>
        </w:rPr>
        <w:fldChar w:fldCharType="separate"/>
      </w:r>
      <w:r w:rsidRPr="00F07174">
        <w:rPr>
          <w:rFonts w:ascii="Century" w:hAnsi="Century" w:cstheme="majorBidi"/>
          <w:noProof/>
        </w:rPr>
        <w:t>Asih, 2018)</w:t>
      </w:r>
      <w:r w:rsidR="00713612" w:rsidRPr="00F07174">
        <w:rPr>
          <w:rFonts w:ascii="Century" w:hAnsi="Century" w:cstheme="majorBidi"/>
        </w:rPr>
        <w:fldChar w:fldCharType="end"/>
      </w:r>
      <w:r w:rsidRPr="00F07174">
        <w:rPr>
          <w:rFonts w:ascii="Century" w:hAnsi="Century" w:cstheme="majorBidi"/>
          <w:lang w:val="id-ID"/>
        </w:rPr>
        <w:t xml:space="preserve"> </w:t>
      </w:r>
      <w:r w:rsidRPr="00F07174">
        <w:rPr>
          <w:rFonts w:ascii="Century" w:hAnsi="Century" w:cstheme="majorBidi"/>
        </w:rPr>
        <w:t>dan hiperurisemia</w:t>
      </w:r>
      <w:r w:rsidRPr="00F07174">
        <w:rPr>
          <w:rFonts w:ascii="Century" w:hAnsi="Century" w:cstheme="majorBidi"/>
          <w:lang w:val="id-ID"/>
        </w:rPr>
        <w:t xml:space="preserve"> </w:t>
      </w:r>
      <w:r w:rsidR="00713612" w:rsidRPr="00F07174">
        <w:rPr>
          <w:rFonts w:ascii="Century" w:hAnsi="Century" w:cstheme="majorBidi"/>
          <w:lang w:val="id-ID"/>
        </w:rPr>
        <w:fldChar w:fldCharType="begin" w:fldLock="1"/>
      </w:r>
      <w:r w:rsidRPr="00F07174">
        <w:rPr>
          <w:rFonts w:ascii="Century" w:hAnsi="Century" w:cstheme="majorBidi"/>
          <w:lang w:val="id-ID"/>
        </w:rPr>
        <w:instrText>ADDIN CSL_CITATION {"citationItems":[{"id":"ITEM-1","itemData":{"author":[{"dropping-particle":"","family":"Djohari","given":"Meiriza","non-dropping-particle":"","parse-names":false,"suffix":""},{"dropping-particle":"","family":"Paramitha","given":"Rovi","non-dropping-particle":"","parse-names":false,"suffix":""}],"container-title":"Pharmacy","id":"ITEM-1","issue":"02","issued":{"date-parts":[["2015"]]},"page":"1-9","title":"Efektivitas Rebusan Daun Salam (Syzygium polyanthum) terhadap Penurunan Kadar Asam Urat dalam Darah Mencit Putih Jantan","type":"article-journal","volume":"12"},"uris":["http://www.mendeley.com/documents/?uuid=14ca9900-f907-4533-be0d-8c7f88c449c8"]}],"mendeley":{"formattedCitation":"(Djohari &amp; Paramitha, 2015)","plainTextFormattedCitation":"(Djohari &amp; Paramitha, 2015)","previouslyFormattedCitation":"(Djohari &amp; Paramitha, 2015)"},"properties":{"noteIndex":0},"schema":"https://github.com/citation-style-language/schema/raw/master/csl-citation.json"}</w:instrText>
      </w:r>
      <w:r w:rsidR="00713612" w:rsidRPr="00F07174">
        <w:rPr>
          <w:rFonts w:ascii="Century" w:hAnsi="Century" w:cstheme="majorBidi"/>
          <w:lang w:val="id-ID"/>
        </w:rPr>
        <w:fldChar w:fldCharType="separate"/>
      </w:r>
      <w:r w:rsidRPr="00F07174">
        <w:rPr>
          <w:rFonts w:ascii="Century" w:hAnsi="Century" w:cstheme="majorBidi"/>
          <w:noProof/>
          <w:lang w:val="id-ID"/>
        </w:rPr>
        <w:t>(Djohari &amp; Paramitha, 2015)</w:t>
      </w:r>
      <w:r w:rsidR="00713612" w:rsidRPr="00F07174">
        <w:rPr>
          <w:rFonts w:ascii="Century" w:hAnsi="Century" w:cstheme="majorBidi"/>
          <w:lang w:val="id-ID"/>
        </w:rPr>
        <w:fldChar w:fldCharType="end"/>
      </w:r>
      <w:r w:rsidRPr="00F07174">
        <w:rPr>
          <w:rFonts w:ascii="Century" w:hAnsi="Century" w:cstheme="majorBidi"/>
          <w:lang w:val="id-ID"/>
        </w:rPr>
        <w:t xml:space="preserve">. </w:t>
      </w:r>
      <w:r w:rsidRPr="00F07174">
        <w:rPr>
          <w:rFonts w:ascii="Century" w:hAnsi="Century" w:cstheme="majorBidi"/>
        </w:rPr>
        <w:t>Pemberian edukasi melalui informasi kesehatan sangat penting dilakukan untuk menambah pengetahuan masyarakat mengenai penyakit hipertensi, pola makan dan asupan makanan yang baik pada penderita hipertensi. Sikapdan dukungan keluarga meliputi</w:t>
      </w:r>
      <w:r w:rsidR="00FE21B8">
        <w:rPr>
          <w:rFonts w:ascii="Century" w:hAnsi="Century" w:cstheme="majorBidi"/>
        </w:rPr>
        <w:t xml:space="preserve"> </w:t>
      </w:r>
      <w:r w:rsidRPr="00F07174">
        <w:rPr>
          <w:rFonts w:ascii="Century" w:hAnsi="Century" w:cstheme="majorBidi"/>
        </w:rPr>
        <w:t>dukungan harapan, dukungan nyata, dukungan informasi, dukungan emosional juga sangat berpengaruh</w:t>
      </w:r>
      <w:r w:rsidR="00FE21B8">
        <w:rPr>
          <w:rFonts w:ascii="Century" w:hAnsi="Century" w:cstheme="majorBidi"/>
        </w:rPr>
        <w:t xml:space="preserve"> </w:t>
      </w:r>
      <w:r w:rsidRPr="00F07174">
        <w:rPr>
          <w:rFonts w:ascii="Century" w:hAnsi="Century" w:cstheme="majorBidi"/>
        </w:rPr>
        <w:t>terhadap peningkatan kualitas hidup penderita hipertensi</w:t>
      </w:r>
      <w:r w:rsidRPr="00F07174">
        <w:rPr>
          <w:rFonts w:ascii="Century" w:hAnsi="Century" w:cstheme="majorBidi"/>
          <w:lang w:val="id-ID"/>
        </w:rPr>
        <w:t xml:space="preserve"> </w:t>
      </w:r>
      <w:r w:rsidR="00713612" w:rsidRPr="00F07174">
        <w:rPr>
          <w:rFonts w:ascii="Century" w:hAnsi="Century" w:cstheme="majorBidi"/>
          <w:lang w:val="id-ID"/>
        </w:rPr>
        <w:fldChar w:fldCharType="begin" w:fldLock="1"/>
      </w:r>
      <w:r w:rsidRPr="00F07174">
        <w:rPr>
          <w:rFonts w:ascii="Century" w:hAnsi="Century" w:cstheme="majorBidi"/>
          <w:lang w:val="id-ID"/>
        </w:rPr>
        <w:instrText>ADDIN CSL_CITATION {"citationItems":[{"id":"ITEM-1","itemData":{"DOI":"10.24252/kesehatan.v11i1.5107","ISSN":"20862555","abstract":"Hipertensi merupakan faktor risiko utama penyebab kematian. Desa Hulu adalah desa yang memiliki jumlah penderita hipertensi tertinggi di Puskesmas Pancur Batu, Kabupaten Deli Serdang. Penderita hipertensi pada tahun 2014, berjumlah 44, 2015, berjumlah 56 orang dan pada tahun 2016 berjumlah 108 orang. Tujuan penelitian ini untuk menganalisis pengaruh pengetahuan, sikap dan dukungan keluarga terhadap pelaksanaan diet hipertensi di desa kecamatan Batu Pancur Hulu. Penelitian ini merupakan penelitian cross-sectional dengan pendekatan explanatory. Penelitian ini dilakukan antara bulan April dan Juni 2016 dengan populasi dalam penelitian ini adalah semua pasien hipertensi di desa kecamatan Batu Pancur Hulu berjumlah 108 orang dan seluruh populasi dijadikan sampel. Data diperoleh dengan wawancara kuesioner, dianalisis dengan regresi logistik ganda pada α = 0,05. Hasil penelitian menunjukkan bahwa secara statistik pengetahuan (hipertensi diet, hipertensi asupan makanan) dan sikap terhadap (hipertensi diet, diet hipertensi diet) dan dukungan keluarga meliputi (dukungan harapan, dukungan nyata, dukungan informasi, dukungan emosional) pengaruh yang signifikan terhadap pelaksanaan dari diet hipertensi di desa Hulu kecamatan Batu Pancur. Pengaruh variabel pengetahuan lebih besar pada pelaksanaan diet hipertensi","author":[{"dropping-particle":"","family":"Tarigan","given":"Almina Rospitaria","non-dropping-particle":"","parse-names":false,"suffix":""},{"dropping-particle":"","family":"Lubis","given":"Zulhaida","non-dropping-particle":"","parse-names":false,"suffix":""},{"dropping-particle":"","family":"Syarifah","given":"Syarifah","non-dropping-particle":"","parse-names":false,"suffix":""}],"container-title":"Jurnal Kesehatan","id":"ITEM-1","issue":"1","issued":{"date-parts":[["2018"]]},"page":"9-17","title":"Pengaruh Pengetahuan, Sikap Dan Dukungan Keluarga Terhadap Diet Hipertensi Di Desa Hulu Kecamatan Pancur Batu Tahun 2016","type":"article-journal","volume":"11"},"uris":["http://www.mendeley.com/documents/?uuid=5a76b548-a55d-4ed8-8b72-c4d3245cb0a6"]}],"mendeley":{"formattedCitation":"(Tarigan, Lubis, &amp; Syarifah, 2018)","manualFormatting":"(Tarigan, Lubis, &amp; Syarifah, 2018;","plainTextFormattedCitation":"(Tarigan, Lubis, &amp; Syarifah, 2018)","previouslyFormattedCitation":"(Tarigan, Lubis, &amp; Syarifah, 2018)"},"properties":{"noteIndex":0},"schema":"https://github.com/citation-style-language/schema/raw/master/csl-citation.json"}</w:instrText>
      </w:r>
      <w:r w:rsidR="00713612" w:rsidRPr="00F07174">
        <w:rPr>
          <w:rFonts w:ascii="Century" w:hAnsi="Century" w:cstheme="majorBidi"/>
          <w:lang w:val="id-ID"/>
        </w:rPr>
        <w:fldChar w:fldCharType="separate"/>
      </w:r>
      <w:r w:rsidRPr="00F07174">
        <w:rPr>
          <w:rFonts w:ascii="Century" w:hAnsi="Century" w:cstheme="majorBidi"/>
          <w:noProof/>
          <w:lang w:val="id-ID"/>
        </w:rPr>
        <w:t>(Tarigan, Lubis, &amp; Syarifah, 2018;</w:t>
      </w:r>
      <w:r w:rsidR="00713612" w:rsidRPr="00F07174">
        <w:rPr>
          <w:rFonts w:ascii="Century" w:hAnsi="Century" w:cstheme="majorBidi"/>
          <w:lang w:val="id-ID"/>
        </w:rPr>
        <w:fldChar w:fldCharType="end"/>
      </w:r>
      <w:r w:rsidR="00713612" w:rsidRPr="00F07174">
        <w:rPr>
          <w:rFonts w:ascii="Century" w:hAnsi="Century" w:cstheme="majorBidi"/>
          <w:lang w:val="id-ID"/>
        </w:rPr>
        <w:fldChar w:fldCharType="begin" w:fldLock="1"/>
      </w:r>
      <w:r w:rsidRPr="00F07174">
        <w:rPr>
          <w:rFonts w:ascii="Century" w:hAnsi="Century" w:cstheme="majorBidi"/>
          <w:lang w:val="id-ID"/>
        </w:rPr>
        <w:instrText>ADDIN CSL_CITATION {"citationItems":[{"id":"ITEM-1","itemData":{"DOI":"10.26699/jnk.v5i3.ART.p224","abstract":"Hipertensi atau tekanan darah tinggi merupakan penyakit dengan tekanan sistolik 140 mmHg atau tekanan diastolik 90 mmHg. Faktor yang mempe-ngaruhi perilaku penderita hipertensi diantaranya persepsi individu tentang penyakitnya, kelompok sosial, latar belakang budaya, ekonomi dan kemudah-an akses pelayanan. Penelitian ini bertujuan untuk mengetahui beberapa faktor-faktor yang berhubungan dengan perilaku penatalaksanaan hipertensi oleh penderita di wilayah kerja Puskesmas Sekernan Ilir Kabupaten Muaro Jambi tahun 2018. Penelitian ini merupakan penelitian deskriptif kuantitatif dengan pendekatan desain penelitian cross sectional, jumlah sampel dalam penelitian ini sebanyak 68 responden. Pengambilan sampel menggunakan Proportional Random Sampling. Pengumpulan Data dengan wawancara menggunakan kuesioner. Data dianalisis secara univariat dan bivariat (T-Test Dependent). Hasil analisis bivariat menunjukan adanya hubungan antara persepsi sakit (p-value=0,001) dan dukungan keluarga (p-value=0,015) dengan perilaku penatalaksanaan hipertensi oleh penderita, dan tidak adanya hubung-an antara akses pelayanan kesehatan (pvalue=0,605) dengan perilaku penata-laksanaan hipertensi oleh penderita. Perawat memiliki peran dalam mengubah perilaku sakit penderita hipertensi. Pihak Puskesmas Sekernan Ilir diharapkan memberikan pendidikan kesehatan, melaksanakan PIS-PK dengan pendekatan keluarga untuk meningkatkan status kesehatan penderita hipertensi. Bagi penelitian selanjutnya dapat menggunakan rancangan studi yang berbeda agar dapat melihat hubungan variabel yang lain.","author":[{"dropping-particle":"","family":"Damayantie","given":"Netha","non-dropping-particle":"","parse-names":false,"suffix":""},{"dropping-particle":"","family":"Heryani","given":"Erna","non-dropping-particle":"","parse-names":false,"suffix":""},{"dropping-particle":"","family":"Muazir","given":"","non-dropping-particle":"","parse-names":false,"suffix":""}],"container-title":"Jurnal Ners dan Kebidanan","id":"ITEM-1","issue":"03","issued":{"date-parts":[["2018"]]},"page":"224-232","title":"Faktor-faktor yang Memperngaruhi Perilaku Penatalaksanaan Hipertensi oleh Penderita di Wilayah Kerja Puskesmas Sekernan Ilir Kabupaten Muaro Jambi Tahun 2018","type":"article-journal","volume":"05"},"uris":["http://www.mendeley.com/documents/?uuid=44c1a53f-200f-41bd-a16e-e0de80b2dc59"]}],"mendeley":{"formattedCitation":"(Damayantie, Heryani, &amp; Muazir, 2018)","manualFormatting":"Damayantie, Heryani, &amp; Muazir, 2018)","plainTextFormattedCitation":"(Damayantie, Heryani, &amp; Muazir, 2018)","previouslyFormattedCitation":"(Damayantie, Heryani, &amp; Muazir, 2018)"},"properties":{"noteIndex":0},"schema":"https://github.com/citation-style-language/schema/raw/master/csl-citation.json"}</w:instrText>
      </w:r>
      <w:r w:rsidR="00713612" w:rsidRPr="00F07174">
        <w:rPr>
          <w:rFonts w:ascii="Century" w:hAnsi="Century" w:cstheme="majorBidi"/>
          <w:lang w:val="id-ID"/>
        </w:rPr>
        <w:fldChar w:fldCharType="separate"/>
      </w:r>
      <w:r w:rsidRPr="00F07174">
        <w:rPr>
          <w:rFonts w:ascii="Century" w:hAnsi="Century" w:cstheme="majorBidi"/>
          <w:noProof/>
          <w:lang w:val="id-ID"/>
        </w:rPr>
        <w:t>Damayantie, Heryani, &amp; Muazir, 2018)</w:t>
      </w:r>
      <w:r w:rsidR="00713612" w:rsidRPr="00F07174">
        <w:rPr>
          <w:rFonts w:ascii="Century" w:hAnsi="Century" w:cstheme="majorBidi"/>
          <w:lang w:val="id-ID"/>
        </w:rPr>
        <w:fldChar w:fldCharType="end"/>
      </w:r>
      <w:r w:rsidRPr="00F07174">
        <w:rPr>
          <w:rFonts w:ascii="Century" w:hAnsi="Century" w:cstheme="majorBidi"/>
          <w:lang w:val="id-ID"/>
        </w:rPr>
        <w:t xml:space="preserve">. </w:t>
      </w:r>
      <w:r w:rsidRPr="00F07174">
        <w:rPr>
          <w:rFonts w:ascii="Century" w:hAnsi="Century" w:cstheme="majorBidi"/>
        </w:rPr>
        <w:t>Oleh karena itu, diperlukan pendampingan untuk penderita hipertensi mengingat penggunaan terapi hipertensi jangka panjang yang sangat mempengaruhi psikologi penderita hipertensi.</w:t>
      </w:r>
    </w:p>
    <w:p w:rsidR="00A102D3" w:rsidRDefault="00A102D3" w:rsidP="00F07174">
      <w:pPr>
        <w:spacing w:line="276" w:lineRule="auto"/>
        <w:jc w:val="both"/>
        <w:rPr>
          <w:rFonts w:ascii="Century" w:hAnsi="Century" w:cstheme="majorBidi"/>
          <w:b/>
        </w:rPr>
      </w:pPr>
    </w:p>
    <w:p w:rsidR="00D5771A" w:rsidRPr="00A102D3" w:rsidRDefault="00D5771A" w:rsidP="00A102D3">
      <w:pPr>
        <w:jc w:val="center"/>
        <w:rPr>
          <w:rFonts w:ascii="Century" w:hAnsi="Century" w:cstheme="majorBidi"/>
          <w:b/>
          <w:sz w:val="22"/>
          <w:szCs w:val="22"/>
        </w:rPr>
      </w:pPr>
      <w:r w:rsidRPr="00A102D3">
        <w:rPr>
          <w:rFonts w:ascii="Century" w:hAnsi="Century" w:cstheme="majorBidi"/>
          <w:b/>
          <w:sz w:val="22"/>
          <w:szCs w:val="22"/>
        </w:rPr>
        <w:t xml:space="preserve">Tabel 2. </w:t>
      </w:r>
      <w:r w:rsidRPr="00A102D3">
        <w:rPr>
          <w:rFonts w:ascii="Century" w:hAnsi="Century" w:cstheme="majorBidi"/>
          <w:sz w:val="22"/>
          <w:szCs w:val="22"/>
        </w:rPr>
        <w:t>Proporsi Hasil Pemeriksaan KadarAsam Urat Masyarakat di Desa Tebat Patah</w:t>
      </w:r>
    </w:p>
    <w:tbl>
      <w:tblPr>
        <w:tblStyle w:val="ListTable2"/>
        <w:tblW w:w="0" w:type="auto"/>
        <w:tblInd w:w="2115" w:type="dxa"/>
        <w:tblLook w:val="04A0"/>
      </w:tblPr>
      <w:tblGrid>
        <w:gridCol w:w="567"/>
        <w:gridCol w:w="1138"/>
        <w:gridCol w:w="1252"/>
        <w:gridCol w:w="1338"/>
      </w:tblGrid>
      <w:tr w:rsidR="00D5771A" w:rsidRPr="00A102D3" w:rsidTr="00A102D3">
        <w:trPr>
          <w:cnfStyle w:val="100000000000"/>
        </w:trPr>
        <w:tc>
          <w:tcPr>
            <w:cnfStyle w:val="001000000000"/>
            <w:tcW w:w="567" w:type="dxa"/>
          </w:tcPr>
          <w:p w:rsidR="00D5771A" w:rsidRPr="00A102D3" w:rsidRDefault="00D5771A" w:rsidP="00A102D3">
            <w:pPr>
              <w:jc w:val="center"/>
              <w:rPr>
                <w:rFonts w:ascii="Century" w:hAnsi="Century" w:cstheme="majorBidi"/>
                <w:sz w:val="22"/>
                <w:szCs w:val="22"/>
              </w:rPr>
            </w:pPr>
            <w:r w:rsidRPr="00A102D3">
              <w:rPr>
                <w:rFonts w:ascii="Century" w:hAnsi="Century" w:cstheme="majorBidi"/>
                <w:sz w:val="22"/>
                <w:szCs w:val="22"/>
              </w:rPr>
              <w:t>No.</w:t>
            </w:r>
          </w:p>
        </w:tc>
        <w:tc>
          <w:tcPr>
            <w:tcW w:w="1138" w:type="dxa"/>
          </w:tcPr>
          <w:p w:rsidR="00D5771A" w:rsidRPr="00A102D3" w:rsidRDefault="00D5771A" w:rsidP="00A102D3">
            <w:pPr>
              <w:jc w:val="center"/>
              <w:cnfStyle w:val="100000000000"/>
              <w:rPr>
                <w:rFonts w:ascii="Century" w:hAnsi="Century" w:cstheme="majorBidi"/>
                <w:sz w:val="22"/>
                <w:szCs w:val="22"/>
              </w:rPr>
            </w:pPr>
            <w:r w:rsidRPr="00A102D3">
              <w:rPr>
                <w:rFonts w:ascii="Century" w:hAnsi="Century" w:cstheme="majorBidi"/>
                <w:sz w:val="22"/>
                <w:szCs w:val="22"/>
              </w:rPr>
              <w:t>Asam Urat</w:t>
            </w:r>
          </w:p>
        </w:tc>
        <w:tc>
          <w:tcPr>
            <w:tcW w:w="1252" w:type="dxa"/>
          </w:tcPr>
          <w:p w:rsidR="00D5771A" w:rsidRPr="00A102D3" w:rsidRDefault="00D5771A" w:rsidP="00A102D3">
            <w:pPr>
              <w:jc w:val="center"/>
              <w:cnfStyle w:val="100000000000"/>
              <w:rPr>
                <w:rFonts w:ascii="Century" w:hAnsi="Century" w:cstheme="majorBidi"/>
                <w:sz w:val="22"/>
                <w:szCs w:val="22"/>
              </w:rPr>
            </w:pPr>
            <w:r w:rsidRPr="00A102D3">
              <w:rPr>
                <w:rFonts w:ascii="Century" w:hAnsi="Century" w:cstheme="majorBidi"/>
                <w:sz w:val="22"/>
                <w:szCs w:val="22"/>
              </w:rPr>
              <w:t>Frekuensi</w:t>
            </w:r>
          </w:p>
        </w:tc>
        <w:tc>
          <w:tcPr>
            <w:tcW w:w="1338" w:type="dxa"/>
          </w:tcPr>
          <w:p w:rsidR="00D5771A" w:rsidRPr="00A102D3" w:rsidRDefault="00D5771A" w:rsidP="00A102D3">
            <w:pPr>
              <w:jc w:val="center"/>
              <w:cnfStyle w:val="100000000000"/>
              <w:rPr>
                <w:rFonts w:ascii="Century" w:hAnsi="Century" w:cstheme="majorBidi"/>
                <w:sz w:val="22"/>
                <w:szCs w:val="22"/>
              </w:rPr>
            </w:pPr>
            <w:r w:rsidRPr="00A102D3">
              <w:rPr>
                <w:rFonts w:ascii="Century" w:hAnsi="Century" w:cstheme="majorBidi"/>
                <w:sz w:val="22"/>
                <w:szCs w:val="22"/>
              </w:rPr>
              <w:t>Persentase</w:t>
            </w:r>
          </w:p>
        </w:tc>
      </w:tr>
      <w:tr w:rsidR="00D5771A" w:rsidRPr="00A102D3" w:rsidTr="00A102D3">
        <w:trPr>
          <w:cnfStyle w:val="000000100000"/>
        </w:trPr>
        <w:tc>
          <w:tcPr>
            <w:cnfStyle w:val="001000000000"/>
            <w:tcW w:w="567" w:type="dxa"/>
          </w:tcPr>
          <w:p w:rsidR="00D5771A" w:rsidRPr="00A102D3" w:rsidRDefault="00D5771A" w:rsidP="00A102D3">
            <w:pPr>
              <w:jc w:val="center"/>
              <w:rPr>
                <w:rFonts w:ascii="Century" w:hAnsi="Century" w:cstheme="majorBidi"/>
                <w:sz w:val="22"/>
                <w:szCs w:val="22"/>
              </w:rPr>
            </w:pPr>
            <w:r w:rsidRPr="00A102D3">
              <w:rPr>
                <w:rFonts w:ascii="Century" w:hAnsi="Century" w:cstheme="majorBidi"/>
                <w:sz w:val="22"/>
                <w:szCs w:val="22"/>
              </w:rPr>
              <w:t>1</w:t>
            </w:r>
          </w:p>
        </w:tc>
        <w:tc>
          <w:tcPr>
            <w:tcW w:w="1138" w:type="dxa"/>
          </w:tcPr>
          <w:p w:rsidR="00D5771A" w:rsidRPr="00A102D3" w:rsidRDefault="00D5771A" w:rsidP="00A102D3">
            <w:pPr>
              <w:jc w:val="center"/>
              <w:cnfStyle w:val="000000100000"/>
              <w:rPr>
                <w:rFonts w:ascii="Century" w:hAnsi="Century" w:cstheme="majorBidi"/>
                <w:sz w:val="22"/>
                <w:szCs w:val="22"/>
              </w:rPr>
            </w:pPr>
            <w:r w:rsidRPr="00A102D3">
              <w:rPr>
                <w:rFonts w:ascii="Century" w:hAnsi="Century" w:cstheme="majorBidi"/>
                <w:sz w:val="22"/>
                <w:szCs w:val="22"/>
              </w:rPr>
              <w:t>&lt; 7</w:t>
            </w:r>
          </w:p>
        </w:tc>
        <w:tc>
          <w:tcPr>
            <w:tcW w:w="1252" w:type="dxa"/>
          </w:tcPr>
          <w:p w:rsidR="00D5771A" w:rsidRPr="00A102D3" w:rsidRDefault="00D5771A" w:rsidP="00A102D3">
            <w:pPr>
              <w:jc w:val="center"/>
              <w:cnfStyle w:val="000000100000"/>
              <w:rPr>
                <w:rFonts w:ascii="Century" w:hAnsi="Century" w:cstheme="majorBidi"/>
                <w:sz w:val="22"/>
                <w:szCs w:val="22"/>
              </w:rPr>
            </w:pPr>
            <w:r w:rsidRPr="00A102D3">
              <w:rPr>
                <w:rFonts w:ascii="Century" w:hAnsi="Century" w:cstheme="majorBidi"/>
                <w:sz w:val="22"/>
                <w:szCs w:val="22"/>
              </w:rPr>
              <w:t>16</w:t>
            </w:r>
          </w:p>
        </w:tc>
        <w:tc>
          <w:tcPr>
            <w:tcW w:w="1338" w:type="dxa"/>
          </w:tcPr>
          <w:p w:rsidR="00D5771A" w:rsidRPr="00A102D3" w:rsidRDefault="00D5771A" w:rsidP="00A102D3">
            <w:pPr>
              <w:jc w:val="center"/>
              <w:cnfStyle w:val="000000100000"/>
              <w:rPr>
                <w:rFonts w:ascii="Century" w:hAnsi="Century" w:cstheme="majorBidi"/>
                <w:sz w:val="22"/>
                <w:szCs w:val="22"/>
              </w:rPr>
            </w:pPr>
            <w:r w:rsidRPr="00A102D3">
              <w:rPr>
                <w:rFonts w:ascii="Century" w:hAnsi="Century" w:cstheme="majorBidi"/>
                <w:sz w:val="22"/>
                <w:szCs w:val="22"/>
              </w:rPr>
              <w:t>69,6%</w:t>
            </w:r>
          </w:p>
        </w:tc>
      </w:tr>
      <w:tr w:rsidR="00D5771A" w:rsidRPr="00A102D3" w:rsidTr="00A102D3">
        <w:tc>
          <w:tcPr>
            <w:cnfStyle w:val="001000000000"/>
            <w:tcW w:w="567" w:type="dxa"/>
          </w:tcPr>
          <w:p w:rsidR="00D5771A" w:rsidRPr="00A102D3" w:rsidRDefault="00D5771A" w:rsidP="00A102D3">
            <w:pPr>
              <w:jc w:val="center"/>
              <w:rPr>
                <w:rFonts w:ascii="Century" w:hAnsi="Century" w:cstheme="majorBidi"/>
                <w:sz w:val="22"/>
                <w:szCs w:val="22"/>
              </w:rPr>
            </w:pPr>
            <w:r w:rsidRPr="00A102D3">
              <w:rPr>
                <w:rFonts w:ascii="Century" w:hAnsi="Century" w:cstheme="majorBidi"/>
                <w:sz w:val="22"/>
                <w:szCs w:val="22"/>
              </w:rPr>
              <w:t>2</w:t>
            </w:r>
          </w:p>
        </w:tc>
        <w:tc>
          <w:tcPr>
            <w:tcW w:w="1138" w:type="dxa"/>
          </w:tcPr>
          <w:p w:rsidR="00D5771A" w:rsidRPr="00A102D3" w:rsidRDefault="00D5771A" w:rsidP="00A102D3">
            <w:pPr>
              <w:jc w:val="center"/>
              <w:cnfStyle w:val="000000000000"/>
              <w:rPr>
                <w:rFonts w:ascii="Century" w:hAnsi="Century" w:cstheme="majorBidi"/>
                <w:sz w:val="22"/>
                <w:szCs w:val="22"/>
              </w:rPr>
            </w:pPr>
            <w:r w:rsidRPr="00A102D3">
              <w:rPr>
                <w:rFonts w:ascii="Century" w:hAnsi="Century" w:cstheme="majorBidi"/>
                <w:sz w:val="22"/>
                <w:szCs w:val="22"/>
              </w:rPr>
              <w:t>&gt; 7</w:t>
            </w:r>
          </w:p>
        </w:tc>
        <w:tc>
          <w:tcPr>
            <w:tcW w:w="1252" w:type="dxa"/>
          </w:tcPr>
          <w:p w:rsidR="00D5771A" w:rsidRPr="00A102D3" w:rsidRDefault="00D5771A" w:rsidP="00A102D3">
            <w:pPr>
              <w:jc w:val="center"/>
              <w:cnfStyle w:val="000000000000"/>
              <w:rPr>
                <w:rFonts w:ascii="Century" w:hAnsi="Century" w:cstheme="majorBidi"/>
                <w:sz w:val="22"/>
                <w:szCs w:val="22"/>
              </w:rPr>
            </w:pPr>
            <w:r w:rsidRPr="00A102D3">
              <w:rPr>
                <w:rFonts w:ascii="Century" w:hAnsi="Century" w:cstheme="majorBidi"/>
                <w:sz w:val="22"/>
                <w:szCs w:val="22"/>
              </w:rPr>
              <w:t>7</w:t>
            </w:r>
          </w:p>
        </w:tc>
        <w:tc>
          <w:tcPr>
            <w:tcW w:w="1338" w:type="dxa"/>
          </w:tcPr>
          <w:p w:rsidR="00D5771A" w:rsidRPr="00A102D3" w:rsidRDefault="00D5771A" w:rsidP="00A102D3">
            <w:pPr>
              <w:jc w:val="center"/>
              <w:cnfStyle w:val="000000000000"/>
              <w:rPr>
                <w:rFonts w:ascii="Century" w:hAnsi="Century" w:cstheme="majorBidi"/>
                <w:sz w:val="22"/>
                <w:szCs w:val="22"/>
              </w:rPr>
            </w:pPr>
            <w:r w:rsidRPr="00A102D3">
              <w:rPr>
                <w:rFonts w:ascii="Century" w:hAnsi="Century" w:cstheme="majorBidi"/>
                <w:sz w:val="22"/>
                <w:szCs w:val="22"/>
              </w:rPr>
              <w:t>30,4%</w:t>
            </w:r>
          </w:p>
        </w:tc>
      </w:tr>
      <w:tr w:rsidR="00D5771A" w:rsidRPr="00A102D3" w:rsidTr="00A102D3">
        <w:trPr>
          <w:cnfStyle w:val="000000100000"/>
        </w:trPr>
        <w:tc>
          <w:tcPr>
            <w:cnfStyle w:val="001000000000"/>
            <w:tcW w:w="567" w:type="dxa"/>
          </w:tcPr>
          <w:p w:rsidR="00D5771A" w:rsidRPr="00A102D3" w:rsidRDefault="00D5771A" w:rsidP="00A102D3">
            <w:pPr>
              <w:jc w:val="center"/>
              <w:rPr>
                <w:rFonts w:ascii="Century" w:hAnsi="Century" w:cstheme="majorBidi"/>
                <w:sz w:val="22"/>
                <w:szCs w:val="22"/>
              </w:rPr>
            </w:pPr>
          </w:p>
        </w:tc>
        <w:tc>
          <w:tcPr>
            <w:tcW w:w="1138" w:type="dxa"/>
          </w:tcPr>
          <w:p w:rsidR="00D5771A" w:rsidRPr="00A102D3" w:rsidRDefault="00D5771A" w:rsidP="00A102D3">
            <w:pPr>
              <w:jc w:val="center"/>
              <w:cnfStyle w:val="000000100000"/>
              <w:rPr>
                <w:rFonts w:ascii="Century" w:hAnsi="Century" w:cstheme="majorBidi"/>
                <w:b/>
                <w:sz w:val="22"/>
                <w:szCs w:val="22"/>
              </w:rPr>
            </w:pPr>
            <w:r w:rsidRPr="00A102D3">
              <w:rPr>
                <w:rFonts w:ascii="Century" w:hAnsi="Century" w:cstheme="majorBidi"/>
                <w:b/>
                <w:sz w:val="22"/>
                <w:szCs w:val="22"/>
              </w:rPr>
              <w:t>Total</w:t>
            </w:r>
          </w:p>
        </w:tc>
        <w:tc>
          <w:tcPr>
            <w:tcW w:w="1252" w:type="dxa"/>
          </w:tcPr>
          <w:p w:rsidR="00D5771A" w:rsidRPr="00A102D3" w:rsidRDefault="00D5771A" w:rsidP="00A102D3">
            <w:pPr>
              <w:jc w:val="center"/>
              <w:cnfStyle w:val="000000100000"/>
              <w:rPr>
                <w:rFonts w:ascii="Century" w:hAnsi="Century" w:cstheme="majorBidi"/>
                <w:sz w:val="22"/>
                <w:szCs w:val="22"/>
              </w:rPr>
            </w:pPr>
            <w:r w:rsidRPr="00A102D3">
              <w:rPr>
                <w:rFonts w:ascii="Century" w:hAnsi="Century" w:cstheme="majorBidi"/>
                <w:sz w:val="22"/>
                <w:szCs w:val="22"/>
              </w:rPr>
              <w:t>23</w:t>
            </w:r>
          </w:p>
        </w:tc>
        <w:tc>
          <w:tcPr>
            <w:tcW w:w="1338" w:type="dxa"/>
          </w:tcPr>
          <w:p w:rsidR="00D5771A" w:rsidRPr="00A102D3" w:rsidRDefault="00D5771A" w:rsidP="00A102D3">
            <w:pPr>
              <w:jc w:val="center"/>
              <w:cnfStyle w:val="000000100000"/>
              <w:rPr>
                <w:rFonts w:ascii="Century" w:hAnsi="Century" w:cstheme="majorBidi"/>
                <w:sz w:val="22"/>
                <w:szCs w:val="22"/>
              </w:rPr>
            </w:pPr>
            <w:r w:rsidRPr="00A102D3">
              <w:rPr>
                <w:rFonts w:ascii="Century" w:hAnsi="Century" w:cstheme="majorBidi"/>
                <w:sz w:val="22"/>
                <w:szCs w:val="22"/>
              </w:rPr>
              <w:t>100%</w:t>
            </w:r>
          </w:p>
        </w:tc>
      </w:tr>
    </w:tbl>
    <w:p w:rsidR="00D5771A" w:rsidRPr="00F07174" w:rsidRDefault="00D5771A" w:rsidP="00F07174">
      <w:pPr>
        <w:spacing w:line="276" w:lineRule="auto"/>
        <w:ind w:firstLine="720"/>
        <w:jc w:val="both"/>
        <w:rPr>
          <w:rFonts w:ascii="Century" w:hAnsi="Century" w:cstheme="majorBidi"/>
        </w:rPr>
      </w:pPr>
    </w:p>
    <w:p w:rsidR="00A102D3" w:rsidRDefault="00D5771A" w:rsidP="00A102D3">
      <w:pPr>
        <w:spacing w:line="276" w:lineRule="auto"/>
        <w:ind w:firstLine="426"/>
        <w:jc w:val="both"/>
        <w:rPr>
          <w:rFonts w:ascii="Century" w:hAnsi="Century"/>
        </w:rPr>
      </w:pPr>
      <w:r w:rsidRPr="00F07174">
        <w:rPr>
          <w:rFonts w:ascii="Century" w:hAnsi="Century" w:cstheme="majorBidi"/>
        </w:rPr>
        <w:t>Dari 30 peserta yang h</w:t>
      </w:r>
      <w:r w:rsidRPr="00F07174">
        <w:rPr>
          <w:rFonts w:ascii="Century" w:hAnsi="Century"/>
        </w:rPr>
        <w:t>adir, sebesar 23 peserta yang bersedia melakukan pemeriksaan kadar asam urat dan hanya 8 peserta yang bersedia melakukan pemeriksaan kadar gula darah. Hasil menunjukkan bahwa sebesar 69,6% peserta memiliki kadar asam urat normal, sedangkan 30,4% peserta memiliki kadar asam urat diatas normal (hiperurisemia) (Tabel 2). Hasil pemeriksaan kadar gula darah menunjukkan bahwa 8 peserta memiliki kadar gula darah normal.</w:t>
      </w:r>
      <w:r w:rsidR="00A102D3">
        <w:rPr>
          <w:rFonts w:ascii="Century" w:hAnsi="Century"/>
        </w:rPr>
        <w:t xml:space="preserve"> </w:t>
      </w:r>
      <w:r w:rsidRPr="00F07174">
        <w:rPr>
          <w:rFonts w:ascii="Century" w:hAnsi="Century"/>
        </w:rPr>
        <w:t xml:space="preserve">Bagi masyarakat dengan hipertensi dan hiperurisemia sangat berpotensi mengalami resiko </w:t>
      </w:r>
      <w:r w:rsidRPr="00F07174">
        <w:rPr>
          <w:rFonts w:ascii="Century" w:hAnsi="Century"/>
          <w:i/>
        </w:rPr>
        <w:t>gout</w:t>
      </w:r>
      <w:r w:rsidRPr="00F07174">
        <w:rPr>
          <w:rFonts w:ascii="Century" w:hAnsi="Century"/>
        </w:rPr>
        <w:t>yakni sejenis sakit sendi atau arthritis yang ditandai dengan pembengkakan pada sendi. Adapun kendala yang dihadapi pada kegiatan ini yakni waktu pengumpulan masyarakat karena mayoritas masyarakat Desa Tebat Patah adalah pekerja dan memiliki aktivitas rutin setiap hari, sehingga sulit untuk mengumpulkan masyarakat dalam waktu yang bersamaan.</w:t>
      </w:r>
    </w:p>
    <w:p w:rsidR="00A102D3" w:rsidRDefault="00D5771A" w:rsidP="00A102D3">
      <w:pPr>
        <w:spacing w:line="276" w:lineRule="auto"/>
        <w:ind w:firstLine="426"/>
        <w:jc w:val="both"/>
        <w:rPr>
          <w:rFonts w:ascii="Century" w:hAnsi="Century"/>
        </w:rPr>
      </w:pPr>
      <w:r w:rsidRPr="00F07174">
        <w:rPr>
          <w:rFonts w:ascii="Century" w:hAnsi="Century"/>
        </w:rPr>
        <w:t xml:space="preserve">Demonstrasi pembuatan produk herbal daun salam diikuti oleh peserta dengan sangat antusias, hal ini didukung dengan suasana tanya-jawab yang berkelanjutan, serta antusiasme dalam melihat contoh produk herbal yang telah selesai dibuat. </w:t>
      </w:r>
    </w:p>
    <w:p w:rsidR="00D5771A" w:rsidRDefault="00D5771A" w:rsidP="00A102D3">
      <w:pPr>
        <w:spacing w:line="276" w:lineRule="auto"/>
        <w:ind w:firstLine="426"/>
        <w:jc w:val="both"/>
        <w:rPr>
          <w:rFonts w:ascii="Century" w:hAnsi="Century"/>
        </w:rPr>
      </w:pPr>
      <w:r w:rsidRPr="00F07174">
        <w:rPr>
          <w:rFonts w:ascii="Century" w:hAnsi="Century"/>
        </w:rPr>
        <w:t>Peserta yang telah mendapat informasi mengenai</w:t>
      </w:r>
      <w:r w:rsidR="00FE21B8">
        <w:rPr>
          <w:rFonts w:ascii="Century" w:hAnsi="Century"/>
        </w:rPr>
        <w:t xml:space="preserve"> </w:t>
      </w:r>
      <w:r w:rsidRPr="00F07174">
        <w:rPr>
          <w:rFonts w:ascii="Century" w:hAnsi="Century"/>
        </w:rPr>
        <w:t>jenis dan manfaat tanaman obat serta cara pembuatan produk teh daun salam diharapkan juga mampu mengenali</w:t>
      </w:r>
      <w:r w:rsidR="00FE21B8">
        <w:rPr>
          <w:rFonts w:ascii="Century" w:hAnsi="Century"/>
        </w:rPr>
        <w:t xml:space="preserve"> </w:t>
      </w:r>
      <w:r w:rsidRPr="00F07174">
        <w:rPr>
          <w:rFonts w:ascii="Century" w:hAnsi="Century"/>
        </w:rPr>
        <w:t>jenis tanaman lain</w:t>
      </w:r>
      <w:r w:rsidR="00FE21B8">
        <w:rPr>
          <w:rFonts w:ascii="Century" w:hAnsi="Century"/>
        </w:rPr>
        <w:t xml:space="preserve"> </w:t>
      </w:r>
      <w:r w:rsidRPr="00F07174">
        <w:rPr>
          <w:rFonts w:ascii="Century" w:hAnsi="Century"/>
        </w:rPr>
        <w:t>disekitarnya yang dapat dijadikan</w:t>
      </w:r>
      <w:r w:rsidR="00FE21B8">
        <w:rPr>
          <w:rFonts w:ascii="Century" w:hAnsi="Century"/>
        </w:rPr>
        <w:t xml:space="preserve"> </w:t>
      </w:r>
      <w:r w:rsidRPr="00F07174">
        <w:rPr>
          <w:rFonts w:ascii="Century" w:hAnsi="Century"/>
        </w:rPr>
        <w:t>sebagai alternatif terapi</w:t>
      </w:r>
      <w:r w:rsidR="00FE21B8">
        <w:rPr>
          <w:rFonts w:ascii="Century" w:hAnsi="Century"/>
        </w:rPr>
        <w:t xml:space="preserve"> </w:t>
      </w:r>
      <w:r w:rsidRPr="00F07174">
        <w:rPr>
          <w:rFonts w:ascii="Century" w:hAnsi="Century"/>
        </w:rPr>
        <w:t xml:space="preserve">hipertensi dan penyakit tidak menular lainnya seperti gout dan diabetes melitus, serta dapat membuat suatu produk herbal berbahan daun salam atau bahan herbal lain dalam bentuk </w:t>
      </w:r>
      <w:r w:rsidRPr="00F07174">
        <w:rPr>
          <w:rFonts w:ascii="Century" w:hAnsi="Century"/>
        </w:rPr>
        <w:lastRenderedPageBreak/>
        <w:t>tunggal maupun  kombinasi bahan herbal</w:t>
      </w:r>
      <w:r w:rsidRPr="00F07174">
        <w:rPr>
          <w:rFonts w:ascii="Century" w:hAnsi="Century"/>
          <w:lang w:val="id-ID"/>
        </w:rPr>
        <w:t xml:space="preserve"> </w:t>
      </w:r>
      <w:r w:rsidR="00713612" w:rsidRPr="00F07174">
        <w:rPr>
          <w:rFonts w:ascii="Century" w:hAnsi="Century"/>
        </w:rPr>
        <w:fldChar w:fldCharType="begin" w:fldLock="1"/>
      </w:r>
      <w:r w:rsidRPr="00F07174">
        <w:rPr>
          <w:rFonts w:ascii="Century" w:hAnsi="Century"/>
        </w:rPr>
        <w:instrText>ADDIN CSL_CITATION {"citationItems":[{"id":"ITEM-1","itemData":{"abstract":"Minuman fungsional adalah minuman yang memiliki efek positif terhadap kesehatan. Liang teh merupakan teh herbal dimana teh ini biasanya terbuat dari berbagai macam tanaman herbal yang telah dikonsumsi ratusan tahun yang lalu. Tujuan dari penelitian ini adalah untuk mendapatkan formulasi terbaik dari liang teh daun salam. Metode penelitian dilakukan menggunakanRancangan Acak Kelompok (RAK) terdiri dari 2 faktor, 3 level dan tiap perlakuan diulang sebanyak 3 kali sehingga didapat 27 percobaan. Faktor 1 yaitu rasio filtrat daun salam : filtrat jahe (70:30, 80:20 dan 90:10) dan faktor 2 yaitu rasio penambahan filtrat kayu secang (5%, 7.5% dan 10%). Penentuan perlakuan terbaik menggunakan Metode Multiplle Atribute. Data hasil perlakuan terbaik liang teh daun salam adalahpada proporsi 70:30 (filtrat daun salam:filtrat jahe) dengan penambahan filtrat kayu secang 10% dengan nilai kadar total fenol 213.13 μg /ml CGAE, aktivitas antioksidan 80.63%, kadar flavonoid 310.82 μg /ml CEQ dan IC50 314.71 ppm. Functional drink is a drink that has a positive effect on health. Liang teais a herbal tea are usually made of various herbs that have consumed in hundreds of years ago. The purpose of this study was to find out the influence about the best formulationof liang tea bay leaves. The method of research was a randomized block design (RBD) consisted of 2 factor, 3 level andeach treatment was repeated 3 times to obtain 27 experiment. The first factor is ratio bay leaves filtrate : gingers filtrate(70:30, 80:20 and 90:10)and the second factor is the ratio of an addition of secang wood filtrate (5 %, 7.5 % and 10 %). Determination of the best treatment using the method Atribute Multiplle. The results of the best treatment of liang tea bay leaves is in proportion 70:30 (bay leaves filtrate : gingers filtrate) withincrease secang wood filtrate 10% withvalue phenol content 213.13 μg /ml CGAE, antioxidant activity 80.63%, flavonoid content 310.82 μg /ml CEQ dan IC50 314.71 ppm.","author":[{"dropping-particle":"","family":"Palupi","given":"Musthikaningtyas Retno","non-dropping-particle":"","parse-names":false,"suffix":""},{"dropping-particle":"","family":"Widyaningsih","given":"Tri Dewanti","non-dropping-particle":"","parse-names":false,"suffix":""}],"container-title":"Jurnal Pangan dan Agroindustri","id":"ITEM-1","issue":"4","issued":{"date-parts":[["2015"]]},"page":"1458-1464","title":"Pembuatan Minuman Fungsional Liang Teh Daun Salam (Eugenia Polyantha) Dengan Penambahan Filtrat Jahe dan Filtrat Kayu Secang","type":"article-journal","volume":"3"},"uris":["http://www.mendeley.com/documents/?uuid=db1a4b0a-dff9-4ee8-b819-1a09a006a0b6"]}],"mendeley":{"formattedCitation":"(Palupi &amp; Widyaningsih, 2015)","manualFormatting":"(Palupi &amp; Widyaningsih, 2015;","plainTextFormattedCitation":"(Palupi &amp; Widyaningsih, 2015)","previouslyFormattedCitation":"(Palupi &amp; Widyaningsih, 2015)"},"properties":{"noteIndex":0},"schema":"https://github.com/citation-style-language/schema/raw/master/csl-citation.json"}</w:instrText>
      </w:r>
      <w:r w:rsidR="00713612" w:rsidRPr="00F07174">
        <w:rPr>
          <w:rFonts w:ascii="Century" w:hAnsi="Century"/>
        </w:rPr>
        <w:fldChar w:fldCharType="separate"/>
      </w:r>
      <w:r w:rsidRPr="00F07174">
        <w:rPr>
          <w:rFonts w:ascii="Century" w:hAnsi="Century"/>
          <w:noProof/>
        </w:rPr>
        <w:t>(Palupi &amp; Widyaningsih, 2015</w:t>
      </w:r>
      <w:r w:rsidRPr="00F07174">
        <w:rPr>
          <w:rFonts w:ascii="Century" w:hAnsi="Century"/>
          <w:noProof/>
          <w:lang w:val="id-ID"/>
        </w:rPr>
        <w:t>;</w:t>
      </w:r>
      <w:r w:rsidR="00713612" w:rsidRPr="00F07174">
        <w:rPr>
          <w:rFonts w:ascii="Century" w:hAnsi="Century"/>
        </w:rPr>
        <w:fldChar w:fldCharType="end"/>
      </w:r>
      <w:r w:rsidR="00713612" w:rsidRPr="00F07174">
        <w:rPr>
          <w:rFonts w:ascii="Century" w:hAnsi="Century"/>
        </w:rPr>
        <w:fldChar w:fldCharType="begin" w:fldLock="1"/>
      </w:r>
      <w:r w:rsidRPr="00F07174">
        <w:rPr>
          <w:rFonts w:ascii="Century" w:hAnsi="Century"/>
        </w:rPr>
        <w:instrText>ADDIN CSL_CITATION {"citationItems":[{"id":"ITEM-1","itemData":{"author":[{"dropping-particle":"","family":"Rusli","given":"Nirwati","non-dropping-particle":"","parse-names":false,"suffix":""},{"dropping-particle":"","family":"Liasambu","given":"Siti Hardiyanti","non-dropping-particle":"","parse-names":false,"suffix":""}],"container-title":"Journal of Pharmaceutical and Medicinal Sciences","id":"ITEM-1","issue":"17","issued":{"date-parts":[["2018"]]},"page":"6-9","title":"Formulasi Sediaan Teh Herbal Celup Dari Daun Salam ( Eugenia polyantha Wight .) Kombinasi Daun Sirsak (Annona muricata L.) Sebagai Alternatif Anti-Hipertensi","type":"article-journal","volume":"3"},"uris":["http://www.mendeley.com/documents/?uuid=51a40553-8ce2-4e4b-a003-9d323137a04d"]}],"mendeley":{"formattedCitation":"(Rusli &amp; Liasambu, 2018)","manualFormatting":"Rusli &amp; Liasambu, 2018)","plainTextFormattedCitation":"(Rusli &amp; Liasambu, 2018)","previouslyFormattedCitation":"(Rusli &amp; Liasambu, 2018)"},"properties":{"noteIndex":0},"schema":"https://github.com/citation-style-language/schema/raw/master/csl-citation.json"}</w:instrText>
      </w:r>
      <w:r w:rsidR="00713612" w:rsidRPr="00F07174">
        <w:rPr>
          <w:rFonts w:ascii="Century" w:hAnsi="Century"/>
        </w:rPr>
        <w:fldChar w:fldCharType="separate"/>
      </w:r>
      <w:r w:rsidRPr="00F07174">
        <w:rPr>
          <w:rFonts w:ascii="Century" w:hAnsi="Century"/>
          <w:noProof/>
        </w:rPr>
        <w:t>Rusli &amp; Liasambu, 2018)</w:t>
      </w:r>
      <w:r w:rsidR="00713612" w:rsidRPr="00F07174">
        <w:rPr>
          <w:rFonts w:ascii="Century" w:hAnsi="Century"/>
        </w:rPr>
        <w:fldChar w:fldCharType="end"/>
      </w:r>
      <w:r w:rsidRPr="00F07174">
        <w:rPr>
          <w:rFonts w:ascii="Century" w:hAnsi="Century"/>
        </w:rPr>
        <w:t xml:space="preserve"> yang bermanfaat bagi kesehatan diri sendiri maupun masyarakat.</w:t>
      </w:r>
    </w:p>
    <w:p w:rsidR="00D5771A" w:rsidRDefault="00D5771A" w:rsidP="00F17F9B">
      <w:pPr>
        <w:pStyle w:val="IEEEParagraph"/>
        <w:ind w:firstLine="0"/>
        <w:jc w:val="center"/>
        <w:rPr>
          <w:rFonts w:ascii="Century" w:hAnsi="Century"/>
        </w:rPr>
      </w:pPr>
    </w:p>
    <w:p w:rsidR="00F17F9B" w:rsidRPr="00D5771A" w:rsidRDefault="00F17F9B" w:rsidP="00F17F9B">
      <w:pPr>
        <w:pStyle w:val="IEEEParagraph"/>
        <w:ind w:firstLine="0"/>
        <w:jc w:val="center"/>
      </w:pPr>
      <w:r w:rsidRPr="00F17F9B">
        <w:rPr>
          <w:noProof/>
          <w:lang w:val="en-US" w:eastAsia="en-US"/>
        </w:rPr>
        <w:drawing>
          <wp:inline distT="0" distB="0" distL="0" distR="0">
            <wp:extent cx="2880000" cy="1799303"/>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9"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880000" cy="1799303"/>
                    </a:xfrm>
                    <a:prstGeom prst="rect">
                      <a:avLst/>
                    </a:prstGeom>
                    <a:noFill/>
                    <a:ln>
                      <a:noFill/>
                    </a:ln>
                    <a:effectLst/>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inline>
        </w:drawing>
      </w:r>
    </w:p>
    <w:p w:rsidR="00FA4CF1" w:rsidRPr="00AA5464" w:rsidRDefault="00E70EE3" w:rsidP="00BB64E7">
      <w:pPr>
        <w:pStyle w:val="IEEEFigureCaptionSingle-Line"/>
        <w:spacing w:before="0" w:after="0" w:line="276" w:lineRule="auto"/>
        <w:rPr>
          <w:rFonts w:ascii="Century" w:hAnsi="Century"/>
          <w:sz w:val="22"/>
          <w:szCs w:val="22"/>
        </w:rPr>
      </w:pPr>
      <w:r w:rsidRPr="00AA5464">
        <w:rPr>
          <w:rFonts w:ascii="Century" w:hAnsi="Century"/>
          <w:b/>
          <w:sz w:val="22"/>
          <w:szCs w:val="22"/>
        </w:rPr>
        <w:t>G</w:t>
      </w:r>
      <w:r w:rsidRPr="00AA5464">
        <w:rPr>
          <w:rFonts w:ascii="Century" w:hAnsi="Century"/>
          <w:b/>
          <w:sz w:val="22"/>
          <w:szCs w:val="22"/>
          <w:lang w:val="id-ID"/>
        </w:rPr>
        <w:t>am</w:t>
      </w:r>
      <w:r w:rsidRPr="00AA5464">
        <w:rPr>
          <w:rFonts w:ascii="Century" w:hAnsi="Century"/>
          <w:b/>
          <w:sz w:val="22"/>
          <w:szCs w:val="22"/>
        </w:rPr>
        <w:t>b</w:t>
      </w:r>
      <w:r w:rsidRPr="00AA5464">
        <w:rPr>
          <w:rFonts w:ascii="Century" w:hAnsi="Century"/>
          <w:b/>
          <w:sz w:val="22"/>
          <w:szCs w:val="22"/>
          <w:lang w:val="id-ID"/>
        </w:rPr>
        <w:t>a</w:t>
      </w:r>
      <w:r w:rsidRPr="00AA5464">
        <w:rPr>
          <w:rFonts w:ascii="Century" w:hAnsi="Century"/>
          <w:b/>
          <w:sz w:val="22"/>
          <w:szCs w:val="22"/>
        </w:rPr>
        <w:t>r</w:t>
      </w:r>
      <w:fldSimple w:instr=" SEQ Fig. \* ARABIC  \* MERGEFORMAT ">
        <w:r w:rsidR="004F3606" w:rsidRPr="00AA5464">
          <w:rPr>
            <w:rFonts w:ascii="Century" w:hAnsi="Century"/>
            <w:b/>
            <w:noProof/>
            <w:sz w:val="22"/>
            <w:szCs w:val="22"/>
          </w:rPr>
          <w:t>1</w:t>
        </w:r>
      </w:fldSimple>
      <w:r w:rsidRPr="00AA5464">
        <w:rPr>
          <w:rFonts w:ascii="Century" w:hAnsi="Century"/>
          <w:sz w:val="22"/>
          <w:szCs w:val="22"/>
          <w:lang w:val="id-ID"/>
        </w:rPr>
        <w:t>.</w:t>
      </w:r>
      <w:r w:rsidR="008D545C">
        <w:rPr>
          <w:rFonts w:ascii="Century" w:hAnsi="Century"/>
          <w:sz w:val="22"/>
          <w:szCs w:val="22"/>
        </w:rPr>
        <w:t xml:space="preserve"> Kegiatan Penyuluhan Kepada Masyarakat Desa Tebat Patah</w:t>
      </w:r>
    </w:p>
    <w:p w:rsidR="00E01DF5" w:rsidRPr="00AA5464" w:rsidRDefault="00E01DF5" w:rsidP="00BB64E7">
      <w:pPr>
        <w:pStyle w:val="IEEEParagraph"/>
        <w:spacing w:line="276" w:lineRule="auto"/>
        <w:rPr>
          <w:rFonts w:ascii="Century" w:hAnsi="Century"/>
        </w:rPr>
      </w:pPr>
    </w:p>
    <w:p w:rsidR="00E01DF5" w:rsidRPr="00AA5464" w:rsidRDefault="00F17F9B" w:rsidP="00BB64E7">
      <w:pPr>
        <w:pStyle w:val="IEEEParagraph"/>
        <w:spacing w:line="276" w:lineRule="auto"/>
        <w:jc w:val="center"/>
        <w:rPr>
          <w:rFonts w:ascii="Century" w:hAnsi="Century"/>
        </w:rPr>
      </w:pPr>
      <w:r w:rsidRPr="00F17F9B">
        <w:rPr>
          <w:rFonts w:ascii="Century" w:hAnsi="Century"/>
          <w:noProof/>
          <w:lang w:val="en-US" w:eastAsia="en-US"/>
        </w:rPr>
        <w:drawing>
          <wp:inline distT="0" distB="0" distL="0" distR="0">
            <wp:extent cx="2880000" cy="1799304"/>
            <wp:effectExtent l="19050" t="0" r="0" b="0"/>
            <wp:docPr id="2" name="Picture 1" descr="D:\KKN 2020 POSKO 04 TP\IMG-20200220-WA0033.jpg"/>
            <wp:cNvGraphicFramePr/>
            <a:graphic xmlns:a="http://schemas.openxmlformats.org/drawingml/2006/main">
              <a:graphicData uri="http://schemas.openxmlformats.org/drawingml/2006/picture">
                <pic:pic xmlns:pic="http://schemas.openxmlformats.org/drawingml/2006/picture">
                  <pic:nvPicPr>
                    <pic:cNvPr id="4" name="Picture 2" descr="D:\KKN 2020 POSKO 04 TP\IMG-20200220-WA0033.jpg"/>
                    <pic:cNvPicPr>
                      <a:picLocks noChangeAspect="1" noChangeArrowheads="1"/>
                    </pic:cNvPicPr>
                  </pic:nvPicPr>
                  <pic:blipFill>
                    <a:blip r:embed="rId20"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2880000" cy="1799304"/>
                    </a:xfrm>
                    <a:prstGeom prst="rect">
                      <a:avLst/>
                    </a:prstGeom>
                    <a:noFill/>
                    <a:extLst>
                      <a:ext uri="{909E8E84-426E-40DD-AFC4-6F175D3DCCD1}">
                        <a14:hiddenFill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E70EE3" w:rsidRDefault="00E01DF5" w:rsidP="008D545C">
      <w:pPr>
        <w:pStyle w:val="IEEEParagraph"/>
        <w:spacing w:line="276" w:lineRule="auto"/>
        <w:ind w:firstLine="0"/>
        <w:jc w:val="center"/>
        <w:rPr>
          <w:rFonts w:ascii="Century" w:hAnsi="Century"/>
          <w:sz w:val="22"/>
          <w:szCs w:val="22"/>
        </w:rPr>
      </w:pPr>
      <w:r w:rsidRPr="00AA5464">
        <w:rPr>
          <w:rFonts w:ascii="Century" w:hAnsi="Century"/>
          <w:b/>
          <w:sz w:val="22"/>
          <w:szCs w:val="22"/>
        </w:rPr>
        <w:t>G</w:t>
      </w:r>
      <w:r w:rsidRPr="00AA5464">
        <w:rPr>
          <w:rFonts w:ascii="Century" w:hAnsi="Century"/>
          <w:b/>
          <w:sz w:val="22"/>
          <w:szCs w:val="22"/>
          <w:lang w:val="id-ID"/>
        </w:rPr>
        <w:t>am</w:t>
      </w:r>
      <w:r w:rsidRPr="00AA5464">
        <w:rPr>
          <w:rFonts w:ascii="Century" w:hAnsi="Century"/>
          <w:b/>
          <w:sz w:val="22"/>
          <w:szCs w:val="22"/>
        </w:rPr>
        <w:t>b</w:t>
      </w:r>
      <w:r w:rsidRPr="00AA5464">
        <w:rPr>
          <w:rFonts w:ascii="Century" w:hAnsi="Century"/>
          <w:b/>
          <w:sz w:val="22"/>
          <w:szCs w:val="22"/>
          <w:lang w:val="id-ID"/>
        </w:rPr>
        <w:t>a</w:t>
      </w:r>
      <w:r w:rsidRPr="00AA5464">
        <w:rPr>
          <w:rFonts w:ascii="Century" w:hAnsi="Century"/>
          <w:b/>
          <w:sz w:val="22"/>
          <w:szCs w:val="22"/>
        </w:rPr>
        <w:t xml:space="preserve">r </w:t>
      </w:r>
      <w:r w:rsidR="00B770E6">
        <w:rPr>
          <w:rFonts w:ascii="Century" w:hAnsi="Century"/>
          <w:b/>
          <w:sz w:val="22"/>
          <w:szCs w:val="22"/>
        </w:rPr>
        <w:t>2</w:t>
      </w:r>
      <w:r w:rsidRPr="00AA5464">
        <w:rPr>
          <w:rFonts w:ascii="Century" w:hAnsi="Century"/>
          <w:sz w:val="22"/>
          <w:szCs w:val="22"/>
          <w:lang w:val="id-ID"/>
        </w:rPr>
        <w:t>.</w:t>
      </w:r>
      <w:r w:rsidR="00F17F9B">
        <w:rPr>
          <w:rFonts w:ascii="Century" w:hAnsi="Century"/>
          <w:sz w:val="22"/>
          <w:szCs w:val="22"/>
          <w:lang w:val="en-US"/>
        </w:rPr>
        <w:t xml:space="preserve"> Teh Daun Salam</w:t>
      </w:r>
      <w:r w:rsidRPr="00AA5464">
        <w:rPr>
          <w:rFonts w:ascii="Century" w:hAnsi="Century"/>
          <w:sz w:val="22"/>
          <w:szCs w:val="22"/>
        </w:rPr>
        <w:t xml:space="preserve">  </w:t>
      </w:r>
    </w:p>
    <w:p w:rsidR="008D545C" w:rsidRPr="008D545C" w:rsidRDefault="008D545C" w:rsidP="008D545C">
      <w:pPr>
        <w:pStyle w:val="IEEEParagraph"/>
        <w:spacing w:line="276" w:lineRule="auto"/>
        <w:ind w:firstLine="0"/>
        <w:jc w:val="center"/>
        <w:rPr>
          <w:rFonts w:ascii="Century" w:hAnsi="Century"/>
          <w:sz w:val="22"/>
          <w:szCs w:val="22"/>
        </w:rPr>
      </w:pPr>
    </w:p>
    <w:p w:rsidR="0062033E" w:rsidRPr="00AA5464" w:rsidRDefault="009D2660" w:rsidP="00A102D3">
      <w:pPr>
        <w:pStyle w:val="IEEEHeading1"/>
        <w:numPr>
          <w:ilvl w:val="0"/>
          <w:numId w:val="11"/>
        </w:numPr>
        <w:spacing w:before="0" w:after="0" w:line="276" w:lineRule="auto"/>
        <w:ind w:left="426" w:hanging="426"/>
        <w:jc w:val="left"/>
        <w:rPr>
          <w:rFonts w:ascii="Century" w:hAnsi="Century"/>
          <w:b/>
          <w:sz w:val="25"/>
          <w:szCs w:val="25"/>
          <w:lang w:val="en-US"/>
        </w:rPr>
      </w:pPr>
      <w:r w:rsidRPr="00AA5464">
        <w:rPr>
          <w:rFonts w:ascii="Century" w:hAnsi="Century"/>
          <w:b/>
          <w:sz w:val="25"/>
          <w:szCs w:val="25"/>
          <w:lang w:val="id-ID"/>
        </w:rPr>
        <w:t xml:space="preserve">SIMPULAN </w:t>
      </w:r>
      <w:r w:rsidR="00F870D3" w:rsidRPr="00AA5464">
        <w:rPr>
          <w:rFonts w:ascii="Century" w:hAnsi="Century"/>
          <w:b/>
          <w:sz w:val="25"/>
          <w:szCs w:val="25"/>
          <w:lang w:val="id-ID"/>
        </w:rPr>
        <w:t>DAN</w:t>
      </w:r>
      <w:r w:rsidR="00633178" w:rsidRPr="00AA5464">
        <w:rPr>
          <w:rFonts w:ascii="Century" w:hAnsi="Century"/>
          <w:b/>
          <w:sz w:val="25"/>
          <w:szCs w:val="25"/>
          <w:lang w:val="id-ID"/>
        </w:rPr>
        <w:t xml:space="preserve"> SARAN</w:t>
      </w:r>
    </w:p>
    <w:p w:rsidR="00A102D3" w:rsidRPr="00A102D3" w:rsidRDefault="00A102D3" w:rsidP="00A102D3">
      <w:pPr>
        <w:pStyle w:val="ListParagraph"/>
        <w:spacing w:line="276" w:lineRule="auto"/>
        <w:ind w:left="0" w:firstLine="426"/>
        <w:jc w:val="both"/>
        <w:rPr>
          <w:rFonts w:ascii="Century" w:hAnsi="Century"/>
        </w:rPr>
      </w:pPr>
      <w:r w:rsidRPr="00A102D3">
        <w:rPr>
          <w:rFonts w:ascii="Century" w:hAnsi="Century"/>
        </w:rPr>
        <w:t xml:space="preserve">Edukasi yang diberikan kepada masyarakat Desa Tebat Patah telah </w:t>
      </w:r>
      <w:r w:rsidRPr="00A102D3">
        <w:rPr>
          <w:rFonts w:ascii="Century" w:hAnsi="Century"/>
          <w:shd w:val="clear" w:color="auto" w:fill="FFFFFF"/>
        </w:rPr>
        <w:t>meningkatkan pemahaman serta kesadaran masyarakat terhadap perilaku hidup sehat untuk men</w:t>
      </w:r>
      <w:r w:rsidR="00FE21B8">
        <w:rPr>
          <w:rFonts w:ascii="Century" w:hAnsi="Century"/>
          <w:shd w:val="clear" w:color="auto" w:fill="FFFFFF"/>
        </w:rPr>
        <w:t xml:space="preserve">gendalikan penyakit hipertensi. </w:t>
      </w:r>
      <w:r w:rsidRPr="00A102D3">
        <w:rPr>
          <w:rFonts w:ascii="Century" w:hAnsi="Century"/>
          <w:shd w:val="clear" w:color="auto" w:fill="FFFFFF"/>
        </w:rPr>
        <w:t>Demonstrasi pembuatan teh daun salam telah meningkatkan minat masyarakat dalam pemanfaatan bahan herbal</w:t>
      </w:r>
      <w:r w:rsidRPr="00A102D3">
        <w:rPr>
          <w:rFonts w:ascii="Century" w:hAnsi="Century"/>
        </w:rPr>
        <w:t xml:space="preserve"> sebagai alternatif terapi hipertensi.</w:t>
      </w:r>
    </w:p>
    <w:p w:rsidR="00BB64E7" w:rsidRPr="00AA5464" w:rsidRDefault="00BB64E7" w:rsidP="00420C35">
      <w:pPr>
        <w:pStyle w:val="IEEEParagraph"/>
        <w:spacing w:line="276" w:lineRule="auto"/>
        <w:ind w:firstLine="0"/>
        <w:rPr>
          <w:rFonts w:ascii="Century" w:hAnsi="Century"/>
          <w:lang w:val="en-US"/>
        </w:rPr>
      </w:pPr>
    </w:p>
    <w:p w:rsidR="003950A4" w:rsidRPr="00AA5464" w:rsidRDefault="009570BE" w:rsidP="00BB64E7">
      <w:pPr>
        <w:pStyle w:val="IEEEHeading1"/>
        <w:numPr>
          <w:ilvl w:val="0"/>
          <w:numId w:val="0"/>
        </w:numPr>
        <w:spacing w:before="0" w:after="0" w:line="276" w:lineRule="auto"/>
        <w:jc w:val="left"/>
        <w:rPr>
          <w:rFonts w:ascii="Century" w:hAnsi="Century"/>
          <w:b/>
          <w:sz w:val="25"/>
          <w:szCs w:val="25"/>
          <w:lang w:val="en-US"/>
        </w:rPr>
      </w:pPr>
      <w:r w:rsidRPr="00AA5464">
        <w:rPr>
          <w:rFonts w:ascii="Century" w:hAnsi="Century"/>
          <w:b/>
          <w:sz w:val="25"/>
          <w:szCs w:val="25"/>
          <w:lang w:val="en-US"/>
        </w:rPr>
        <w:t>UCAPAN TERIMA KASIH</w:t>
      </w:r>
    </w:p>
    <w:p w:rsidR="00E01DF5" w:rsidRPr="00AA5464" w:rsidRDefault="00E01DF5" w:rsidP="00A102D3">
      <w:pPr>
        <w:pStyle w:val="IEEEParagraph"/>
        <w:spacing w:line="276" w:lineRule="auto"/>
        <w:ind w:firstLine="426"/>
        <w:rPr>
          <w:rStyle w:val="longtext"/>
          <w:rFonts w:ascii="Century" w:hAnsi="Century"/>
          <w:shd w:val="clear" w:color="auto" w:fill="FFFFFF"/>
          <w:lang w:val="sv-SE"/>
        </w:rPr>
      </w:pPr>
      <w:r w:rsidRPr="00AA5464">
        <w:rPr>
          <w:rStyle w:val="longtext"/>
          <w:rFonts w:ascii="Century" w:hAnsi="Century"/>
          <w:shd w:val="clear" w:color="auto" w:fill="FFFFFF"/>
          <w:lang w:val="sv-SE"/>
        </w:rPr>
        <w:t xml:space="preserve">Tim penulis mengucapkan terima kasih kepada </w:t>
      </w:r>
      <w:r w:rsidR="000A63A3">
        <w:rPr>
          <w:rStyle w:val="longtext"/>
          <w:rFonts w:ascii="Century" w:hAnsi="Century"/>
          <w:shd w:val="clear" w:color="auto" w:fill="FFFFFF"/>
          <w:lang w:val="sv-SE"/>
        </w:rPr>
        <w:t>ketua panitia KKN Stikes Harapan Ibu Jambi, Kepala Desa Tebat Patah, Pembimbing Institusi dan Pembimbing Lahan Posko 04 D</w:t>
      </w:r>
      <w:r w:rsidR="00FE21B8">
        <w:rPr>
          <w:rStyle w:val="longtext"/>
          <w:rFonts w:ascii="Century" w:hAnsi="Century"/>
          <w:shd w:val="clear" w:color="auto" w:fill="FFFFFF"/>
          <w:lang w:val="sv-SE"/>
        </w:rPr>
        <w:t>e</w:t>
      </w:r>
      <w:r w:rsidR="000A63A3">
        <w:rPr>
          <w:rStyle w:val="longtext"/>
          <w:rFonts w:ascii="Century" w:hAnsi="Century"/>
          <w:shd w:val="clear" w:color="auto" w:fill="FFFFFF"/>
          <w:lang w:val="sv-SE"/>
        </w:rPr>
        <w:t xml:space="preserve">sa Tebat Patah, seluruh Perangkat Desa Tebat Patah serta seluruh masyarakat Desa Tebat Patah </w:t>
      </w:r>
      <w:r w:rsidRPr="00AA5464">
        <w:rPr>
          <w:rStyle w:val="longtext"/>
          <w:rFonts w:ascii="Century" w:hAnsi="Century"/>
          <w:shd w:val="clear" w:color="auto" w:fill="FFFFFF"/>
          <w:lang w:val="sv-SE"/>
        </w:rPr>
        <w:t xml:space="preserve">yang telah </w:t>
      </w:r>
      <w:r w:rsidR="000A63A3">
        <w:rPr>
          <w:rStyle w:val="longtext"/>
          <w:rFonts w:ascii="Century" w:hAnsi="Century"/>
          <w:shd w:val="clear" w:color="auto" w:fill="FFFFFF"/>
          <w:lang w:val="sv-SE"/>
        </w:rPr>
        <w:t xml:space="preserve">berkontribusi dalam </w:t>
      </w:r>
      <w:r w:rsidRPr="00AA5464">
        <w:rPr>
          <w:rStyle w:val="longtext"/>
          <w:rFonts w:ascii="Century" w:hAnsi="Century"/>
          <w:shd w:val="clear" w:color="auto" w:fill="FFFFFF"/>
          <w:lang w:val="sv-SE"/>
        </w:rPr>
        <w:t>kegiatan pengabdian ini sehingga terlaksana dengan baik.</w:t>
      </w:r>
    </w:p>
    <w:p w:rsidR="005D79BF" w:rsidRPr="00AA5464" w:rsidRDefault="005D79BF" w:rsidP="00420C35">
      <w:pPr>
        <w:pStyle w:val="IEEEParagraph"/>
        <w:spacing w:line="276" w:lineRule="auto"/>
        <w:ind w:firstLine="0"/>
        <w:rPr>
          <w:rFonts w:ascii="Century" w:hAnsi="Century"/>
          <w:lang w:val="sv-SE"/>
        </w:rPr>
      </w:pPr>
    </w:p>
    <w:p w:rsidR="000A63A3" w:rsidRPr="00B770E6" w:rsidRDefault="00633178" w:rsidP="00B770E6">
      <w:pPr>
        <w:pStyle w:val="IEEEHeading1"/>
        <w:numPr>
          <w:ilvl w:val="0"/>
          <w:numId w:val="0"/>
        </w:numPr>
        <w:spacing w:before="0" w:after="0" w:line="276" w:lineRule="auto"/>
        <w:jc w:val="left"/>
        <w:rPr>
          <w:rFonts w:ascii="Century" w:hAnsi="Century"/>
          <w:b/>
          <w:sz w:val="25"/>
          <w:szCs w:val="25"/>
          <w:lang w:val="en-US"/>
        </w:rPr>
      </w:pPr>
      <w:r w:rsidRPr="00AA5464">
        <w:rPr>
          <w:rFonts w:ascii="Century" w:hAnsi="Century"/>
          <w:b/>
          <w:sz w:val="25"/>
          <w:szCs w:val="25"/>
          <w:lang w:val="id-ID"/>
        </w:rPr>
        <w:t>DAFTAR RUJUKAN</w:t>
      </w:r>
    </w:p>
    <w:p w:rsidR="000A63A3" w:rsidRPr="000A63A3" w:rsidRDefault="00713612" w:rsidP="000A63A3">
      <w:pPr>
        <w:widowControl w:val="0"/>
        <w:autoSpaceDE w:val="0"/>
        <w:autoSpaceDN w:val="0"/>
        <w:adjustRightInd w:val="0"/>
        <w:ind w:left="480" w:hanging="480"/>
        <w:jc w:val="both"/>
        <w:rPr>
          <w:rFonts w:ascii="Century" w:hAnsi="Century"/>
          <w:noProof/>
          <w:sz w:val="22"/>
        </w:rPr>
      </w:pPr>
      <w:r w:rsidRPr="00713612">
        <w:rPr>
          <w:rFonts w:ascii="Century" w:hAnsi="Century"/>
          <w:sz w:val="22"/>
          <w:szCs w:val="22"/>
          <w:lang w:val="id-ID"/>
        </w:rPr>
        <w:fldChar w:fldCharType="begin" w:fldLock="1"/>
      </w:r>
      <w:r w:rsidR="000A63A3" w:rsidRPr="000A63A3">
        <w:rPr>
          <w:rFonts w:ascii="Century" w:hAnsi="Century"/>
          <w:sz w:val="22"/>
          <w:szCs w:val="22"/>
          <w:lang w:val="id-ID"/>
        </w:rPr>
        <w:instrText xml:space="preserve">ADDIN Mendeley Bibliography CSL_BIBLIOGRAPHY </w:instrText>
      </w:r>
      <w:r w:rsidRPr="00713612">
        <w:rPr>
          <w:rFonts w:ascii="Century" w:hAnsi="Century"/>
          <w:sz w:val="22"/>
          <w:szCs w:val="22"/>
          <w:lang w:val="id-ID"/>
        </w:rPr>
        <w:fldChar w:fldCharType="separate"/>
      </w:r>
      <w:r w:rsidR="000A63A3" w:rsidRPr="000A63A3">
        <w:rPr>
          <w:rFonts w:ascii="Century" w:hAnsi="Century"/>
          <w:noProof/>
          <w:sz w:val="22"/>
        </w:rPr>
        <w:t xml:space="preserve">Andoko, &amp; Pangesti, D. N. (2016). </w:t>
      </w:r>
      <w:r w:rsidR="000A63A3" w:rsidRPr="000A63A3">
        <w:rPr>
          <w:rFonts w:ascii="Century" w:hAnsi="Century"/>
          <w:i/>
          <w:iCs/>
          <w:noProof/>
          <w:sz w:val="22"/>
        </w:rPr>
        <w:t>Efektifitas Rebusan Daun Salam terhadap Penurunan Tekanan Darah pada Penderita Hipertensi</w:t>
      </w:r>
      <w:r w:rsidR="000A63A3" w:rsidRPr="000A63A3">
        <w:rPr>
          <w:rFonts w:ascii="Century" w:hAnsi="Century"/>
          <w:noProof/>
          <w:sz w:val="22"/>
        </w:rPr>
        <w:t xml:space="preserve">. </w:t>
      </w:r>
      <w:r w:rsidR="000A63A3" w:rsidRPr="000A63A3">
        <w:rPr>
          <w:rFonts w:ascii="Century" w:hAnsi="Century"/>
          <w:i/>
          <w:iCs/>
          <w:noProof/>
          <w:sz w:val="22"/>
        </w:rPr>
        <w:t>10</w:t>
      </w:r>
      <w:r w:rsidR="000A63A3" w:rsidRPr="000A63A3">
        <w:rPr>
          <w:rFonts w:ascii="Century" w:hAnsi="Century"/>
          <w:noProof/>
          <w:sz w:val="22"/>
        </w:rPr>
        <w:t>(2), 1–4.</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Andriaansz, P. N., Rottie, J., &amp; Lolong, J. (2016). Hubungan Konsumsi Makanan </w:t>
      </w:r>
      <w:r w:rsidRPr="000A63A3">
        <w:rPr>
          <w:rFonts w:ascii="Century" w:hAnsi="Century"/>
          <w:noProof/>
          <w:sz w:val="22"/>
        </w:rPr>
        <w:lastRenderedPageBreak/>
        <w:t xml:space="preserve">Dengan Kejadian Hipertensi Pada Lansia Di Puskesmasranomuut Kota Manado. </w:t>
      </w:r>
      <w:r w:rsidRPr="000A63A3">
        <w:rPr>
          <w:rFonts w:ascii="Century" w:hAnsi="Century"/>
          <w:i/>
          <w:iCs/>
          <w:noProof/>
          <w:sz w:val="22"/>
        </w:rPr>
        <w:t>Jurnal Keperawatan</w:t>
      </w:r>
      <w:r w:rsidRPr="000A63A3">
        <w:rPr>
          <w:rFonts w:ascii="Century" w:hAnsi="Century"/>
          <w:noProof/>
          <w:sz w:val="22"/>
        </w:rPr>
        <w:t xml:space="preserve">, </w:t>
      </w:r>
      <w:r w:rsidRPr="000A63A3">
        <w:rPr>
          <w:rFonts w:ascii="Century" w:hAnsi="Century"/>
          <w:i/>
          <w:iCs/>
          <w:noProof/>
          <w:sz w:val="22"/>
        </w:rPr>
        <w:t>4</w:t>
      </w:r>
      <w:r w:rsidRPr="000A63A3">
        <w:rPr>
          <w:rFonts w:ascii="Century" w:hAnsi="Century"/>
          <w:noProof/>
          <w:sz w:val="22"/>
        </w:rPr>
        <w:t>(1).</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Asih, S. W. (2018). Pengaruh Rebusan Daun Salam Terhadap Penurunan Tekanan Darah Pada Lansia Penderita Hipertensi Di Wisma Seruni Upt Pslu Jember. </w:t>
      </w:r>
      <w:r w:rsidRPr="000A63A3">
        <w:rPr>
          <w:rFonts w:ascii="Century" w:hAnsi="Century"/>
          <w:i/>
          <w:iCs/>
          <w:noProof/>
          <w:sz w:val="22"/>
        </w:rPr>
        <w:t>The Indonesian Journal of Health Science</w:t>
      </w:r>
      <w:r w:rsidRPr="000A63A3">
        <w:rPr>
          <w:rFonts w:ascii="Century" w:hAnsi="Century"/>
          <w:noProof/>
          <w:sz w:val="22"/>
        </w:rPr>
        <w:t>, (September), 169. https://doi.org/10.32528/ijhs.v0i0.1543</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Dafriani, P. (2016). Pengaruh Rebusan Daun Salam (Syzigium Polyanthum Wight Walp) terhadap Tekanan Darah Pasien Hipertensi di Sungai Bungkal, Kerinci 2016. </w:t>
      </w:r>
      <w:r w:rsidRPr="000A63A3">
        <w:rPr>
          <w:rFonts w:ascii="Century" w:hAnsi="Century"/>
          <w:i/>
          <w:iCs/>
          <w:noProof/>
          <w:sz w:val="22"/>
        </w:rPr>
        <w:t>Jurnal Kesehatan Medika Saintika</w:t>
      </w:r>
      <w:r w:rsidRPr="000A63A3">
        <w:rPr>
          <w:rFonts w:ascii="Century" w:hAnsi="Century"/>
          <w:noProof/>
          <w:sz w:val="22"/>
        </w:rPr>
        <w:t xml:space="preserve">, </w:t>
      </w:r>
      <w:r w:rsidRPr="000A63A3">
        <w:rPr>
          <w:rFonts w:ascii="Century" w:hAnsi="Century"/>
          <w:i/>
          <w:iCs/>
          <w:noProof/>
          <w:sz w:val="22"/>
        </w:rPr>
        <w:t>7</w:t>
      </w:r>
      <w:r w:rsidRPr="000A63A3">
        <w:rPr>
          <w:rFonts w:ascii="Century" w:hAnsi="Century"/>
          <w:noProof/>
          <w:sz w:val="22"/>
        </w:rPr>
        <w:t>(2), 25–34.</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Damayantie, N., Heryani, E., &amp; Muazir. (2018). Faktor-faktor yang Memperngaruhi Perilaku Penatalaksanaan Hipertensi oleh Penderita di Wilayah Kerja Puskesmas Sekernan Ilir Kabupaten Muaro Jambi Tahun 2018. </w:t>
      </w:r>
      <w:r w:rsidRPr="000A63A3">
        <w:rPr>
          <w:rFonts w:ascii="Century" w:hAnsi="Century"/>
          <w:i/>
          <w:iCs/>
          <w:noProof/>
          <w:sz w:val="22"/>
        </w:rPr>
        <w:t>Jurnal Ners Dan Kebidanan</w:t>
      </w:r>
      <w:r w:rsidRPr="000A63A3">
        <w:rPr>
          <w:rFonts w:ascii="Century" w:hAnsi="Century"/>
          <w:noProof/>
          <w:sz w:val="22"/>
        </w:rPr>
        <w:t xml:space="preserve">, </w:t>
      </w:r>
      <w:r w:rsidRPr="000A63A3">
        <w:rPr>
          <w:rFonts w:ascii="Century" w:hAnsi="Century"/>
          <w:i/>
          <w:iCs/>
          <w:noProof/>
          <w:sz w:val="22"/>
        </w:rPr>
        <w:t>05</w:t>
      </w:r>
      <w:r w:rsidRPr="000A63A3">
        <w:rPr>
          <w:rFonts w:ascii="Century" w:hAnsi="Century"/>
          <w:noProof/>
          <w:sz w:val="22"/>
        </w:rPr>
        <w:t>(03), 224–232. https://doi.org/10.26699/jnk.v5i3.ART.p224</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Djohari, M., &amp; Paramitha, R. (2015). Efektivitas Rebusan Daun Salam (Syzygium polyanthum) terhadap Penurunan Kadar Asam Urat dalam Darah Mencit Putih Jantan. </w:t>
      </w:r>
      <w:r w:rsidRPr="000A63A3">
        <w:rPr>
          <w:rFonts w:ascii="Century" w:hAnsi="Century"/>
          <w:i/>
          <w:iCs/>
          <w:noProof/>
          <w:sz w:val="22"/>
        </w:rPr>
        <w:t>Pharmacy</w:t>
      </w:r>
      <w:r w:rsidRPr="000A63A3">
        <w:rPr>
          <w:rFonts w:ascii="Century" w:hAnsi="Century"/>
          <w:noProof/>
          <w:sz w:val="22"/>
        </w:rPr>
        <w:t xml:space="preserve">, </w:t>
      </w:r>
      <w:r w:rsidRPr="000A63A3">
        <w:rPr>
          <w:rFonts w:ascii="Century" w:hAnsi="Century"/>
          <w:i/>
          <w:iCs/>
          <w:noProof/>
          <w:sz w:val="22"/>
        </w:rPr>
        <w:t>12</w:t>
      </w:r>
      <w:r w:rsidRPr="000A63A3">
        <w:rPr>
          <w:rFonts w:ascii="Century" w:hAnsi="Century"/>
          <w:noProof/>
          <w:sz w:val="22"/>
        </w:rPr>
        <w:t>(02), 1–9.</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Herawati, &amp; Sartika, W. (2013). </w:t>
      </w:r>
      <w:r w:rsidRPr="000A63A3">
        <w:rPr>
          <w:rFonts w:ascii="Century" w:hAnsi="Century"/>
          <w:i/>
          <w:iCs/>
          <w:noProof/>
          <w:sz w:val="22"/>
        </w:rPr>
        <w:t>Terkontrolnya Tekanan Darah Penderita Hipertensi Berdasarkan Pola Diet Dan Kebiasaan Olah Raga Dipadang Tahun 2011</w:t>
      </w:r>
      <w:r w:rsidRPr="000A63A3">
        <w:rPr>
          <w:rFonts w:ascii="Century" w:hAnsi="Century"/>
          <w:noProof/>
          <w:sz w:val="22"/>
        </w:rPr>
        <w:t xml:space="preserve">. </w:t>
      </w:r>
      <w:r w:rsidRPr="000A63A3">
        <w:rPr>
          <w:rFonts w:ascii="Century" w:hAnsi="Century"/>
          <w:i/>
          <w:iCs/>
          <w:noProof/>
          <w:sz w:val="22"/>
        </w:rPr>
        <w:t>8</w:t>
      </w:r>
      <w:r w:rsidRPr="000A63A3">
        <w:rPr>
          <w:rFonts w:ascii="Century" w:hAnsi="Century"/>
          <w:noProof/>
          <w:sz w:val="22"/>
        </w:rPr>
        <w:t>(1), 8–14.</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Kementerian Kesehatan RI. (2019). </w:t>
      </w:r>
      <w:r w:rsidRPr="000A63A3">
        <w:rPr>
          <w:rFonts w:ascii="Century" w:hAnsi="Century"/>
          <w:i/>
          <w:iCs/>
          <w:noProof/>
          <w:sz w:val="22"/>
        </w:rPr>
        <w:t>Profil Kesehatan Indonesia Tahun 2018</w:t>
      </w:r>
      <w:r w:rsidRPr="000A63A3">
        <w:rPr>
          <w:rFonts w:ascii="Century" w:hAnsi="Century"/>
          <w:noProof/>
          <w:sz w:val="22"/>
        </w:rPr>
        <w:t>.</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Korneliani, K., &amp; Meida, D. (2012). Obesitas Dan Stress Dengan Kejadian Hipertensi. </w:t>
      </w:r>
      <w:r w:rsidRPr="000A63A3">
        <w:rPr>
          <w:rFonts w:ascii="Century" w:hAnsi="Century"/>
          <w:i/>
          <w:iCs/>
          <w:noProof/>
          <w:sz w:val="22"/>
        </w:rPr>
        <w:t>KESMAS - Jurnal Kesehatan Masyarakat</w:t>
      </w:r>
      <w:r w:rsidRPr="000A63A3">
        <w:rPr>
          <w:rFonts w:ascii="Century" w:hAnsi="Century"/>
          <w:noProof/>
          <w:sz w:val="22"/>
        </w:rPr>
        <w:t xml:space="preserve">, </w:t>
      </w:r>
      <w:r w:rsidRPr="000A63A3">
        <w:rPr>
          <w:rFonts w:ascii="Century" w:hAnsi="Century"/>
          <w:i/>
          <w:iCs/>
          <w:noProof/>
          <w:sz w:val="22"/>
        </w:rPr>
        <w:t>7</w:t>
      </w:r>
      <w:r w:rsidRPr="000A63A3">
        <w:rPr>
          <w:rFonts w:ascii="Century" w:hAnsi="Century"/>
          <w:noProof/>
          <w:sz w:val="22"/>
        </w:rPr>
        <w:t>(2), 117–121. https://doi.org/10.15294/kemas.v7i2.2806</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Nopriyanto, D., Aminuddin, M., Samsugito, I., Puspasari, R., Ruminem, R., &amp; Syukmana, M. (2019). Meningkatkan Peran Serta Masyarakat Dalam Upaya Menurunkan Peningkatan Penyakit Tidak Menular (PTM). </w:t>
      </w:r>
      <w:r w:rsidRPr="000A63A3">
        <w:rPr>
          <w:rFonts w:ascii="Century" w:hAnsi="Century"/>
          <w:i/>
          <w:iCs/>
          <w:noProof/>
          <w:sz w:val="22"/>
        </w:rPr>
        <w:t>JPPM (Jurnal Pengabdian Dan Pemberdayaan Masyarakat)</w:t>
      </w:r>
      <w:r w:rsidRPr="000A63A3">
        <w:rPr>
          <w:rFonts w:ascii="Century" w:hAnsi="Century"/>
          <w:noProof/>
          <w:sz w:val="22"/>
        </w:rPr>
        <w:t xml:space="preserve">, </w:t>
      </w:r>
      <w:r w:rsidRPr="000A63A3">
        <w:rPr>
          <w:rFonts w:ascii="Century" w:hAnsi="Century"/>
          <w:i/>
          <w:iCs/>
          <w:noProof/>
          <w:sz w:val="22"/>
        </w:rPr>
        <w:t>3</w:t>
      </w:r>
      <w:r w:rsidRPr="000A63A3">
        <w:rPr>
          <w:rFonts w:ascii="Century" w:hAnsi="Century"/>
          <w:noProof/>
          <w:sz w:val="22"/>
        </w:rPr>
        <w:t>(2), 285. https://doi.org/10.30595/jppm.v3i2.4726</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Palupi, M. R., &amp; Widyaningsih, T. D. (2015). Pembuatan Minuman Fungsional Liang Teh Daun Salam (Eugenia Polyantha) Dengan Penambahan Filtrat Jahe dan Filtrat Kayu Secang. </w:t>
      </w:r>
      <w:r w:rsidRPr="000A63A3">
        <w:rPr>
          <w:rFonts w:ascii="Century" w:hAnsi="Century"/>
          <w:i/>
          <w:iCs/>
          <w:noProof/>
          <w:sz w:val="22"/>
        </w:rPr>
        <w:t>Jurnal Pangan Dan Agroindustri</w:t>
      </w:r>
      <w:r w:rsidRPr="000A63A3">
        <w:rPr>
          <w:rFonts w:ascii="Century" w:hAnsi="Century"/>
          <w:noProof/>
          <w:sz w:val="22"/>
        </w:rPr>
        <w:t xml:space="preserve">, </w:t>
      </w:r>
      <w:r w:rsidRPr="000A63A3">
        <w:rPr>
          <w:rFonts w:ascii="Century" w:hAnsi="Century"/>
          <w:i/>
          <w:iCs/>
          <w:noProof/>
          <w:sz w:val="22"/>
        </w:rPr>
        <w:t>3</w:t>
      </w:r>
      <w:r w:rsidRPr="000A63A3">
        <w:rPr>
          <w:rFonts w:ascii="Century" w:hAnsi="Century"/>
          <w:noProof/>
          <w:sz w:val="22"/>
        </w:rPr>
        <w:t>(4), 1458–1464.</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Prahastuti, S., Tjahjani, S., Hartini, E., Kedokteran, F., Maranatha, U. K., Prof, J., … Indonesia, B. (2011). The Effect of Bay Leaf Infusion (Syzygium Polyanthum (Wigt) Walp) to Decrease Blood Total Cholesterol Level in Dyslipidemia Model Wistar Rats. </w:t>
      </w:r>
      <w:r w:rsidRPr="000A63A3">
        <w:rPr>
          <w:rFonts w:ascii="Century" w:hAnsi="Century"/>
          <w:i/>
          <w:iCs/>
          <w:noProof/>
          <w:sz w:val="22"/>
        </w:rPr>
        <w:t>Jurnal Medika Planta</w:t>
      </w:r>
      <w:r w:rsidRPr="000A63A3">
        <w:rPr>
          <w:rFonts w:ascii="Century" w:hAnsi="Century"/>
          <w:noProof/>
          <w:sz w:val="22"/>
        </w:rPr>
        <w:t xml:space="preserve">, </w:t>
      </w:r>
      <w:r w:rsidRPr="000A63A3">
        <w:rPr>
          <w:rFonts w:ascii="Century" w:hAnsi="Century"/>
          <w:i/>
          <w:iCs/>
          <w:noProof/>
          <w:sz w:val="22"/>
        </w:rPr>
        <w:t>1</w:t>
      </w:r>
      <w:r w:rsidRPr="000A63A3">
        <w:rPr>
          <w:rFonts w:ascii="Century" w:hAnsi="Century"/>
          <w:noProof/>
          <w:sz w:val="22"/>
        </w:rPr>
        <w:t>(4), 27–32.</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Putri, T. U. A., &amp; Sumekar, D. W. (2017). Uji Efektivitas Daun Salam ( Sizygium polyantha ) sebagai Antihipertensi pada Tikus Galur Wistar. </w:t>
      </w:r>
      <w:r w:rsidRPr="000A63A3">
        <w:rPr>
          <w:rFonts w:ascii="Century" w:hAnsi="Century"/>
          <w:i/>
          <w:iCs/>
          <w:noProof/>
          <w:sz w:val="22"/>
        </w:rPr>
        <w:t>Majority</w:t>
      </w:r>
      <w:r w:rsidRPr="000A63A3">
        <w:rPr>
          <w:rFonts w:ascii="Century" w:hAnsi="Century"/>
          <w:noProof/>
          <w:sz w:val="22"/>
        </w:rPr>
        <w:t xml:space="preserve">, </w:t>
      </w:r>
      <w:r w:rsidRPr="000A63A3">
        <w:rPr>
          <w:rFonts w:ascii="Century" w:hAnsi="Century"/>
          <w:i/>
          <w:iCs/>
          <w:noProof/>
          <w:sz w:val="22"/>
        </w:rPr>
        <w:t>6</w:t>
      </w:r>
      <w:r w:rsidRPr="000A63A3">
        <w:rPr>
          <w:rFonts w:ascii="Century" w:hAnsi="Century"/>
          <w:noProof/>
          <w:sz w:val="22"/>
        </w:rPr>
        <w:t>(1), 77–81.</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Roshifanni, S. (2016). Risiko Hipertensi pada Orang dengan Pola Tidur Buruk. </w:t>
      </w:r>
      <w:r w:rsidRPr="000A63A3">
        <w:rPr>
          <w:rFonts w:ascii="Century" w:hAnsi="Century"/>
          <w:i/>
          <w:iCs/>
          <w:noProof/>
          <w:sz w:val="22"/>
        </w:rPr>
        <w:t>Jurnal Berkala Epidemiologi</w:t>
      </w:r>
      <w:r w:rsidRPr="000A63A3">
        <w:rPr>
          <w:rFonts w:ascii="Century" w:hAnsi="Century"/>
          <w:noProof/>
          <w:sz w:val="22"/>
        </w:rPr>
        <w:t xml:space="preserve">, </w:t>
      </w:r>
      <w:r w:rsidRPr="000A63A3">
        <w:rPr>
          <w:rFonts w:ascii="Century" w:hAnsi="Century"/>
          <w:i/>
          <w:iCs/>
          <w:noProof/>
          <w:sz w:val="22"/>
        </w:rPr>
        <w:t>4</w:t>
      </w:r>
      <w:r w:rsidRPr="000A63A3">
        <w:rPr>
          <w:rFonts w:ascii="Century" w:hAnsi="Century"/>
          <w:noProof/>
          <w:sz w:val="22"/>
        </w:rPr>
        <w:t>(3), 384–395. https://doi.org/10.20473/jbe.v4i3</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Rusli, N., &amp; Liasambu, S. H. (2018). Formulasi Sediaan Teh Herbal Celup Dari Daun Salam ( Eugenia polyantha Wight .) Kombinasi Daun Sirsak (Annona muricata L.) Sebagai Alternatif Anti-Hipertensi. </w:t>
      </w:r>
      <w:r w:rsidRPr="000A63A3">
        <w:rPr>
          <w:rFonts w:ascii="Century" w:hAnsi="Century"/>
          <w:i/>
          <w:iCs/>
          <w:noProof/>
          <w:sz w:val="22"/>
        </w:rPr>
        <w:t>Journal of Pharmaceutical and Medicinal Sciences</w:t>
      </w:r>
      <w:r w:rsidRPr="000A63A3">
        <w:rPr>
          <w:rFonts w:ascii="Century" w:hAnsi="Century"/>
          <w:noProof/>
          <w:sz w:val="22"/>
        </w:rPr>
        <w:t xml:space="preserve">, </w:t>
      </w:r>
      <w:r w:rsidRPr="000A63A3">
        <w:rPr>
          <w:rFonts w:ascii="Century" w:hAnsi="Century"/>
          <w:i/>
          <w:iCs/>
          <w:noProof/>
          <w:sz w:val="22"/>
        </w:rPr>
        <w:t>3</w:t>
      </w:r>
      <w:r w:rsidRPr="000A63A3">
        <w:rPr>
          <w:rFonts w:ascii="Century" w:hAnsi="Century"/>
          <w:noProof/>
          <w:sz w:val="22"/>
        </w:rPr>
        <w:t>(17), 6–9.</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Sammulia, S. F., &amp; Suhaera, S. (2019). Pencegahan dan Pengendalian Hipertensi dan Asam Urat Ringan Melalui Tanaman Obat Keluarga (TOGA). </w:t>
      </w:r>
      <w:r w:rsidRPr="000A63A3">
        <w:rPr>
          <w:rFonts w:ascii="Century" w:hAnsi="Century"/>
          <w:i/>
          <w:iCs/>
          <w:noProof/>
          <w:sz w:val="22"/>
        </w:rPr>
        <w:t>JPPM (Jurnal Pengabdian Dan Pemberdayaan Masyarakat)</w:t>
      </w:r>
      <w:r w:rsidRPr="000A63A3">
        <w:rPr>
          <w:rFonts w:ascii="Century" w:hAnsi="Century"/>
          <w:noProof/>
          <w:sz w:val="22"/>
        </w:rPr>
        <w:t xml:space="preserve">, </w:t>
      </w:r>
      <w:r w:rsidRPr="000A63A3">
        <w:rPr>
          <w:rFonts w:ascii="Century" w:hAnsi="Century"/>
          <w:i/>
          <w:iCs/>
          <w:noProof/>
          <w:sz w:val="22"/>
        </w:rPr>
        <w:t>3</w:t>
      </w:r>
      <w:r w:rsidRPr="000A63A3">
        <w:rPr>
          <w:rFonts w:ascii="Century" w:hAnsi="Century"/>
          <w:noProof/>
          <w:sz w:val="22"/>
        </w:rPr>
        <w:t>(2), 201. https://doi.org/10.30595/jppm.v3i2.4472</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Sartik, Tjekyan, R. S., &amp; Zulkarnain, M. (2017). Faktor-faktor Risiko dan Angka Kejadian Hipertensi pada Penduduk Palembang. </w:t>
      </w:r>
      <w:r w:rsidRPr="000A63A3">
        <w:rPr>
          <w:rFonts w:ascii="Century" w:hAnsi="Century"/>
          <w:i/>
          <w:iCs/>
          <w:noProof/>
          <w:sz w:val="22"/>
        </w:rPr>
        <w:t>Jurnal Ilmu Kesehatan Masyarakat</w:t>
      </w:r>
      <w:r w:rsidRPr="000A63A3">
        <w:rPr>
          <w:rFonts w:ascii="Century" w:hAnsi="Century"/>
          <w:noProof/>
          <w:sz w:val="22"/>
        </w:rPr>
        <w:t xml:space="preserve">, </w:t>
      </w:r>
      <w:r w:rsidRPr="000A63A3">
        <w:rPr>
          <w:rFonts w:ascii="Century" w:hAnsi="Century"/>
          <w:i/>
          <w:iCs/>
          <w:noProof/>
          <w:sz w:val="22"/>
        </w:rPr>
        <w:t>8</w:t>
      </w:r>
      <w:r w:rsidRPr="000A63A3">
        <w:rPr>
          <w:rFonts w:ascii="Century" w:hAnsi="Century"/>
          <w:noProof/>
          <w:sz w:val="22"/>
        </w:rPr>
        <w:t>(3), 180–191. https://doi.org/10.26553/jikm.2017.8.3.180-191</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Sudarsono, E. K. R., Sasmita, J. F. A., Handyasto, A. B., Arissaputra, S. S., &amp; Kuswantiningsi, N. (2017). Peningkatan Pengetahuan Terkait Hipertensi </w:t>
      </w:r>
      <w:r w:rsidRPr="000A63A3">
        <w:rPr>
          <w:rFonts w:ascii="Century" w:hAnsi="Century"/>
          <w:noProof/>
          <w:sz w:val="22"/>
        </w:rPr>
        <w:lastRenderedPageBreak/>
        <w:t xml:space="preserve">Guna Perbaikan Tekanan Darah pada Pemuda di Dusun Japanan, Margodadi, Seyegan, Sleman, Yogyakarta. </w:t>
      </w:r>
      <w:r w:rsidRPr="000A63A3">
        <w:rPr>
          <w:rFonts w:ascii="Century" w:hAnsi="Century"/>
          <w:i/>
          <w:iCs/>
          <w:noProof/>
          <w:sz w:val="22"/>
        </w:rPr>
        <w:t>Jurnal Pengabdian Kepada Masyarakat</w:t>
      </w:r>
      <w:r w:rsidRPr="000A63A3">
        <w:rPr>
          <w:rFonts w:ascii="Century" w:hAnsi="Century"/>
          <w:noProof/>
          <w:sz w:val="22"/>
        </w:rPr>
        <w:t xml:space="preserve">, </w:t>
      </w:r>
      <w:r w:rsidRPr="000A63A3">
        <w:rPr>
          <w:rFonts w:ascii="Century" w:hAnsi="Century"/>
          <w:i/>
          <w:iCs/>
          <w:noProof/>
          <w:sz w:val="22"/>
        </w:rPr>
        <w:t>3</w:t>
      </w:r>
      <w:r w:rsidRPr="000A63A3">
        <w:rPr>
          <w:rFonts w:ascii="Century" w:hAnsi="Century"/>
          <w:noProof/>
          <w:sz w:val="22"/>
        </w:rPr>
        <w:t>(1), 26–38. https://doi.org/10.22146/jpkm.25944</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Tarigan, A. R., Lubis, Z., &amp; Syarifah, S. (2018). Pengaruh Pengetahuan, Sikap Dan Dukungan Keluarga Terhadap Diet Hipertensi Di Desa Hulu Kecamatan Pancur Batu Tahun 2016. </w:t>
      </w:r>
      <w:r w:rsidRPr="000A63A3">
        <w:rPr>
          <w:rFonts w:ascii="Century" w:hAnsi="Century"/>
          <w:i/>
          <w:iCs/>
          <w:noProof/>
          <w:sz w:val="22"/>
        </w:rPr>
        <w:t>Jurnal Kesehatan</w:t>
      </w:r>
      <w:r w:rsidRPr="000A63A3">
        <w:rPr>
          <w:rFonts w:ascii="Century" w:hAnsi="Century"/>
          <w:noProof/>
          <w:sz w:val="22"/>
        </w:rPr>
        <w:t xml:space="preserve">, </w:t>
      </w:r>
      <w:r w:rsidRPr="000A63A3">
        <w:rPr>
          <w:rFonts w:ascii="Century" w:hAnsi="Century"/>
          <w:i/>
          <w:iCs/>
          <w:noProof/>
          <w:sz w:val="22"/>
        </w:rPr>
        <w:t>11</w:t>
      </w:r>
      <w:r w:rsidRPr="000A63A3">
        <w:rPr>
          <w:rFonts w:ascii="Century" w:hAnsi="Century"/>
          <w:noProof/>
          <w:sz w:val="22"/>
        </w:rPr>
        <w:t>(1), 9–17. https://doi.org/10.24252/kesehatan.v11i1.5107</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Trisnaningsih, U., Wahyuni, S., &amp; Nur, S. (2019). Pemanfaatan Lahan Pekarangan Dengan Tanaman Obat Keluarga. </w:t>
      </w:r>
      <w:r w:rsidRPr="000A63A3">
        <w:rPr>
          <w:rFonts w:ascii="Century" w:hAnsi="Century"/>
          <w:i/>
          <w:iCs/>
          <w:noProof/>
          <w:sz w:val="22"/>
        </w:rPr>
        <w:t>JPPM (Jurnal Pengabdian Dan Pemberdayaan Masyarakat)</w:t>
      </w:r>
      <w:r w:rsidRPr="000A63A3">
        <w:rPr>
          <w:rFonts w:ascii="Century" w:hAnsi="Century"/>
          <w:noProof/>
          <w:sz w:val="22"/>
        </w:rPr>
        <w:t xml:space="preserve">, </w:t>
      </w:r>
      <w:r w:rsidRPr="000A63A3">
        <w:rPr>
          <w:rFonts w:ascii="Century" w:hAnsi="Century"/>
          <w:i/>
          <w:iCs/>
          <w:noProof/>
          <w:sz w:val="22"/>
        </w:rPr>
        <w:t>3</w:t>
      </w:r>
      <w:r w:rsidRPr="000A63A3">
        <w:rPr>
          <w:rFonts w:ascii="Century" w:hAnsi="Century"/>
          <w:noProof/>
          <w:sz w:val="22"/>
        </w:rPr>
        <w:t>(2), 259. https://doi.org/10.30595/jppm.v3i2.4554</w:t>
      </w:r>
    </w:p>
    <w:p w:rsidR="000A63A3" w:rsidRPr="000A63A3" w:rsidRDefault="000A63A3" w:rsidP="000A63A3">
      <w:pPr>
        <w:widowControl w:val="0"/>
        <w:autoSpaceDE w:val="0"/>
        <w:autoSpaceDN w:val="0"/>
        <w:adjustRightInd w:val="0"/>
        <w:ind w:left="480" w:hanging="480"/>
        <w:jc w:val="both"/>
        <w:rPr>
          <w:rFonts w:ascii="Century" w:hAnsi="Century"/>
          <w:noProof/>
          <w:sz w:val="22"/>
        </w:rPr>
      </w:pPr>
      <w:r w:rsidRPr="000A63A3">
        <w:rPr>
          <w:rFonts w:ascii="Century" w:hAnsi="Century"/>
          <w:noProof/>
          <w:sz w:val="22"/>
        </w:rPr>
        <w:t xml:space="preserve">Widianto, A. A., Romdhoni, M. F., Karita, D., &amp; Purbowati, M. R. (2018). Hubungan Pola Makan Dan Gaya Hidup Dengan Angka Kejadian Hipertensi Pralansia Dan Lansia Di Wilayah Kerja Puskesmas I Kembaran. </w:t>
      </w:r>
      <w:r w:rsidRPr="000A63A3">
        <w:rPr>
          <w:rFonts w:ascii="Century" w:hAnsi="Century"/>
          <w:i/>
          <w:iCs/>
          <w:noProof/>
          <w:sz w:val="22"/>
        </w:rPr>
        <w:t>Fakultas Kedokteran, Universitas Muhammadiyah Purwokerto</w:t>
      </w:r>
      <w:r w:rsidRPr="000A63A3">
        <w:rPr>
          <w:rFonts w:ascii="Century" w:hAnsi="Century"/>
          <w:noProof/>
          <w:sz w:val="22"/>
        </w:rPr>
        <w:t xml:space="preserve">, </w:t>
      </w:r>
      <w:r w:rsidRPr="000A63A3">
        <w:rPr>
          <w:rFonts w:ascii="Century" w:hAnsi="Century"/>
          <w:i/>
          <w:iCs/>
          <w:noProof/>
          <w:sz w:val="22"/>
        </w:rPr>
        <w:t>Vol.1 No.5</w:t>
      </w:r>
      <w:r w:rsidRPr="000A63A3">
        <w:rPr>
          <w:rFonts w:ascii="Century" w:hAnsi="Century"/>
          <w:noProof/>
          <w:sz w:val="22"/>
        </w:rPr>
        <w:t>, 58–67.</w:t>
      </w:r>
    </w:p>
    <w:p w:rsidR="00A32A74" w:rsidRPr="00AA5464" w:rsidRDefault="00713612" w:rsidP="000A63A3">
      <w:pPr>
        <w:pStyle w:val="References"/>
        <w:spacing w:line="276" w:lineRule="auto"/>
        <w:rPr>
          <w:rFonts w:ascii="Century" w:hAnsi="Century"/>
          <w:color w:val="000000"/>
          <w:spacing w:val="-6"/>
          <w:sz w:val="24"/>
          <w:szCs w:val="24"/>
        </w:rPr>
      </w:pPr>
      <w:r w:rsidRPr="000A63A3">
        <w:rPr>
          <w:rFonts w:ascii="Century" w:hAnsi="Century"/>
          <w:sz w:val="22"/>
          <w:szCs w:val="22"/>
          <w:lang w:val="id-ID"/>
        </w:rPr>
        <w:fldChar w:fldCharType="end"/>
      </w:r>
    </w:p>
    <w:p w:rsidR="005F45B1" w:rsidRPr="00AA5464" w:rsidRDefault="005F45B1" w:rsidP="005F45B1">
      <w:pPr>
        <w:pStyle w:val="References"/>
        <w:spacing w:line="276" w:lineRule="auto"/>
        <w:rPr>
          <w:rFonts w:ascii="Century" w:hAnsi="Century"/>
          <w:color w:val="FF0000"/>
          <w:sz w:val="22"/>
          <w:szCs w:val="22"/>
        </w:rPr>
      </w:pPr>
    </w:p>
    <w:sectPr w:rsidR="005F45B1" w:rsidRPr="00AA5464"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8A3" w:rsidRDefault="00A848A3" w:rsidP="00A1414F">
      <w:r>
        <w:separator/>
      </w:r>
    </w:p>
  </w:endnote>
  <w:endnote w:type="continuationSeparator" w:id="1">
    <w:p w:rsidR="00A848A3" w:rsidRDefault="00A848A3" w:rsidP="00A14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C0B" w:rsidRDefault="00713612" w:rsidP="00922A80">
    <w:pPr>
      <w:pStyle w:val="Footer"/>
      <w:jc w:val="center"/>
    </w:pPr>
    <w:sdt>
      <w:sdtPr>
        <w:id w:val="-303084485"/>
        <w:docPartObj>
          <w:docPartGallery w:val="Page Numbers (Bottom of Page)"/>
          <w:docPartUnique/>
        </w:docPartObj>
      </w:sdtPr>
      <w:sdtContent>
        <w:r>
          <w:fldChar w:fldCharType="begin"/>
        </w:r>
        <w:r w:rsidR="00842B65">
          <w:instrText xml:space="preserve"> PAGE   \* MERGEFORMAT </w:instrText>
        </w:r>
        <w:r>
          <w:fldChar w:fldCharType="separate"/>
        </w:r>
        <w:r w:rsidR="00FE21B8">
          <w:rPr>
            <w:noProof/>
          </w:rPr>
          <w:t>1</w:t>
        </w:r>
        <w:r>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8A3" w:rsidRDefault="00A848A3" w:rsidP="00A1414F">
      <w:r>
        <w:separator/>
      </w:r>
    </w:p>
  </w:footnote>
  <w:footnote w:type="continuationSeparator" w:id="1">
    <w:p w:rsidR="00A848A3" w:rsidRDefault="00A848A3" w:rsidP="00A14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0" w:rsidRPr="00420C35" w:rsidRDefault="00713612"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FE21B8">
      <w:rPr>
        <w:rFonts w:ascii="Trebuchet MS" w:hAnsi="Trebuchet MS"/>
        <w:smallCaps/>
        <w:noProof/>
        <w:sz w:val="22"/>
        <w:szCs w:val="22"/>
        <w:lang w:val="id-ID"/>
      </w:rPr>
      <w:t>6</w:t>
    </w:r>
    <w:r w:rsidRPr="009151A5">
      <w:rPr>
        <w:rFonts w:ascii="Trebuchet MS" w:hAnsi="Trebuchet MS"/>
        <w:smallCaps/>
        <w:noProof/>
        <w:sz w:val="22"/>
        <w:szCs w:val="22"/>
        <w:lang w:val="id-ID"/>
      </w:rPr>
      <w:fldChar w:fldCharType="end"/>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JurnalMasyarakatMandiri</w:t>
    </w:r>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r w:rsidR="00420C35">
      <w:rPr>
        <w:rFonts w:ascii="Trebuchet MS" w:hAnsi="Trebuchet MS"/>
        <w:sz w:val="20"/>
        <w:szCs w:val="20"/>
        <w:lang w:val="en-US"/>
      </w:rPr>
      <w:t>Bulan</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9F" w:rsidRPr="005F45B1" w:rsidRDefault="00713612" w:rsidP="00613D89">
    <w:pPr>
      <w:pStyle w:val="Header"/>
      <w:jc w:val="right"/>
      <w:rPr>
        <w:noProof/>
        <w:sz w:val="22"/>
        <w:szCs w:val="22"/>
      </w:rPr>
    </w:pPr>
    <w:r w:rsidRPr="005F45B1">
      <w:rPr>
        <w:sz w:val="22"/>
        <w:szCs w:val="22"/>
      </w:rPr>
      <w:fldChar w:fldCharType="begin"/>
    </w:r>
    <w:r w:rsidR="00842B65" w:rsidRPr="005F45B1">
      <w:rPr>
        <w:sz w:val="22"/>
        <w:szCs w:val="22"/>
      </w:rPr>
      <w:instrText xml:space="preserve"> PAGE   \* MERGEFORMAT </w:instrText>
    </w:r>
    <w:r w:rsidRPr="005F45B1">
      <w:rPr>
        <w:sz w:val="22"/>
        <w:szCs w:val="22"/>
      </w:rPr>
      <w:fldChar w:fldCharType="separate"/>
    </w:r>
    <w:r w:rsidR="00FE21B8">
      <w:rPr>
        <w:noProof/>
        <w:sz w:val="22"/>
        <w:szCs w:val="22"/>
      </w:rPr>
      <w:t>5</w:t>
    </w:r>
    <w:r w:rsidRPr="005F45B1">
      <w:rPr>
        <w:noProof/>
        <w:sz w:val="22"/>
        <w:szCs w:val="22"/>
      </w:rPr>
      <w:fldChar w:fldCharType="end"/>
    </w:r>
  </w:p>
  <w:p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Korespondensi</w:t>
    </w:r>
    <w:r w:rsidRPr="00E01DF5">
      <w:rPr>
        <w:rFonts w:ascii="Arial Narrow" w:hAnsi="Arial Narrow"/>
        <w:i/>
        <w:sz w:val="22"/>
        <w:szCs w:val="22"/>
        <w:lang w:val="id-ID"/>
      </w:rPr>
      <w:t>, Judul dalam 3 Kata...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18" w:rsidRDefault="00713612">
    <w:pPr>
      <w:pStyle w:val="Header"/>
      <w:rPr>
        <w:noProof/>
        <w:lang w:val="en-US" w:eastAsia="en-US"/>
      </w:rPr>
    </w:pPr>
    <w:r>
      <w:rPr>
        <w:noProof/>
        <w:lang w:val="en-US" w:eastAsia="en-US"/>
      </w:rPr>
      <w:pict>
        <v:shapetype id="_x0000_t202" coordsize="21600,21600" o:spt="202" path="m,l,21600r21600,l21600,xe">
          <v:stroke joinstyle="miter"/>
          <v:path gradientshapeok="t" o:connecttype="rect"/>
        </v:shapetype>
        <v:shape id="_x0000_s2053" type="#_x0000_t202" style="position:absolute;margin-left:140.45pt;margin-top:-2.7pt;width:290.35pt;height:78.3pt;z-index:251660288" strokecolor="white [3212]" strokeweight="0">
          <v:fill opacity="0"/>
          <v:textbox style="mso-next-textbox:#_x0000_s2053">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(JurnalMasyarakatMandiri)</w:t>
                </w:r>
              </w:p>
              <w:p w:rsidR="00420C35" w:rsidRPr="004F3606" w:rsidRDefault="00713612"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r w:rsidRPr="004F3606">
                  <w:rPr>
                    <w:rFonts w:ascii="Arial" w:hAnsi="Arial" w:cs="Arial"/>
                    <w:sz w:val="19"/>
                    <w:szCs w:val="19"/>
                  </w:rPr>
                  <w:t>e-ISSN</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v:textbox>
        </v:shape>
      </w:pict>
    </w: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28273D7"/>
    <w:multiLevelType w:val="multilevel"/>
    <w:tmpl w:val="9C8E938C"/>
    <w:numStyleLink w:val="IEEEBullet1"/>
  </w:abstractNum>
  <w:abstractNum w:abstractNumId="4">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F8563C"/>
    <w:multiLevelType w:val="hybridMultilevel"/>
    <w:tmpl w:val="53682EEE"/>
    <w:lvl w:ilvl="0" w:tplc="A580879A">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2">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1"/>
  </w:num>
  <w:num w:numId="9">
    <w:abstractNumId w:val="11"/>
  </w:num>
  <w:num w:numId="10">
    <w:abstractNumId w:val="2"/>
  </w:num>
  <w:num w:numId="11">
    <w:abstractNumId w:val="4"/>
  </w:num>
  <w:num w:numId="12">
    <w:abstractNumId w:val="9"/>
    <w:lvlOverride w:ilvl="0">
      <w:startOverride w:val="1"/>
    </w:lvlOverride>
  </w:num>
  <w:num w:numId="13">
    <w:abstractNumId w:val="0"/>
  </w:num>
  <w:num w:numId="14">
    <w:abstractNumId w:val="10"/>
  </w:num>
  <w:num w:numId="15">
    <w:abstractNumId w:val="12"/>
  </w:num>
  <w:num w:numId="16">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defaultTabStop w:val="720"/>
  <w:evenAndOddHeaders/>
  <w:drawingGridHorizontalSpacing w:val="120"/>
  <w:displayHorizontalDrawingGridEvery w:val="2"/>
  <w:noPunctuationKerning/>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applyBreakingRules/>
    <w:useFELayout/>
  </w:compat>
  <w:rsids>
    <w:rsidRoot w:val="00426FBB"/>
    <w:rsid w:val="000002E1"/>
    <w:rsid w:val="0000069A"/>
    <w:rsid w:val="00002AE5"/>
    <w:rsid w:val="00005CE1"/>
    <w:rsid w:val="000069C7"/>
    <w:rsid w:val="00017719"/>
    <w:rsid w:val="00020A6F"/>
    <w:rsid w:val="000215DC"/>
    <w:rsid w:val="000227C5"/>
    <w:rsid w:val="00027F1D"/>
    <w:rsid w:val="0003296C"/>
    <w:rsid w:val="00036359"/>
    <w:rsid w:val="00053481"/>
    <w:rsid w:val="00054421"/>
    <w:rsid w:val="00056CE7"/>
    <w:rsid w:val="00062E46"/>
    <w:rsid w:val="00066CB7"/>
    <w:rsid w:val="0006703C"/>
    <w:rsid w:val="00074488"/>
    <w:rsid w:val="00074AC8"/>
    <w:rsid w:val="00081408"/>
    <w:rsid w:val="00081EBE"/>
    <w:rsid w:val="00082A45"/>
    <w:rsid w:val="0008577D"/>
    <w:rsid w:val="00086EDC"/>
    <w:rsid w:val="00093581"/>
    <w:rsid w:val="000A63A3"/>
    <w:rsid w:val="000A6695"/>
    <w:rsid w:val="000B3567"/>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6428B"/>
    <w:rsid w:val="00465758"/>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4156"/>
    <w:rsid w:val="00662376"/>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13612"/>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763B"/>
    <w:rsid w:val="008A0B0A"/>
    <w:rsid w:val="008A1519"/>
    <w:rsid w:val="008A2479"/>
    <w:rsid w:val="008B114A"/>
    <w:rsid w:val="008B6295"/>
    <w:rsid w:val="008B6AE3"/>
    <w:rsid w:val="008D1045"/>
    <w:rsid w:val="008D545C"/>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1CFB"/>
    <w:rsid w:val="00A03A12"/>
    <w:rsid w:val="00A03E75"/>
    <w:rsid w:val="00A04DC8"/>
    <w:rsid w:val="00A102D3"/>
    <w:rsid w:val="00A11080"/>
    <w:rsid w:val="00A1414F"/>
    <w:rsid w:val="00A20D66"/>
    <w:rsid w:val="00A22FE0"/>
    <w:rsid w:val="00A32A74"/>
    <w:rsid w:val="00A37654"/>
    <w:rsid w:val="00A4337B"/>
    <w:rsid w:val="00A45FCE"/>
    <w:rsid w:val="00A64A36"/>
    <w:rsid w:val="00A7266B"/>
    <w:rsid w:val="00A75671"/>
    <w:rsid w:val="00A773CC"/>
    <w:rsid w:val="00A848A3"/>
    <w:rsid w:val="00A86C59"/>
    <w:rsid w:val="00A87305"/>
    <w:rsid w:val="00A90A34"/>
    <w:rsid w:val="00A9318B"/>
    <w:rsid w:val="00A94AC1"/>
    <w:rsid w:val="00A95B87"/>
    <w:rsid w:val="00A9735F"/>
    <w:rsid w:val="00AA5464"/>
    <w:rsid w:val="00AA5A8D"/>
    <w:rsid w:val="00AA6F12"/>
    <w:rsid w:val="00AB1806"/>
    <w:rsid w:val="00AB18B7"/>
    <w:rsid w:val="00AB2575"/>
    <w:rsid w:val="00AC157F"/>
    <w:rsid w:val="00AD2BAB"/>
    <w:rsid w:val="00AD335D"/>
    <w:rsid w:val="00AE1477"/>
    <w:rsid w:val="00AE406C"/>
    <w:rsid w:val="00AF792B"/>
    <w:rsid w:val="00B00190"/>
    <w:rsid w:val="00B10F2B"/>
    <w:rsid w:val="00B333DE"/>
    <w:rsid w:val="00B3521D"/>
    <w:rsid w:val="00B47460"/>
    <w:rsid w:val="00B55D5E"/>
    <w:rsid w:val="00B56B16"/>
    <w:rsid w:val="00B717BA"/>
    <w:rsid w:val="00B735B0"/>
    <w:rsid w:val="00B770E6"/>
    <w:rsid w:val="00B81E91"/>
    <w:rsid w:val="00B91814"/>
    <w:rsid w:val="00B92B81"/>
    <w:rsid w:val="00B94516"/>
    <w:rsid w:val="00BA183C"/>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70749"/>
    <w:rsid w:val="00C72414"/>
    <w:rsid w:val="00C8667B"/>
    <w:rsid w:val="00C86750"/>
    <w:rsid w:val="00C91EF5"/>
    <w:rsid w:val="00C9234E"/>
    <w:rsid w:val="00C93BB2"/>
    <w:rsid w:val="00C94D20"/>
    <w:rsid w:val="00C9683E"/>
    <w:rsid w:val="00CA2A24"/>
    <w:rsid w:val="00CA4CE3"/>
    <w:rsid w:val="00CA6357"/>
    <w:rsid w:val="00CB1354"/>
    <w:rsid w:val="00CB60BA"/>
    <w:rsid w:val="00CB65CB"/>
    <w:rsid w:val="00CC75C0"/>
    <w:rsid w:val="00CD23EF"/>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5746B"/>
    <w:rsid w:val="00D5771A"/>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07174"/>
    <w:rsid w:val="00F1242E"/>
    <w:rsid w:val="00F136F0"/>
    <w:rsid w:val="00F17F9B"/>
    <w:rsid w:val="00F20BBB"/>
    <w:rsid w:val="00F20DCD"/>
    <w:rsid w:val="00F22C0B"/>
    <w:rsid w:val="00F34AE2"/>
    <w:rsid w:val="00F359FA"/>
    <w:rsid w:val="00F4394A"/>
    <w:rsid w:val="00F43BD8"/>
    <w:rsid w:val="00F55879"/>
    <w:rsid w:val="00F562F3"/>
    <w:rsid w:val="00F57140"/>
    <w:rsid w:val="00F66CC2"/>
    <w:rsid w:val="00F67635"/>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21B8"/>
    <w:rsid w:val="00FE55CE"/>
    <w:rsid w:val="00FF01E2"/>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Title">
    <w:name w:val="Title"/>
    <w:basedOn w:val="Normal"/>
    <w:link w:val="TitleChar"/>
    <w:qFormat/>
    <w:rsid w:val="00FF01E2"/>
    <w:pPr>
      <w:spacing w:line="360" w:lineRule="auto"/>
      <w:jc w:val="center"/>
    </w:pPr>
    <w:rPr>
      <w:rFonts w:ascii="Arial" w:eastAsia="Times New Roman" w:hAnsi="Arial" w:cs="Arial"/>
      <w:b/>
      <w:bCs/>
      <w:sz w:val="28"/>
      <w:szCs w:val="28"/>
      <w:lang w:val="en-US" w:eastAsia="en-US"/>
    </w:rPr>
  </w:style>
  <w:style w:type="character" w:customStyle="1" w:styleId="TitleChar">
    <w:name w:val="Title Char"/>
    <w:basedOn w:val="DefaultParagraphFont"/>
    <w:link w:val="Title"/>
    <w:rsid w:val="00FF01E2"/>
    <w:rPr>
      <w:rFonts w:ascii="Arial" w:eastAsia="Times New Roman" w:hAnsi="Arial" w:cs="Arial"/>
      <w:b/>
      <w:bCs/>
      <w:sz w:val="28"/>
      <w:szCs w:val="28"/>
    </w:rPr>
  </w:style>
  <w:style w:type="table" w:customStyle="1" w:styleId="ListTable2">
    <w:name w:val="List Table 2"/>
    <w:basedOn w:val="TableNormal"/>
    <w:uiPriority w:val="47"/>
    <w:rsid w:val="00D5771A"/>
    <w:rPr>
      <w:rFonts w:eastAsia="Times New Roman"/>
      <w:lang w:val="id-ID" w:eastAsia="ko-KR"/>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ullpost">
    <w:name w:val="fullpost"/>
    <w:basedOn w:val="DefaultParagraphFont"/>
    <w:rsid w:val="000A6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r="http://schemas.openxmlformats.org/officeDocument/2006/relationships" xmlns:w="http://schemas.openxmlformats.org/wordprocessingml/2006/main">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ri.meirista@gmail.com" TargetMode="Externa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evalisa416@gmail.co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yimasintan2016@gmail.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hyperlink" Target="mailto:Cindysiregar96@mail.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aulia.fitri512@gmail.com" TargetMode="Externa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A797CF-D370-442E-A5FA-63355CC4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11541</Words>
  <Characters>65786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77173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PRIMA</cp:lastModifiedBy>
  <cp:revision>3</cp:revision>
  <cp:lastPrinted>2017-04-18T03:46:00Z</cp:lastPrinted>
  <dcterms:created xsi:type="dcterms:W3CDTF">2020-04-07T13:40:00Z</dcterms:created>
  <dcterms:modified xsi:type="dcterms:W3CDTF">2020-04-08T03:36:00Z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