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522F" w:rsidRPr="00D70A0F" w:rsidRDefault="0091522F" w:rsidP="00305A9E">
      <w:pPr>
        <w:pStyle w:val="Default"/>
        <w:jc w:val="center"/>
        <w:rPr>
          <w:rFonts w:ascii="Century Gothic" w:hAnsi="Century Gothic"/>
          <w:b/>
          <w:sz w:val="28"/>
        </w:rPr>
      </w:pPr>
      <w:r w:rsidRPr="00D70A0F">
        <w:rPr>
          <w:rFonts w:ascii="Century Gothic" w:hAnsi="Century Gothic"/>
          <w:b/>
          <w:sz w:val="28"/>
        </w:rPr>
        <w:t xml:space="preserve">PENDAMPINGAN PENGEMASAN TEH MAWAR UNTUK MEWUJUDKAN WIRAUSAHA YANG BERKELANJUTAN </w:t>
      </w:r>
    </w:p>
    <w:p w:rsidR="0091522F" w:rsidRPr="00D70A0F" w:rsidRDefault="0091522F" w:rsidP="00305A9E">
      <w:pPr>
        <w:pStyle w:val="Default"/>
        <w:jc w:val="center"/>
        <w:rPr>
          <w:rFonts w:ascii="Century Gothic" w:hAnsi="Century Gothic"/>
          <w:b/>
          <w:sz w:val="28"/>
        </w:rPr>
      </w:pPr>
      <w:r w:rsidRPr="00D70A0F">
        <w:rPr>
          <w:rFonts w:ascii="Century Gothic" w:hAnsi="Century Gothic"/>
          <w:b/>
          <w:sz w:val="28"/>
        </w:rPr>
        <w:t>DI CLUTANG-BOYOLALI</w:t>
      </w:r>
    </w:p>
    <w:p w:rsidR="0091522F" w:rsidRPr="0091522F" w:rsidRDefault="0091522F" w:rsidP="00305A9E">
      <w:pPr>
        <w:pStyle w:val="Default"/>
        <w:jc w:val="center"/>
        <w:rPr>
          <w:b/>
          <w:sz w:val="28"/>
        </w:rPr>
      </w:pPr>
    </w:p>
    <w:p w:rsidR="0091522F" w:rsidRPr="00D70A0F" w:rsidRDefault="0091522F" w:rsidP="00305A9E">
      <w:pPr>
        <w:spacing w:after="0" w:line="240" w:lineRule="auto"/>
        <w:ind w:firstLine="720"/>
        <w:jc w:val="center"/>
        <w:rPr>
          <w:rFonts w:ascii="Century Gothic" w:hAnsi="Century Gothic"/>
          <w:sz w:val="18"/>
          <w:szCs w:val="18"/>
          <w:vertAlign w:val="superscript"/>
        </w:rPr>
      </w:pPr>
      <w:r>
        <w:tab/>
      </w:r>
      <w:r w:rsidRPr="00D70A0F">
        <w:rPr>
          <w:rFonts w:ascii="Century Gothic" w:hAnsi="Century Gothic"/>
          <w:sz w:val="18"/>
          <w:szCs w:val="18"/>
        </w:rPr>
        <w:t>Yustina W</w:t>
      </w:r>
      <w:r w:rsidR="00D70A0F" w:rsidRPr="00D70A0F">
        <w:rPr>
          <w:rFonts w:ascii="Century Gothic" w:hAnsi="Century Gothic"/>
          <w:sz w:val="18"/>
          <w:szCs w:val="18"/>
        </w:rPr>
        <w:t>uri</w:t>
      </w:r>
      <w:r w:rsidRPr="00D70A0F">
        <w:rPr>
          <w:rFonts w:ascii="Century Gothic" w:hAnsi="Century Gothic"/>
          <w:sz w:val="18"/>
          <w:szCs w:val="18"/>
        </w:rPr>
        <w:t xml:space="preserve"> Wulandari</w:t>
      </w:r>
      <w:r w:rsidR="00D70A0F" w:rsidRPr="00D70A0F">
        <w:rPr>
          <w:rFonts w:ascii="Century Gothic" w:hAnsi="Century Gothic"/>
          <w:sz w:val="18"/>
          <w:szCs w:val="18"/>
          <w:vertAlign w:val="superscript"/>
        </w:rPr>
        <w:t>1</w:t>
      </w:r>
      <w:r w:rsidRPr="00D70A0F">
        <w:rPr>
          <w:rFonts w:ascii="Century Gothic" w:hAnsi="Century Gothic"/>
          <w:sz w:val="18"/>
          <w:szCs w:val="18"/>
        </w:rPr>
        <w:t>, Vivi Nuraini</w:t>
      </w:r>
      <w:r w:rsidR="00D70A0F" w:rsidRPr="00D70A0F">
        <w:rPr>
          <w:rFonts w:ascii="Century Gothic" w:hAnsi="Century Gothic"/>
          <w:sz w:val="18"/>
          <w:szCs w:val="18"/>
          <w:vertAlign w:val="superscript"/>
        </w:rPr>
        <w:t>2</w:t>
      </w:r>
    </w:p>
    <w:p w:rsidR="0091522F" w:rsidRPr="00D70A0F" w:rsidRDefault="00D70A0F" w:rsidP="00305A9E">
      <w:pPr>
        <w:pStyle w:val="CM5"/>
        <w:spacing w:after="0"/>
        <w:jc w:val="center"/>
        <w:rPr>
          <w:rFonts w:ascii="Century Gothic" w:hAnsi="Century Gothic"/>
          <w:iCs/>
          <w:color w:val="000000"/>
          <w:sz w:val="18"/>
          <w:szCs w:val="18"/>
        </w:rPr>
      </w:pPr>
      <w:r>
        <w:rPr>
          <w:rFonts w:ascii="Century Gothic" w:hAnsi="Century Gothic"/>
          <w:iCs/>
          <w:color w:val="000000"/>
          <w:sz w:val="18"/>
          <w:szCs w:val="18"/>
          <w:vertAlign w:val="superscript"/>
        </w:rPr>
        <w:t>1,2</w:t>
      </w:r>
      <w:r w:rsidR="0091522F" w:rsidRPr="00D70A0F">
        <w:rPr>
          <w:rFonts w:ascii="Century Gothic" w:hAnsi="Century Gothic"/>
          <w:iCs/>
          <w:color w:val="000000"/>
          <w:sz w:val="18"/>
          <w:szCs w:val="18"/>
        </w:rPr>
        <w:t xml:space="preserve">Program </w:t>
      </w:r>
      <w:r w:rsidRPr="00D70A0F">
        <w:rPr>
          <w:rFonts w:ascii="Century Gothic" w:hAnsi="Century Gothic"/>
          <w:iCs/>
          <w:color w:val="000000"/>
          <w:sz w:val="18"/>
          <w:szCs w:val="18"/>
        </w:rPr>
        <w:t>Studi Teknologi Hasil Pertanian</w:t>
      </w:r>
    </w:p>
    <w:p w:rsidR="0091522F" w:rsidRPr="00D70A0F" w:rsidRDefault="0091522F" w:rsidP="00305A9E">
      <w:pPr>
        <w:pStyle w:val="CM5"/>
        <w:spacing w:after="0"/>
        <w:jc w:val="center"/>
        <w:rPr>
          <w:rFonts w:ascii="Century Gothic" w:hAnsi="Century Gothic"/>
          <w:color w:val="000000"/>
          <w:sz w:val="18"/>
          <w:szCs w:val="18"/>
        </w:rPr>
      </w:pPr>
      <w:r w:rsidRPr="00D70A0F">
        <w:rPr>
          <w:rFonts w:ascii="Century Gothic" w:hAnsi="Century Gothic"/>
          <w:iCs/>
          <w:color w:val="000000"/>
          <w:sz w:val="18"/>
          <w:szCs w:val="18"/>
        </w:rPr>
        <w:t>Fakulta</w:t>
      </w:r>
      <w:r w:rsidR="00D70A0F">
        <w:rPr>
          <w:rFonts w:ascii="Century Gothic" w:hAnsi="Century Gothic"/>
          <w:iCs/>
          <w:color w:val="000000"/>
          <w:sz w:val="18"/>
          <w:szCs w:val="18"/>
        </w:rPr>
        <w:t xml:space="preserve">s Teknologi dan Industri Pangan, </w:t>
      </w:r>
      <w:r w:rsidRPr="00D70A0F">
        <w:rPr>
          <w:rFonts w:ascii="Century Gothic" w:hAnsi="Century Gothic"/>
          <w:iCs/>
          <w:color w:val="000000"/>
          <w:sz w:val="18"/>
          <w:szCs w:val="18"/>
        </w:rPr>
        <w:t>U</w:t>
      </w:r>
      <w:r w:rsidR="00D70A0F">
        <w:rPr>
          <w:rFonts w:ascii="Century Gothic" w:hAnsi="Century Gothic"/>
          <w:iCs/>
          <w:color w:val="000000"/>
          <w:sz w:val="18"/>
          <w:szCs w:val="18"/>
        </w:rPr>
        <w:t>iversitas Slamet Riyadi</w:t>
      </w:r>
      <w:r w:rsidRPr="00D70A0F">
        <w:rPr>
          <w:rFonts w:ascii="Century Gothic" w:hAnsi="Century Gothic"/>
          <w:iCs/>
          <w:color w:val="000000"/>
          <w:sz w:val="18"/>
          <w:szCs w:val="18"/>
        </w:rPr>
        <w:t xml:space="preserve"> </w:t>
      </w:r>
    </w:p>
    <w:p w:rsidR="0091522F" w:rsidRPr="00D70A0F" w:rsidRDefault="0091522F" w:rsidP="00305A9E">
      <w:pPr>
        <w:pStyle w:val="CM6"/>
        <w:spacing w:after="0"/>
        <w:jc w:val="center"/>
        <w:rPr>
          <w:rFonts w:ascii="Century Gothic" w:hAnsi="Century Gothic"/>
          <w:iCs/>
          <w:color w:val="000000"/>
          <w:sz w:val="18"/>
          <w:szCs w:val="18"/>
        </w:rPr>
      </w:pPr>
      <w:r w:rsidRPr="00D70A0F">
        <w:rPr>
          <w:rFonts w:ascii="Century Gothic" w:hAnsi="Century Gothic"/>
          <w:iCs/>
          <w:color w:val="000000"/>
          <w:sz w:val="18"/>
          <w:szCs w:val="18"/>
        </w:rPr>
        <w:t xml:space="preserve">Email: </w:t>
      </w:r>
      <w:r w:rsidR="00D70A0F" w:rsidRPr="00D70A0F">
        <w:rPr>
          <w:rFonts w:ascii="Century Gothic" w:hAnsi="Century Gothic"/>
          <w:iCs/>
          <w:color w:val="000000"/>
          <w:sz w:val="18"/>
          <w:szCs w:val="18"/>
        </w:rPr>
        <w:t>yustinawulandari@yahoo.co.id</w:t>
      </w:r>
    </w:p>
    <w:p w:rsidR="00305A9E" w:rsidRPr="00305A9E" w:rsidRDefault="00305A9E" w:rsidP="00305A9E">
      <w:pPr>
        <w:pStyle w:val="Default"/>
      </w:pPr>
    </w:p>
    <w:p w:rsidR="0091522F" w:rsidRPr="00D70A0F" w:rsidRDefault="00D70A0F" w:rsidP="00D70A0F">
      <w:pPr>
        <w:spacing w:after="0" w:line="240" w:lineRule="auto"/>
        <w:jc w:val="both"/>
        <w:rPr>
          <w:rFonts w:ascii="Century Gothic" w:hAnsi="Century Gothic"/>
          <w:sz w:val="20"/>
          <w:szCs w:val="20"/>
          <w:lang w:val="id-ID"/>
        </w:rPr>
      </w:pPr>
      <w:r w:rsidRPr="00D70A0F">
        <w:rPr>
          <w:rFonts w:ascii="Century Gothic" w:hAnsi="Century Gothic"/>
          <w:b/>
          <w:sz w:val="20"/>
          <w:szCs w:val="20"/>
        </w:rPr>
        <w:t>ABSTRAK:</w:t>
      </w:r>
      <w:r w:rsidRPr="00D70A0F">
        <w:rPr>
          <w:rFonts w:ascii="Century Gothic" w:hAnsi="Century Gothic"/>
          <w:sz w:val="20"/>
          <w:szCs w:val="20"/>
        </w:rPr>
        <w:t xml:space="preserve"> </w:t>
      </w:r>
      <w:r w:rsidR="0091522F" w:rsidRPr="00D70A0F">
        <w:rPr>
          <w:rFonts w:ascii="Century Gothic" w:hAnsi="Century Gothic"/>
          <w:sz w:val="20"/>
          <w:szCs w:val="20"/>
        </w:rPr>
        <w:t xml:space="preserve">Bunga mawar merupakan salah satu tanaman yang telah dibudidayakan turun-temurun di </w:t>
      </w:r>
      <w:r w:rsidR="0091522F" w:rsidRPr="00D70A0F">
        <w:rPr>
          <w:rFonts w:ascii="Century Gothic" w:hAnsi="Century Gothic"/>
          <w:sz w:val="20"/>
          <w:szCs w:val="20"/>
          <w:lang w:val="id-ID"/>
        </w:rPr>
        <w:t>Clutang Boyolali</w:t>
      </w:r>
      <w:r w:rsidR="0091522F" w:rsidRPr="00D70A0F">
        <w:rPr>
          <w:rFonts w:ascii="Century Gothic" w:hAnsi="Century Gothic"/>
          <w:sz w:val="20"/>
          <w:szCs w:val="20"/>
        </w:rPr>
        <w:t>.</w:t>
      </w:r>
      <w:r w:rsidR="0091522F" w:rsidRPr="00D70A0F">
        <w:rPr>
          <w:rFonts w:ascii="Century Gothic" w:hAnsi="Century Gothic"/>
          <w:sz w:val="20"/>
          <w:szCs w:val="20"/>
          <w:lang w:val="id-ID"/>
        </w:rPr>
        <w:t xml:space="preserve"> </w:t>
      </w:r>
      <w:r w:rsidR="0091522F" w:rsidRPr="00D70A0F">
        <w:rPr>
          <w:rFonts w:ascii="Century Gothic" w:hAnsi="Century Gothic"/>
          <w:sz w:val="20"/>
          <w:szCs w:val="20"/>
        </w:rPr>
        <w:t xml:space="preserve">Potensi yang dimiliki desa ini telah memotivasi UKM Kelompok Putri Mawar untuk mengolah kelopak bunga menjadi aneka produk pangan </w:t>
      </w:r>
      <w:r w:rsidR="0091522F" w:rsidRPr="00D70A0F">
        <w:rPr>
          <w:rFonts w:ascii="Century Gothic" w:hAnsi="Century Gothic"/>
          <w:sz w:val="20"/>
          <w:szCs w:val="20"/>
          <w:lang w:val="id-ID"/>
        </w:rPr>
        <w:t xml:space="preserve">seperti keripik, </w:t>
      </w:r>
      <w:r w:rsidR="0091522F" w:rsidRPr="00D70A0F">
        <w:rPr>
          <w:rFonts w:ascii="Century Gothic" w:hAnsi="Century Gothic"/>
          <w:sz w:val="20"/>
          <w:szCs w:val="20"/>
        </w:rPr>
        <w:t>sirup, pilus dan teh mawar. Namun demikian dalam perkembangannya teh mawar merupakan jenis produk yang selalu kontinyu diproduksi oleh kelompok. Managemen wirausaha kelompok masih sederhana dan  tradisional sehingga perlu pendampingan dalam pengembangannya.</w:t>
      </w:r>
      <w:r w:rsidR="0091522F" w:rsidRPr="00D70A0F">
        <w:rPr>
          <w:rFonts w:ascii="Century Gothic" w:hAnsi="Century Gothic"/>
          <w:sz w:val="20"/>
          <w:szCs w:val="20"/>
          <w:lang w:val="id-ID"/>
        </w:rPr>
        <w:t xml:space="preserve"> </w:t>
      </w:r>
      <w:r w:rsidR="0091522F" w:rsidRPr="00D70A0F">
        <w:rPr>
          <w:rFonts w:ascii="Century Gothic" w:hAnsi="Century Gothic"/>
          <w:sz w:val="20"/>
          <w:szCs w:val="20"/>
        </w:rPr>
        <w:t>K</w:t>
      </w:r>
      <w:r w:rsidR="0091522F" w:rsidRPr="00D70A0F">
        <w:rPr>
          <w:rFonts w:ascii="Century Gothic" w:hAnsi="Century Gothic"/>
          <w:sz w:val="20"/>
          <w:szCs w:val="20"/>
          <w:lang w:val="id-ID"/>
        </w:rPr>
        <w:t>endala</w:t>
      </w:r>
      <w:r w:rsidR="0091522F" w:rsidRPr="00D70A0F">
        <w:rPr>
          <w:rFonts w:ascii="Century Gothic" w:hAnsi="Century Gothic"/>
          <w:sz w:val="20"/>
          <w:szCs w:val="20"/>
        </w:rPr>
        <w:t xml:space="preserve"> yang dihadapi dalam kegiatan produksi yaitu pemasaran produk masih terbatas karena pengemasannya sederhana dan belum dilengkapi dengan label yang komunikatif, sehingga dibutuhkan</w:t>
      </w:r>
      <w:r w:rsidR="0091522F" w:rsidRPr="00D70A0F">
        <w:rPr>
          <w:rFonts w:ascii="Century Gothic" w:hAnsi="Century Gothic"/>
          <w:sz w:val="20"/>
          <w:szCs w:val="20"/>
          <w:lang w:val="id-ID"/>
        </w:rPr>
        <w:t xml:space="preserve"> pendampingan lebih lanjut </w:t>
      </w:r>
      <w:r w:rsidR="0091522F" w:rsidRPr="00D70A0F">
        <w:rPr>
          <w:rFonts w:ascii="Century Gothic" w:hAnsi="Century Gothic"/>
          <w:sz w:val="20"/>
          <w:szCs w:val="20"/>
        </w:rPr>
        <w:t xml:space="preserve">dalam </w:t>
      </w:r>
      <w:r w:rsidR="0091522F" w:rsidRPr="00D70A0F">
        <w:rPr>
          <w:rFonts w:ascii="Century Gothic" w:hAnsi="Century Gothic"/>
          <w:sz w:val="20"/>
          <w:szCs w:val="20"/>
          <w:lang w:val="id-ID"/>
        </w:rPr>
        <w:t>teknik pengemasan agar produk mampu bersain</w:t>
      </w:r>
      <w:r w:rsidR="0091522F" w:rsidRPr="00D70A0F">
        <w:rPr>
          <w:rFonts w:ascii="Century Gothic" w:hAnsi="Century Gothic"/>
          <w:sz w:val="20"/>
          <w:szCs w:val="20"/>
        </w:rPr>
        <w:t>g</w:t>
      </w:r>
      <w:r w:rsidR="0091522F" w:rsidRPr="00D70A0F">
        <w:rPr>
          <w:rFonts w:ascii="Century Gothic" w:hAnsi="Century Gothic"/>
          <w:sz w:val="20"/>
          <w:szCs w:val="20"/>
          <w:lang w:val="id-ID"/>
        </w:rPr>
        <w:t xml:space="preserve"> d</w:t>
      </w:r>
      <w:r w:rsidR="0091522F" w:rsidRPr="00D70A0F">
        <w:rPr>
          <w:rFonts w:ascii="Century Gothic" w:hAnsi="Century Gothic"/>
          <w:sz w:val="20"/>
          <w:szCs w:val="20"/>
        </w:rPr>
        <w:t>i pasaran.</w:t>
      </w:r>
      <w:r w:rsidR="0091522F" w:rsidRPr="00D70A0F">
        <w:rPr>
          <w:rFonts w:ascii="Century Gothic" w:hAnsi="Century Gothic"/>
          <w:sz w:val="20"/>
          <w:szCs w:val="20"/>
          <w:lang w:val="id-ID"/>
        </w:rPr>
        <w:t xml:space="preserve"> Oleh karena itu melalui kegiatan pengabdian ini dilakukan pendampingan</w:t>
      </w:r>
      <w:r w:rsidR="0091522F" w:rsidRPr="00D70A0F">
        <w:rPr>
          <w:rFonts w:ascii="Century Gothic" w:hAnsi="Century Gothic"/>
          <w:sz w:val="20"/>
          <w:szCs w:val="20"/>
        </w:rPr>
        <w:t xml:space="preserve"> perbaikan </w:t>
      </w:r>
      <w:r w:rsidR="0091522F" w:rsidRPr="00D70A0F">
        <w:rPr>
          <w:rFonts w:ascii="Century Gothic" w:hAnsi="Century Gothic"/>
          <w:sz w:val="20"/>
          <w:szCs w:val="20"/>
          <w:lang w:val="id-ID"/>
        </w:rPr>
        <w:t xml:space="preserve">teknik pengemasan kepada  kelompok sehingga diharapkan nantinya dihasilkan produk </w:t>
      </w:r>
      <w:r w:rsidR="0091522F" w:rsidRPr="00D70A0F">
        <w:rPr>
          <w:rFonts w:ascii="Century Gothic" w:hAnsi="Century Gothic"/>
          <w:sz w:val="20"/>
          <w:szCs w:val="20"/>
        </w:rPr>
        <w:t xml:space="preserve">teh </w:t>
      </w:r>
      <w:r w:rsidR="0091522F" w:rsidRPr="00D70A0F">
        <w:rPr>
          <w:rFonts w:ascii="Century Gothic" w:hAnsi="Century Gothic"/>
          <w:sz w:val="20"/>
          <w:szCs w:val="20"/>
          <w:lang w:val="id-ID"/>
        </w:rPr>
        <w:t xml:space="preserve">yang berkualitas dan mampu </w:t>
      </w:r>
      <w:r w:rsidR="0091522F" w:rsidRPr="00D70A0F">
        <w:rPr>
          <w:rFonts w:ascii="Century Gothic" w:hAnsi="Century Gothic"/>
          <w:sz w:val="20"/>
          <w:szCs w:val="20"/>
        </w:rPr>
        <w:t xml:space="preserve">memiliki </w:t>
      </w:r>
      <w:r w:rsidR="0091522F" w:rsidRPr="00D70A0F">
        <w:rPr>
          <w:rFonts w:ascii="Century Gothic" w:hAnsi="Century Gothic"/>
          <w:sz w:val="20"/>
          <w:szCs w:val="20"/>
          <w:lang w:val="id-ID"/>
        </w:rPr>
        <w:t>bersaing di pasar.</w:t>
      </w:r>
    </w:p>
    <w:p w:rsidR="00305A9E" w:rsidRPr="00D70A0F" w:rsidRDefault="00305A9E" w:rsidP="00305A9E">
      <w:pPr>
        <w:spacing w:after="0" w:line="240" w:lineRule="auto"/>
        <w:ind w:firstLine="720"/>
        <w:jc w:val="both"/>
        <w:rPr>
          <w:rFonts w:ascii="Century Gothic" w:hAnsi="Century Gothic"/>
          <w:sz w:val="20"/>
          <w:szCs w:val="20"/>
        </w:rPr>
      </w:pPr>
    </w:p>
    <w:p w:rsidR="0091522F" w:rsidRPr="00D70A0F" w:rsidRDefault="0091522F" w:rsidP="00305A9E">
      <w:pPr>
        <w:pStyle w:val="CM5"/>
        <w:spacing w:after="0"/>
        <w:jc w:val="both"/>
        <w:rPr>
          <w:rFonts w:ascii="Century Gothic" w:hAnsi="Century Gothic"/>
          <w:color w:val="000000"/>
          <w:sz w:val="20"/>
          <w:szCs w:val="20"/>
        </w:rPr>
      </w:pPr>
      <w:r w:rsidRPr="00D70A0F">
        <w:rPr>
          <w:rFonts w:ascii="Century Gothic" w:hAnsi="Century Gothic"/>
          <w:b/>
          <w:bCs/>
          <w:color w:val="000000"/>
          <w:sz w:val="20"/>
          <w:szCs w:val="20"/>
          <w:lang w:val="id-ID"/>
        </w:rPr>
        <w:t xml:space="preserve">Kata </w:t>
      </w:r>
      <w:r w:rsidR="00D70A0F" w:rsidRPr="00D70A0F">
        <w:rPr>
          <w:rFonts w:ascii="Century Gothic" w:hAnsi="Century Gothic"/>
          <w:b/>
          <w:bCs/>
          <w:color w:val="000000"/>
          <w:sz w:val="20"/>
          <w:szCs w:val="20"/>
        </w:rPr>
        <w:t>K</w:t>
      </w:r>
      <w:r w:rsidRPr="00D70A0F">
        <w:rPr>
          <w:rFonts w:ascii="Century Gothic" w:hAnsi="Century Gothic"/>
          <w:b/>
          <w:bCs/>
          <w:color w:val="000000"/>
          <w:sz w:val="20"/>
          <w:szCs w:val="20"/>
          <w:lang w:val="id-ID"/>
        </w:rPr>
        <w:t>unci</w:t>
      </w:r>
      <w:r w:rsidRPr="00D70A0F">
        <w:rPr>
          <w:rFonts w:ascii="Century Gothic" w:hAnsi="Century Gothic"/>
          <w:bCs/>
          <w:color w:val="000000"/>
          <w:sz w:val="20"/>
          <w:szCs w:val="20"/>
        </w:rPr>
        <w:t>:</w:t>
      </w:r>
      <w:r w:rsidRPr="00D70A0F">
        <w:rPr>
          <w:rFonts w:ascii="Century Gothic" w:hAnsi="Century Gothic"/>
          <w:b/>
          <w:bCs/>
          <w:color w:val="000000"/>
          <w:sz w:val="20"/>
          <w:szCs w:val="20"/>
        </w:rPr>
        <w:t xml:space="preserve"> </w:t>
      </w:r>
      <w:r w:rsidRPr="00D70A0F">
        <w:rPr>
          <w:rFonts w:ascii="Century Gothic" w:hAnsi="Century Gothic"/>
          <w:sz w:val="20"/>
          <w:szCs w:val="20"/>
        </w:rPr>
        <w:t>pengemasan, teh mawar</w:t>
      </w:r>
      <w:r w:rsidRPr="00D70A0F">
        <w:rPr>
          <w:rFonts w:ascii="Century Gothic" w:hAnsi="Century Gothic"/>
          <w:sz w:val="20"/>
          <w:szCs w:val="20"/>
          <w:lang w:val="id-ID"/>
        </w:rPr>
        <w:t xml:space="preserve">, </w:t>
      </w:r>
      <w:r w:rsidRPr="00D70A0F">
        <w:rPr>
          <w:rFonts w:ascii="Century Gothic" w:hAnsi="Century Gothic"/>
          <w:sz w:val="20"/>
          <w:szCs w:val="20"/>
        </w:rPr>
        <w:t>wirausaha</w:t>
      </w:r>
      <w:r w:rsidRPr="00D70A0F">
        <w:rPr>
          <w:rFonts w:ascii="Century Gothic" w:hAnsi="Century Gothic"/>
          <w:sz w:val="20"/>
          <w:szCs w:val="20"/>
          <w:lang w:val="id-ID"/>
        </w:rPr>
        <w:t xml:space="preserve">, </w:t>
      </w:r>
      <w:r w:rsidRPr="00D70A0F">
        <w:rPr>
          <w:rFonts w:ascii="Century Gothic" w:hAnsi="Century Gothic"/>
          <w:sz w:val="20"/>
          <w:szCs w:val="20"/>
        </w:rPr>
        <w:t>Clutang-Boyolali</w:t>
      </w:r>
      <w:r w:rsidRPr="00D70A0F">
        <w:rPr>
          <w:rFonts w:ascii="Century Gothic" w:hAnsi="Century Gothic"/>
          <w:color w:val="000000"/>
          <w:sz w:val="20"/>
          <w:szCs w:val="20"/>
        </w:rPr>
        <w:t xml:space="preserve"> </w:t>
      </w:r>
    </w:p>
    <w:p w:rsidR="001B5888" w:rsidRDefault="001B5888" w:rsidP="00305A9E">
      <w:pPr>
        <w:spacing w:after="0" w:line="240" w:lineRule="auto"/>
        <w:rPr>
          <w:i/>
          <w:color w:val="000000"/>
        </w:rPr>
      </w:pPr>
    </w:p>
    <w:p w:rsidR="001B5888" w:rsidRPr="00BC3E56" w:rsidRDefault="001B5888" w:rsidP="00BC3E56">
      <w:pPr>
        <w:pStyle w:val="HTMLPreformatted"/>
        <w:jc w:val="both"/>
        <w:rPr>
          <w:rFonts w:ascii="Century Gothic" w:hAnsi="Century Gothic"/>
        </w:rPr>
      </w:pPr>
      <w:r w:rsidRPr="00BC3E56">
        <w:rPr>
          <w:rFonts w:ascii="Century Gothic" w:hAnsi="Century Gothic"/>
          <w:i/>
          <w:color w:val="000000"/>
        </w:rPr>
        <w:t>Abstract:</w:t>
      </w:r>
      <w:r w:rsidRPr="00BC3E56">
        <w:rPr>
          <w:rFonts w:ascii="Century Gothic" w:hAnsi="Century Gothic"/>
          <w:lang w:val="en"/>
        </w:rPr>
        <w:t xml:space="preserve"> Rose flower is a plant that has been cultivated for generations in Clutang Boyolali. The potential of this village has motivated UKM Putri Mawar Group to process flower petals into various food products such as chips, syrup, pilus and rose tea. However, in its development rose tea is a type of product that is always produced by the group. Group entrepreneurship management is still simple and traditional, so it needs assistance in its development. Constraints faced in production activities, namely product marketing are still limited because the packaging is simple and is not equipped with a communicative label, so that further assistance is needed in packaging techniques so that the product is able to compete in the market. Therefore, through this service activity assistance is carried out to improve packaging techniques to the group so that it is hoped that later quality tea products will be produced and able to compete in the market.</w:t>
      </w:r>
    </w:p>
    <w:p w:rsidR="001B5888" w:rsidRPr="00BC3E56" w:rsidRDefault="001B5888" w:rsidP="00305A9E">
      <w:pPr>
        <w:spacing w:after="0" w:line="240" w:lineRule="auto"/>
        <w:rPr>
          <w:rFonts w:ascii="Century Gothic" w:hAnsi="Century Gothic"/>
          <w:i/>
          <w:color w:val="000000"/>
          <w:sz w:val="20"/>
          <w:szCs w:val="20"/>
        </w:rPr>
        <w:sectPr w:rsidR="001B5888" w:rsidRPr="00BC3E56" w:rsidSect="00391E01">
          <w:pgSz w:w="12240" w:h="15840"/>
          <w:pgMar w:top="1134" w:right="1701" w:bottom="1134" w:left="1701" w:header="720" w:footer="720" w:gutter="0"/>
          <w:cols w:space="720"/>
          <w:docGrid w:linePitch="360"/>
        </w:sectPr>
      </w:pPr>
      <w:r w:rsidRPr="00BC3E56">
        <w:rPr>
          <w:rFonts w:ascii="Century Gothic" w:hAnsi="Century Gothic"/>
          <w:i/>
          <w:color w:val="000000"/>
          <w:sz w:val="20"/>
          <w:szCs w:val="20"/>
        </w:rPr>
        <w:t>Keywords :</w:t>
      </w:r>
      <w:r w:rsidR="00BC3E56" w:rsidRPr="00BC3E56">
        <w:rPr>
          <w:rFonts w:ascii="Century Gothic" w:hAnsi="Century Gothic"/>
          <w:sz w:val="20"/>
          <w:szCs w:val="20"/>
          <w:lang w:val="en"/>
        </w:rPr>
        <w:t xml:space="preserve"> </w:t>
      </w:r>
      <w:r w:rsidR="00BC3E56" w:rsidRPr="00BC3E56">
        <w:rPr>
          <w:rStyle w:val="tlid-translation"/>
          <w:rFonts w:ascii="Century Gothic" w:hAnsi="Century Gothic"/>
          <w:sz w:val="20"/>
          <w:szCs w:val="20"/>
          <w:lang w:val="en"/>
        </w:rPr>
        <w:t>packaging, rose tea, entrepreneurship, Clutang-Boyolali</w:t>
      </w:r>
    </w:p>
    <w:p w:rsidR="00BC3E56" w:rsidRDefault="00BC3E56" w:rsidP="00BC3E56">
      <w:pPr>
        <w:pStyle w:val="CM2"/>
        <w:spacing w:line="276" w:lineRule="auto"/>
        <w:jc w:val="both"/>
        <w:rPr>
          <w:b/>
          <w:bCs/>
          <w:color w:val="000000"/>
        </w:rPr>
      </w:pPr>
    </w:p>
    <w:p w:rsidR="0091522F" w:rsidRPr="00867BFD" w:rsidRDefault="00BC3E56" w:rsidP="00BC3E56">
      <w:pPr>
        <w:pStyle w:val="CM2"/>
        <w:numPr>
          <w:ilvl w:val="0"/>
          <w:numId w:val="3"/>
        </w:numPr>
        <w:spacing w:line="276" w:lineRule="auto"/>
        <w:ind w:left="360"/>
        <w:jc w:val="both"/>
        <w:rPr>
          <w:rFonts w:ascii="Century" w:hAnsi="Century"/>
          <w:i/>
          <w:color w:val="000000"/>
        </w:rPr>
      </w:pPr>
      <w:r w:rsidRPr="00867BFD">
        <w:rPr>
          <w:rFonts w:ascii="Century" w:hAnsi="Century"/>
          <w:b/>
          <w:bCs/>
          <w:color w:val="000000"/>
        </w:rPr>
        <w:t>LATAR BELAKANG</w:t>
      </w:r>
      <w:r w:rsidR="0091522F" w:rsidRPr="00867BFD">
        <w:rPr>
          <w:rFonts w:ascii="Century" w:hAnsi="Century"/>
          <w:b/>
          <w:bCs/>
          <w:color w:val="000000"/>
        </w:rPr>
        <w:t xml:space="preserve"> </w:t>
      </w:r>
    </w:p>
    <w:p w:rsidR="0091522F" w:rsidRPr="00867BFD" w:rsidRDefault="0091522F" w:rsidP="00391E01">
      <w:pPr>
        <w:spacing w:after="0" w:line="276" w:lineRule="auto"/>
        <w:ind w:firstLine="540"/>
        <w:jc w:val="both"/>
        <w:rPr>
          <w:rFonts w:ascii="Century" w:hAnsi="Century" w:cs="Times New Roman"/>
          <w:sz w:val="24"/>
          <w:szCs w:val="24"/>
          <w:lang w:val="id-ID"/>
        </w:rPr>
      </w:pPr>
      <w:r w:rsidRPr="00867BFD">
        <w:rPr>
          <w:rFonts w:ascii="Century" w:hAnsi="Century" w:cs="Times New Roman"/>
          <w:sz w:val="24"/>
          <w:szCs w:val="24"/>
        </w:rPr>
        <w:t>Gondang</w:t>
      </w:r>
      <w:r w:rsidRPr="00867BFD">
        <w:rPr>
          <w:rFonts w:ascii="Century" w:hAnsi="Century" w:cs="Times New Roman"/>
          <w:sz w:val="24"/>
          <w:szCs w:val="24"/>
          <w:lang w:val="id-ID"/>
        </w:rPr>
        <w:t xml:space="preserve"> </w:t>
      </w:r>
      <w:r w:rsidRPr="00867BFD">
        <w:rPr>
          <w:rFonts w:ascii="Century" w:hAnsi="Century" w:cs="Times New Roman"/>
          <w:sz w:val="24"/>
          <w:szCs w:val="24"/>
        </w:rPr>
        <w:t>adalah</w:t>
      </w:r>
      <w:r w:rsidRPr="00867BFD">
        <w:rPr>
          <w:rFonts w:ascii="Century" w:hAnsi="Century" w:cs="Times New Roman"/>
          <w:sz w:val="24"/>
          <w:szCs w:val="24"/>
          <w:lang w:val="id-ID"/>
        </w:rPr>
        <w:t xml:space="preserve"> salah satu wilayah </w:t>
      </w:r>
      <w:r w:rsidRPr="00867BFD">
        <w:rPr>
          <w:rFonts w:ascii="Century" w:hAnsi="Century" w:cs="Times New Roman"/>
          <w:sz w:val="24"/>
          <w:szCs w:val="24"/>
        </w:rPr>
        <w:t xml:space="preserve">desa Clutang </w:t>
      </w:r>
      <w:r w:rsidRPr="00867BFD">
        <w:rPr>
          <w:rFonts w:ascii="Century" w:hAnsi="Century" w:cs="Times New Roman"/>
          <w:sz w:val="24"/>
          <w:szCs w:val="24"/>
          <w:lang w:val="id-ID"/>
        </w:rPr>
        <w:t>kecamatan</w:t>
      </w:r>
      <w:r w:rsidRPr="00867BFD">
        <w:rPr>
          <w:rFonts w:ascii="Century" w:hAnsi="Century" w:cs="Times New Roman"/>
          <w:sz w:val="24"/>
          <w:szCs w:val="24"/>
        </w:rPr>
        <w:t xml:space="preserve"> Musuk</w:t>
      </w:r>
      <w:r w:rsidRPr="00867BFD">
        <w:rPr>
          <w:rFonts w:ascii="Century" w:hAnsi="Century" w:cs="Times New Roman"/>
          <w:sz w:val="24"/>
          <w:szCs w:val="24"/>
          <w:lang w:val="id-ID"/>
        </w:rPr>
        <w:t xml:space="preserve"> k</w:t>
      </w:r>
      <w:r w:rsidRPr="00867BFD">
        <w:rPr>
          <w:rFonts w:ascii="Century" w:hAnsi="Century" w:cs="Times New Roman"/>
          <w:sz w:val="24"/>
          <w:szCs w:val="24"/>
        </w:rPr>
        <w:t xml:space="preserve">abupaten </w:t>
      </w:r>
      <w:r w:rsidRPr="00867BFD">
        <w:rPr>
          <w:rFonts w:ascii="Century" w:hAnsi="Century" w:cs="Times New Roman"/>
          <w:sz w:val="24"/>
          <w:szCs w:val="24"/>
          <w:lang w:val="id-ID"/>
        </w:rPr>
        <w:t xml:space="preserve">Boyolali. Keberadaan lahan </w:t>
      </w:r>
      <w:r w:rsidRPr="00867BFD">
        <w:rPr>
          <w:rFonts w:ascii="Century" w:hAnsi="Century" w:cs="Times New Roman"/>
          <w:sz w:val="24"/>
          <w:szCs w:val="24"/>
        </w:rPr>
        <w:t xml:space="preserve">pekarangan </w:t>
      </w:r>
      <w:r w:rsidRPr="00867BFD">
        <w:rPr>
          <w:rFonts w:ascii="Century" w:hAnsi="Century" w:cs="Times New Roman"/>
          <w:sz w:val="24"/>
          <w:szCs w:val="24"/>
          <w:lang w:val="id-ID"/>
        </w:rPr>
        <w:t xml:space="preserve">telah menumbuhkan kreativitas </w:t>
      </w:r>
      <w:r w:rsidR="00515B7E" w:rsidRPr="00867BFD">
        <w:rPr>
          <w:rFonts w:ascii="Century" w:hAnsi="Century" w:cs="Times New Roman"/>
          <w:sz w:val="24"/>
          <w:szCs w:val="24"/>
        </w:rPr>
        <w:t>i</w:t>
      </w:r>
      <w:r w:rsidRPr="00867BFD">
        <w:rPr>
          <w:rFonts w:ascii="Century" w:hAnsi="Century" w:cs="Times New Roman"/>
          <w:sz w:val="24"/>
          <w:szCs w:val="24"/>
          <w:lang w:val="id-ID"/>
        </w:rPr>
        <w:t>bu-ibu rumah tangga untuk memanfaat</w:t>
      </w:r>
      <w:r w:rsidR="00515B7E" w:rsidRPr="00867BFD">
        <w:rPr>
          <w:rFonts w:ascii="Century" w:hAnsi="Century" w:cs="Times New Roman"/>
          <w:sz w:val="24"/>
          <w:szCs w:val="24"/>
        </w:rPr>
        <w:t>ka</w:t>
      </w:r>
      <w:r w:rsidRPr="00867BFD">
        <w:rPr>
          <w:rFonts w:ascii="Century" w:hAnsi="Century" w:cs="Times New Roman"/>
          <w:sz w:val="24"/>
          <w:szCs w:val="24"/>
          <w:lang w:val="id-ID"/>
        </w:rPr>
        <w:t xml:space="preserve">n </w:t>
      </w:r>
      <w:r w:rsidR="00515B7E" w:rsidRPr="00867BFD">
        <w:rPr>
          <w:rFonts w:ascii="Century" w:hAnsi="Century" w:cs="Times New Roman"/>
          <w:sz w:val="24"/>
          <w:szCs w:val="24"/>
        </w:rPr>
        <w:t xml:space="preserve">lahan </w:t>
      </w:r>
      <w:r w:rsidRPr="00867BFD">
        <w:rPr>
          <w:rFonts w:ascii="Century" w:hAnsi="Century" w:cs="Times New Roman"/>
          <w:sz w:val="24"/>
          <w:szCs w:val="24"/>
          <w:lang w:val="id-ID"/>
        </w:rPr>
        <w:t>dengan me</w:t>
      </w:r>
      <w:r w:rsidRPr="00867BFD">
        <w:rPr>
          <w:rFonts w:ascii="Century" w:hAnsi="Century" w:cs="Times New Roman"/>
          <w:sz w:val="24"/>
          <w:szCs w:val="24"/>
        </w:rPr>
        <w:t>n</w:t>
      </w:r>
      <w:r w:rsidRPr="00867BFD">
        <w:rPr>
          <w:rFonts w:ascii="Century" w:hAnsi="Century" w:cs="Times New Roman"/>
          <w:sz w:val="24"/>
          <w:szCs w:val="24"/>
          <w:lang w:val="id-ID"/>
        </w:rPr>
        <w:t xml:space="preserve">anam </w:t>
      </w:r>
      <w:r w:rsidRPr="00867BFD">
        <w:rPr>
          <w:rFonts w:ascii="Century" w:hAnsi="Century" w:cs="Times New Roman"/>
          <w:sz w:val="24"/>
          <w:szCs w:val="24"/>
        </w:rPr>
        <w:t>bunga mawar</w:t>
      </w:r>
      <w:r w:rsidRPr="00867BFD">
        <w:rPr>
          <w:rFonts w:ascii="Century" w:hAnsi="Century" w:cs="Times New Roman"/>
          <w:sz w:val="24"/>
          <w:szCs w:val="24"/>
          <w:lang w:val="id-ID"/>
        </w:rPr>
        <w:t xml:space="preserve">. Keberadaan tanaman bunga mawar di wilayah ini sudah ditanam turun temurun. Semangat ingin maju bersama </w:t>
      </w:r>
      <w:r w:rsidRPr="00867BFD">
        <w:rPr>
          <w:rFonts w:ascii="Century" w:hAnsi="Century" w:cs="Times New Roman"/>
          <w:sz w:val="24"/>
          <w:szCs w:val="24"/>
        </w:rPr>
        <w:t>di kelompok,</w:t>
      </w:r>
      <w:r w:rsidRPr="00867BFD">
        <w:rPr>
          <w:rFonts w:ascii="Century" w:hAnsi="Century" w:cs="Times New Roman"/>
          <w:sz w:val="24"/>
          <w:szCs w:val="24"/>
          <w:lang w:val="id-ID"/>
        </w:rPr>
        <w:t xml:space="preserve"> akhirnya terbangun Wanita Tani </w:t>
      </w:r>
      <w:r w:rsidRPr="00867BFD">
        <w:rPr>
          <w:rFonts w:ascii="Century" w:hAnsi="Century" w:cs="Times New Roman"/>
          <w:sz w:val="24"/>
          <w:szCs w:val="24"/>
        </w:rPr>
        <w:t>Putri Mawar</w:t>
      </w:r>
      <w:r w:rsidRPr="00867BFD">
        <w:rPr>
          <w:rFonts w:ascii="Century" w:hAnsi="Century" w:cs="Times New Roman"/>
          <w:sz w:val="24"/>
          <w:szCs w:val="24"/>
          <w:lang w:val="id-ID"/>
        </w:rPr>
        <w:t xml:space="preserve">. Pada awal kegiatan ketersediaan </w:t>
      </w:r>
      <w:r w:rsidRPr="00867BFD">
        <w:rPr>
          <w:rFonts w:ascii="Century" w:hAnsi="Century" w:cs="Times New Roman"/>
          <w:sz w:val="24"/>
          <w:szCs w:val="24"/>
        </w:rPr>
        <w:t>bunga mawar,</w:t>
      </w:r>
      <w:r w:rsidRPr="00867BFD">
        <w:rPr>
          <w:rFonts w:ascii="Century" w:hAnsi="Century" w:cs="Times New Roman"/>
          <w:sz w:val="24"/>
          <w:szCs w:val="24"/>
          <w:lang w:val="id-ID"/>
        </w:rPr>
        <w:t xml:space="preserve"> utamanya untuk memenuhi ketersediaan </w:t>
      </w:r>
      <w:r w:rsidRPr="00867BFD">
        <w:rPr>
          <w:rFonts w:ascii="Century" w:hAnsi="Century" w:cs="Times New Roman"/>
          <w:sz w:val="24"/>
          <w:szCs w:val="24"/>
        </w:rPr>
        <w:t>bunga tabur</w:t>
      </w:r>
      <w:r w:rsidRPr="00867BFD">
        <w:rPr>
          <w:rFonts w:ascii="Century" w:hAnsi="Century" w:cs="Times New Roman"/>
          <w:sz w:val="24"/>
          <w:szCs w:val="24"/>
          <w:lang w:val="id-ID"/>
        </w:rPr>
        <w:t>. Sejalan dengan kegiatan optimalisasi lahan yang hampir seluruh anggota</w:t>
      </w:r>
      <w:r w:rsidRPr="00867BFD">
        <w:rPr>
          <w:rFonts w:ascii="Century" w:hAnsi="Century" w:cs="Times New Roman"/>
          <w:sz w:val="24"/>
          <w:szCs w:val="24"/>
        </w:rPr>
        <w:t xml:space="preserve"> masyarakat di desa Gondang menanam</w:t>
      </w:r>
      <w:r w:rsidRPr="00867BFD">
        <w:rPr>
          <w:rFonts w:ascii="Century" w:hAnsi="Century" w:cs="Times New Roman"/>
          <w:sz w:val="24"/>
          <w:szCs w:val="24"/>
          <w:lang w:val="id-ID"/>
        </w:rPr>
        <w:t xml:space="preserve">, maka </w:t>
      </w:r>
      <w:r w:rsidRPr="00867BFD">
        <w:rPr>
          <w:rFonts w:ascii="Century" w:hAnsi="Century" w:cs="Times New Roman"/>
          <w:sz w:val="24"/>
          <w:szCs w:val="24"/>
        </w:rPr>
        <w:t>bunga mawar</w:t>
      </w:r>
      <w:r w:rsidRPr="00867BFD">
        <w:rPr>
          <w:rFonts w:ascii="Century" w:hAnsi="Century" w:cs="Times New Roman"/>
          <w:sz w:val="24"/>
          <w:szCs w:val="24"/>
          <w:lang w:val="id-ID"/>
        </w:rPr>
        <w:t xml:space="preserve"> melimpah dan selanjutnya </w:t>
      </w:r>
      <w:r w:rsidRPr="00867BFD">
        <w:rPr>
          <w:rFonts w:ascii="Century" w:hAnsi="Century" w:cs="Times New Roman"/>
          <w:sz w:val="24"/>
          <w:szCs w:val="24"/>
          <w:lang w:val="id-ID"/>
        </w:rPr>
        <w:lastRenderedPageBreak/>
        <w:t>memunculkan kreativitas kelompok mengolah b</w:t>
      </w:r>
      <w:r w:rsidRPr="00867BFD">
        <w:rPr>
          <w:rFonts w:ascii="Century" w:hAnsi="Century" w:cs="Times New Roman"/>
          <w:sz w:val="24"/>
          <w:szCs w:val="24"/>
        </w:rPr>
        <w:t>unga mawar</w:t>
      </w:r>
      <w:r w:rsidRPr="00867BFD">
        <w:rPr>
          <w:rFonts w:ascii="Century" w:hAnsi="Century" w:cs="Times New Roman"/>
          <w:sz w:val="24"/>
          <w:szCs w:val="24"/>
          <w:lang w:val="id-ID"/>
        </w:rPr>
        <w:t xml:space="preserve"> menjadi aneka produk makanan</w:t>
      </w:r>
      <w:r w:rsidR="00515B7E" w:rsidRPr="00867BFD">
        <w:rPr>
          <w:rFonts w:ascii="Century" w:hAnsi="Century" w:cs="Times New Roman"/>
          <w:sz w:val="24"/>
          <w:szCs w:val="24"/>
        </w:rPr>
        <w:t>.</w:t>
      </w:r>
    </w:p>
    <w:p w:rsidR="0091522F" w:rsidRPr="00867BFD" w:rsidRDefault="0091522F" w:rsidP="00391E01">
      <w:pPr>
        <w:spacing w:after="0" w:line="276" w:lineRule="auto"/>
        <w:ind w:firstLine="540"/>
        <w:contextualSpacing/>
        <w:jc w:val="both"/>
        <w:rPr>
          <w:rFonts w:ascii="Century" w:hAnsi="Century" w:cs="Times New Roman"/>
          <w:sz w:val="24"/>
          <w:szCs w:val="24"/>
        </w:rPr>
      </w:pPr>
      <w:r w:rsidRPr="00867BFD">
        <w:rPr>
          <w:rFonts w:ascii="Century" w:hAnsi="Century" w:cs="Times New Roman"/>
          <w:sz w:val="24"/>
          <w:szCs w:val="24"/>
          <w:lang w:val="id-ID"/>
        </w:rPr>
        <w:t xml:space="preserve">Kegiatan produksi makanan berbahan </w:t>
      </w:r>
      <w:r w:rsidRPr="00867BFD">
        <w:rPr>
          <w:rFonts w:ascii="Century" w:hAnsi="Century" w:cs="Times New Roman"/>
          <w:sz w:val="24"/>
          <w:szCs w:val="24"/>
        </w:rPr>
        <w:t>bunga mawar</w:t>
      </w:r>
      <w:r w:rsidRPr="00867BFD">
        <w:rPr>
          <w:rFonts w:ascii="Century" w:hAnsi="Century" w:cs="Times New Roman"/>
          <w:sz w:val="24"/>
          <w:szCs w:val="24"/>
          <w:lang w:val="id-ID"/>
        </w:rPr>
        <w:t xml:space="preserve"> di KWT </w:t>
      </w:r>
      <w:r w:rsidR="00515B7E" w:rsidRPr="00867BFD">
        <w:rPr>
          <w:rFonts w:ascii="Century" w:hAnsi="Century" w:cs="Times New Roman"/>
          <w:sz w:val="24"/>
          <w:szCs w:val="24"/>
        </w:rPr>
        <w:t>Putri Mawar</w:t>
      </w:r>
      <w:r w:rsidRPr="00867BFD">
        <w:rPr>
          <w:rFonts w:ascii="Century" w:hAnsi="Century" w:cs="Times New Roman"/>
          <w:sz w:val="24"/>
          <w:szCs w:val="24"/>
          <w:lang w:val="id-ID"/>
        </w:rPr>
        <w:t xml:space="preserve"> sekalipun masih bersifat tradisional, </w:t>
      </w:r>
      <w:r w:rsidR="00515B7E" w:rsidRPr="00867BFD">
        <w:rPr>
          <w:rFonts w:ascii="Century" w:hAnsi="Century" w:cs="Times New Roman"/>
          <w:sz w:val="24"/>
          <w:szCs w:val="24"/>
        </w:rPr>
        <w:t>namun</w:t>
      </w:r>
      <w:r w:rsidRPr="00867BFD">
        <w:rPr>
          <w:rFonts w:ascii="Century" w:hAnsi="Century" w:cs="Times New Roman"/>
          <w:sz w:val="24"/>
          <w:szCs w:val="24"/>
          <w:lang w:val="id-ID"/>
        </w:rPr>
        <w:t xml:space="preserve"> telah</w:t>
      </w:r>
      <w:r w:rsidRPr="00867BFD">
        <w:rPr>
          <w:rFonts w:ascii="Century" w:hAnsi="Century" w:cs="Times New Roman"/>
          <w:sz w:val="24"/>
          <w:szCs w:val="24"/>
        </w:rPr>
        <w:t xml:space="preserve"> berinovasi menciptakan</w:t>
      </w:r>
      <w:r w:rsidR="00515B7E" w:rsidRPr="00867BFD">
        <w:rPr>
          <w:rFonts w:ascii="Century" w:hAnsi="Century" w:cs="Times New Roman"/>
          <w:sz w:val="24"/>
          <w:szCs w:val="24"/>
          <w:lang w:val="id-ID"/>
        </w:rPr>
        <w:t xml:space="preserve"> aneka produk. </w:t>
      </w:r>
      <w:r w:rsidRPr="00867BFD">
        <w:rPr>
          <w:rFonts w:ascii="Century" w:hAnsi="Century" w:cs="Times New Roman"/>
          <w:sz w:val="24"/>
          <w:szCs w:val="24"/>
          <w:lang w:val="id-ID"/>
        </w:rPr>
        <w:t xml:space="preserve">Produk </w:t>
      </w:r>
      <w:r w:rsidR="00515B7E" w:rsidRPr="00867BFD">
        <w:rPr>
          <w:rFonts w:ascii="Century" w:hAnsi="Century" w:cs="Times New Roman"/>
          <w:sz w:val="24"/>
          <w:szCs w:val="24"/>
        </w:rPr>
        <w:t>pangan</w:t>
      </w:r>
      <w:r w:rsidRPr="00867BFD">
        <w:rPr>
          <w:rFonts w:ascii="Century" w:hAnsi="Century" w:cs="Times New Roman"/>
          <w:sz w:val="24"/>
          <w:szCs w:val="24"/>
          <w:lang w:val="id-ID"/>
        </w:rPr>
        <w:t xml:space="preserve"> tersebut antara lain keripik </w:t>
      </w:r>
      <w:r w:rsidRPr="00867BFD">
        <w:rPr>
          <w:rFonts w:ascii="Century" w:hAnsi="Century" w:cs="Times New Roman"/>
          <w:sz w:val="24"/>
          <w:szCs w:val="24"/>
        </w:rPr>
        <w:t>bunga mawar</w:t>
      </w:r>
      <w:r w:rsidRPr="00867BFD">
        <w:rPr>
          <w:rFonts w:ascii="Century" w:hAnsi="Century" w:cs="Times New Roman"/>
          <w:sz w:val="24"/>
          <w:szCs w:val="24"/>
          <w:lang w:val="id-ID"/>
        </w:rPr>
        <w:t xml:space="preserve">, sirup </w:t>
      </w:r>
      <w:r w:rsidRPr="00867BFD">
        <w:rPr>
          <w:rFonts w:ascii="Century" w:hAnsi="Century" w:cs="Times New Roman"/>
          <w:sz w:val="24"/>
          <w:szCs w:val="24"/>
        </w:rPr>
        <w:t>bunga mawar, teh bunga mawar</w:t>
      </w:r>
      <w:r w:rsidRPr="00867BFD">
        <w:rPr>
          <w:rFonts w:ascii="Century" w:hAnsi="Century" w:cs="Times New Roman"/>
          <w:sz w:val="24"/>
          <w:szCs w:val="24"/>
          <w:lang w:val="id-ID"/>
        </w:rPr>
        <w:t xml:space="preserve"> dan </w:t>
      </w:r>
      <w:r w:rsidRPr="00867BFD">
        <w:rPr>
          <w:rFonts w:ascii="Century" w:hAnsi="Century" w:cs="Times New Roman"/>
          <w:sz w:val="24"/>
          <w:szCs w:val="24"/>
        </w:rPr>
        <w:t>maupun selai bunga mawar.</w:t>
      </w:r>
      <w:r w:rsidRPr="00867BFD">
        <w:rPr>
          <w:rFonts w:ascii="Century" w:hAnsi="Century" w:cs="Times New Roman"/>
          <w:sz w:val="24"/>
          <w:szCs w:val="24"/>
          <w:lang w:val="id-ID"/>
        </w:rPr>
        <w:t xml:space="preserve"> </w:t>
      </w:r>
      <w:r w:rsidR="00515B7E" w:rsidRPr="00867BFD">
        <w:rPr>
          <w:rFonts w:ascii="Century" w:hAnsi="Century" w:cs="Times New Roman"/>
          <w:sz w:val="24"/>
          <w:szCs w:val="24"/>
        </w:rPr>
        <w:t>Tehdari kelopak bunga mawar merah merupakan p</w:t>
      </w:r>
      <w:r w:rsidRPr="00867BFD">
        <w:rPr>
          <w:rFonts w:ascii="Century" w:hAnsi="Century" w:cs="Times New Roman"/>
          <w:sz w:val="24"/>
          <w:szCs w:val="24"/>
        </w:rPr>
        <w:t>roduk yang sering tersedia di kelompok, sedang produk lain dibuat jika ada pesanan. K</w:t>
      </w:r>
      <w:r w:rsidRPr="00867BFD">
        <w:rPr>
          <w:rFonts w:ascii="Century" w:hAnsi="Century" w:cs="Times New Roman"/>
          <w:sz w:val="24"/>
          <w:szCs w:val="24"/>
          <w:lang w:val="id-ID"/>
        </w:rPr>
        <w:t xml:space="preserve">elompok telah merasakan manfaat dengan mengoptimalkan lahan pekarangan. Bukan hanya ketersediaan </w:t>
      </w:r>
      <w:r w:rsidRPr="00867BFD">
        <w:rPr>
          <w:rFonts w:ascii="Century" w:hAnsi="Century" w:cs="Times New Roman"/>
          <w:sz w:val="24"/>
          <w:szCs w:val="24"/>
        </w:rPr>
        <w:t xml:space="preserve">bunga mawar untuk dijual sebagai bunga tabur, tetapi juga mampu menambah ekonomi rumah tangga dengan </w:t>
      </w:r>
      <w:r w:rsidRPr="00867BFD">
        <w:rPr>
          <w:rFonts w:ascii="Century" w:hAnsi="Century" w:cs="Times New Roman"/>
          <w:sz w:val="24"/>
          <w:szCs w:val="24"/>
          <w:lang w:val="id-ID"/>
        </w:rPr>
        <w:t xml:space="preserve">usaha produksi aneka makanan berbahan </w:t>
      </w:r>
      <w:r w:rsidRPr="00867BFD">
        <w:rPr>
          <w:rFonts w:ascii="Century" w:hAnsi="Century" w:cs="Times New Roman"/>
          <w:sz w:val="24"/>
          <w:szCs w:val="24"/>
        </w:rPr>
        <w:t xml:space="preserve">bunga mawar. </w:t>
      </w:r>
    </w:p>
    <w:p w:rsidR="0091522F" w:rsidRPr="00867BFD" w:rsidRDefault="0091522F" w:rsidP="00391E01">
      <w:pPr>
        <w:spacing w:after="0" w:line="276" w:lineRule="auto"/>
        <w:ind w:firstLine="540"/>
        <w:contextualSpacing/>
        <w:jc w:val="both"/>
        <w:rPr>
          <w:rFonts w:ascii="Century" w:hAnsi="Century" w:cs="Times New Roman"/>
          <w:sz w:val="24"/>
          <w:szCs w:val="24"/>
          <w:lang w:val="id-ID"/>
        </w:rPr>
      </w:pPr>
      <w:r w:rsidRPr="00867BFD">
        <w:rPr>
          <w:rFonts w:ascii="Century" w:hAnsi="Century" w:cs="Times New Roman"/>
          <w:sz w:val="24"/>
          <w:szCs w:val="24"/>
          <w:lang w:val="id-ID"/>
        </w:rPr>
        <w:t xml:space="preserve">Olahan </w:t>
      </w:r>
      <w:r w:rsidRPr="00867BFD">
        <w:rPr>
          <w:rFonts w:ascii="Century" w:hAnsi="Century" w:cs="Times New Roman"/>
          <w:sz w:val="24"/>
          <w:szCs w:val="24"/>
        </w:rPr>
        <w:t>bunga mawar</w:t>
      </w:r>
      <w:r w:rsidR="00515B7E" w:rsidRPr="00867BFD">
        <w:rPr>
          <w:rFonts w:ascii="Century" w:hAnsi="Century" w:cs="Times New Roman"/>
          <w:sz w:val="24"/>
          <w:szCs w:val="24"/>
        </w:rPr>
        <w:t xml:space="preserve"> merah</w:t>
      </w:r>
      <w:r w:rsidRPr="00867BFD">
        <w:rPr>
          <w:rFonts w:ascii="Century" w:hAnsi="Century" w:cs="Times New Roman"/>
          <w:sz w:val="24"/>
          <w:szCs w:val="24"/>
          <w:lang w:val="id-ID"/>
        </w:rPr>
        <w:t xml:space="preserve"> menjadi produk olahan pangan siap saji merupakan salah satu inovasi untuk meningkatkan nilai ekonomi bunga mawar. Berdasarkan </w:t>
      </w:r>
      <w:r w:rsidRPr="00867BFD">
        <w:rPr>
          <w:rFonts w:ascii="Century" w:hAnsi="Century" w:cs="Times New Roman"/>
          <w:sz w:val="24"/>
          <w:szCs w:val="24"/>
        </w:rPr>
        <w:t>hasil penelitian diketahui bahwa bunga mawar</w:t>
      </w:r>
      <w:r w:rsidR="00515B7E" w:rsidRPr="00867BFD">
        <w:rPr>
          <w:rFonts w:ascii="Century" w:hAnsi="Century" w:cs="Times New Roman"/>
          <w:sz w:val="24"/>
          <w:szCs w:val="24"/>
        </w:rPr>
        <w:t xml:space="preserve"> merah</w:t>
      </w:r>
      <w:r w:rsidRPr="00867BFD">
        <w:rPr>
          <w:rFonts w:ascii="Century" w:hAnsi="Century" w:cs="Times New Roman"/>
          <w:sz w:val="24"/>
          <w:szCs w:val="24"/>
        </w:rPr>
        <w:t xml:space="preserve"> atau </w:t>
      </w:r>
      <w:r w:rsidR="00515B7E" w:rsidRPr="00867BFD">
        <w:rPr>
          <w:rFonts w:ascii="Century" w:hAnsi="Century" w:cs="Times New Roman"/>
          <w:sz w:val="24"/>
          <w:szCs w:val="24"/>
        </w:rPr>
        <w:t>petal</w:t>
      </w:r>
      <w:r w:rsidRPr="00867BFD">
        <w:rPr>
          <w:rFonts w:ascii="Century" w:hAnsi="Century" w:cs="Times New Roman"/>
          <w:iCs/>
          <w:color w:val="000000"/>
          <w:sz w:val="24"/>
          <w:szCs w:val="24"/>
          <w:shd w:val="clear" w:color="auto" w:fill="FFFFFF"/>
        </w:rPr>
        <w:t xml:space="preserve"> b</w:t>
      </w:r>
      <w:r w:rsidRPr="00867BFD">
        <w:rPr>
          <w:rFonts w:ascii="Century" w:eastAsia="Times New Roman" w:hAnsi="Century" w:cs="Times New Roman"/>
          <w:sz w:val="24"/>
          <w:szCs w:val="24"/>
        </w:rPr>
        <w:t>unga mawar</w:t>
      </w:r>
      <w:r w:rsidR="00515B7E" w:rsidRPr="00867BFD">
        <w:rPr>
          <w:rFonts w:ascii="Century" w:eastAsia="Times New Roman" w:hAnsi="Century" w:cs="Times New Roman"/>
          <w:sz w:val="24"/>
          <w:szCs w:val="24"/>
        </w:rPr>
        <w:t xml:space="preserve"> merah</w:t>
      </w:r>
      <w:r w:rsidRPr="00867BFD">
        <w:rPr>
          <w:rFonts w:ascii="Century" w:eastAsia="Times New Roman" w:hAnsi="Century" w:cs="Times New Roman"/>
          <w:sz w:val="24"/>
          <w:szCs w:val="24"/>
        </w:rPr>
        <w:t xml:space="preserve"> (</w:t>
      </w:r>
      <w:r w:rsidRPr="00867BFD">
        <w:rPr>
          <w:rFonts w:ascii="Century" w:hAnsi="Century" w:cs="Times New Roman"/>
          <w:i/>
          <w:color w:val="000000"/>
          <w:sz w:val="24"/>
          <w:szCs w:val="24"/>
        </w:rPr>
        <w:t>Ros</w:t>
      </w:r>
      <w:r w:rsidR="00452531" w:rsidRPr="00867BFD">
        <w:rPr>
          <w:rFonts w:ascii="Century" w:hAnsi="Century" w:cs="Times New Roman"/>
          <w:i/>
          <w:color w:val="000000"/>
          <w:sz w:val="24"/>
          <w:szCs w:val="24"/>
        </w:rPr>
        <w:t>e</w:t>
      </w:r>
      <w:r w:rsidRPr="00867BFD">
        <w:rPr>
          <w:rFonts w:ascii="Century" w:hAnsi="Century" w:cs="Times New Roman"/>
          <w:i/>
          <w:color w:val="000000"/>
          <w:sz w:val="24"/>
          <w:szCs w:val="24"/>
        </w:rPr>
        <w:t xml:space="preserve"> damascena </w:t>
      </w:r>
      <w:r w:rsidRPr="00867BFD">
        <w:rPr>
          <w:rFonts w:ascii="Century" w:hAnsi="Century" w:cs="Times New Roman"/>
          <w:color w:val="000000"/>
          <w:sz w:val="24"/>
          <w:szCs w:val="24"/>
        </w:rPr>
        <w:t>Mill)</w:t>
      </w:r>
      <w:r w:rsidRPr="00867BFD">
        <w:rPr>
          <w:rFonts w:ascii="Century" w:eastAsia="Times New Roman" w:hAnsi="Century" w:cs="Times New Roman"/>
          <w:sz w:val="24"/>
          <w:szCs w:val="24"/>
        </w:rPr>
        <w:t xml:space="preserve"> </w:t>
      </w:r>
      <w:r w:rsidRPr="00867BFD">
        <w:rPr>
          <w:rFonts w:ascii="Century" w:hAnsi="Century" w:cs="Times New Roman"/>
          <w:color w:val="000000"/>
          <w:sz w:val="24"/>
          <w:szCs w:val="24"/>
        </w:rPr>
        <w:t xml:space="preserve">mengandung pigmen antosianin yang tergolong flavonoid yaitu </w:t>
      </w:r>
      <w:r w:rsidRPr="00867BFD">
        <w:rPr>
          <w:rFonts w:ascii="Century" w:hAnsi="Century" w:cs="Times New Roman"/>
          <w:i/>
          <w:color w:val="000000"/>
          <w:sz w:val="24"/>
          <w:szCs w:val="24"/>
        </w:rPr>
        <w:t>pe</w:t>
      </w:r>
      <w:r w:rsidR="00515B7E" w:rsidRPr="00867BFD">
        <w:rPr>
          <w:rFonts w:ascii="Century" w:hAnsi="Century" w:cs="Times New Roman"/>
          <w:i/>
          <w:color w:val="000000"/>
          <w:sz w:val="24"/>
          <w:szCs w:val="24"/>
        </w:rPr>
        <w:t xml:space="preserve">anidin </w:t>
      </w:r>
      <w:r w:rsidRPr="00867BFD">
        <w:rPr>
          <w:rFonts w:ascii="Century" w:hAnsi="Century" w:cs="Times New Roman"/>
          <w:color w:val="000000"/>
          <w:sz w:val="24"/>
          <w:szCs w:val="24"/>
        </w:rPr>
        <w:t xml:space="preserve">yang dapat berfungsi sebagai bahan penangkap radikal bebas atau zat antioksidan, </w:t>
      </w:r>
      <w:r w:rsidRPr="00867BFD">
        <w:rPr>
          <w:rFonts w:ascii="Century" w:hAnsi="Century" w:cs="Times New Roman"/>
          <w:sz w:val="24"/>
          <w:szCs w:val="24"/>
        </w:rPr>
        <w:t>fungsional untuk kesehatan tubuh</w:t>
      </w:r>
      <w:r w:rsidR="00FA78DA" w:rsidRPr="00867BFD">
        <w:rPr>
          <w:rFonts w:ascii="Century" w:hAnsi="Century" w:cs="Times New Roman"/>
          <w:color w:val="000000"/>
          <w:sz w:val="24"/>
          <w:szCs w:val="24"/>
        </w:rPr>
        <w:t xml:space="preserve"> (</w:t>
      </w:r>
      <w:r w:rsidR="00BD41F0">
        <w:rPr>
          <w:rFonts w:ascii="Century" w:hAnsi="Century" w:cs="Times New Roman"/>
          <w:color w:val="000000"/>
          <w:sz w:val="24"/>
          <w:szCs w:val="24"/>
        </w:rPr>
        <w:fldChar w:fldCharType="begin" w:fldLock="1"/>
      </w:r>
      <w:r w:rsidR="00FE6041">
        <w:rPr>
          <w:rFonts w:ascii="Century" w:hAnsi="Century" w:cs="Times New Roman"/>
          <w:color w:val="000000"/>
          <w:sz w:val="24"/>
          <w:szCs w:val="24"/>
        </w:rPr>
        <w:instrText>ADDIN CSL_CITATION {"citationItems":[{"id":"ITEM-1","itemData":{"DOI":"10.37478/agr.v4i1.464","ISSN":"2715-6613","abstract":"Red roses  (Rosa sp)  are a  decorative plant species.  Their petals contain the pigment anthocyanin, which is classified as a flavonoid and is able to capture free radicals.  Due to their popularity, roses are an abundant resource and can be processed into effervescent drink tablets. This study aims to investigate the influence of time after harvest and filler type on the quality of the red rose extract powder, on effervescent tablets made from the said extract and on effervescent drink quality. The study was conducted in two stages. Phase I tested the quality of pigment extract of hybrid varieties of Dutch roses.  Three post-harvest durations were tested using a Randomized Block Design: fresh, or 0 days after harvesting (U0), 2 days after harvesting (U1) and 4 days after harvesting (U2). Phase II used a Randomized Block Design arranged in factorial to test rose extracts taken from flowers at 3 post-harvest durations (U0, U1, U2) in combination with 3 different filler types [NaHCO3 (N0), KHCO3 (N1), CaCO3 (N2)]. Resulting pigment extracts were analyzed for water quality, pigment quality, pH, and colour intensity.  Effervescent tablets made from the various pigment extracts were also measured for water quality,  sugar level,  pH, moisture content, tablet density, and colour intensity. Study findings revealed that time after harvest affected pigment extract pH, absorbance, light (L), and red (a+)/yellow (b+) colour intensity, while water content and soluble solid content and quantity were unaffected. Analysis of effervescent tablets found that time after harvest, was linked to differences in water content, texture,  light intensity (L) and red  (a+)/yellow (b+) intensity while there was no effect on moisture level.   Analysis of effervescent tablet drinks found that harvest time and filler type affected pH, dissolution speed, colour intensity and flavour. However, neither time after cutting nor filler type had a significant effect on the quantity of soluble solid, colour, appearance or taste of the drinks.","author":[{"dropping-particle":"","family":"Dami","given":"Theovilla R. Rianty","non-dropping-particle":"","parse-names":false,"suffix":""}],"container-title":"AGRICA","id":"ITEM-1","issued":{"date-parts":[["2020"]]},"title":"STUDI PEMBUATAN TABLET EFFERVESCENT DENGAN EKSTRAK BUNGA MAWAR MERAH (Rosa sp.) PADA PASCA POTONG BUNGA MAWAR DAN JENIS FILLER (NaHCO3, KHCO3, CaCO3)","type":"article-journal"},"uris":["http://www.mendeley.com/documents/?uuid=c84ee375-ca58-4cd5-94c9-d22452b6ad7c"]}],"mendeley":{"formattedCitation":"(Dami, 2020)","manualFormatting":"Dami &amp; Theovilla, 2020","plainTextFormattedCitation":"(Dami, 2020)","previouslyFormattedCitation":"(Dami, 2020)"},"properties":{"noteIndex":0},"schema":"https://github.com/citation-style-language/schema/raw/master/csl-citation.json"}</w:instrText>
      </w:r>
      <w:r w:rsidR="00BD41F0">
        <w:rPr>
          <w:rFonts w:ascii="Century" w:hAnsi="Century" w:cs="Times New Roman"/>
          <w:color w:val="000000"/>
          <w:sz w:val="24"/>
          <w:szCs w:val="24"/>
        </w:rPr>
        <w:fldChar w:fldCharType="separate"/>
      </w:r>
      <w:r w:rsidR="00FE6041">
        <w:rPr>
          <w:rFonts w:ascii="Century" w:hAnsi="Century" w:cs="Times New Roman"/>
          <w:noProof/>
          <w:color w:val="000000"/>
          <w:sz w:val="24"/>
          <w:szCs w:val="24"/>
        </w:rPr>
        <w:t>Dami &amp; Theovilla,</w:t>
      </w:r>
      <w:r w:rsidR="00BD41F0" w:rsidRPr="00BD41F0">
        <w:rPr>
          <w:rFonts w:ascii="Century" w:hAnsi="Century" w:cs="Times New Roman"/>
          <w:noProof/>
          <w:color w:val="000000"/>
          <w:sz w:val="24"/>
          <w:szCs w:val="24"/>
        </w:rPr>
        <w:t xml:space="preserve"> 2020</w:t>
      </w:r>
      <w:r w:rsidR="00BD41F0">
        <w:rPr>
          <w:rFonts w:ascii="Century" w:hAnsi="Century" w:cs="Times New Roman"/>
          <w:color w:val="000000"/>
          <w:sz w:val="24"/>
          <w:szCs w:val="24"/>
        </w:rPr>
        <w:fldChar w:fldCharType="end"/>
      </w:r>
      <w:r w:rsidR="00FE6041">
        <w:rPr>
          <w:rFonts w:ascii="Century" w:hAnsi="Century" w:cs="Times New Roman"/>
          <w:color w:val="000000"/>
          <w:sz w:val="24"/>
          <w:szCs w:val="24"/>
        </w:rPr>
        <w:t xml:space="preserve">; </w:t>
      </w:r>
      <w:r w:rsidR="00FE6041">
        <w:rPr>
          <w:rFonts w:ascii="Century" w:hAnsi="Century" w:cs="Times New Roman"/>
          <w:color w:val="000000"/>
          <w:sz w:val="24"/>
          <w:szCs w:val="24"/>
        </w:rPr>
        <w:fldChar w:fldCharType="begin" w:fldLock="1"/>
      </w:r>
      <w:r w:rsidR="00E14E06">
        <w:rPr>
          <w:rFonts w:ascii="Century" w:hAnsi="Century" w:cs="Times New Roman"/>
          <w:color w:val="000000"/>
          <w:sz w:val="24"/>
          <w:szCs w:val="24"/>
        </w:rPr>
        <w:instrText>ADDIN CSL_CITATION {"citationItems":[{"id":"ITEM-1","itemData":{"abstract":"Tumbuhan bunga mawar merah (Rosa damascena Mill) merupakan tanaman yang dapat dibudidayakan di Indonesia. Bunga mawar merah memiliki kandungan pigmen alami yaitu antosianin yang dapat dijadikan sebagai pewarna makanan. Mahkota bunga mawar mengandung pigmen antosianin yang tergolong flavonoid dan jenis antosianin sianidin yang dapat berfungsi sebagai aktioksidan atau menangkal radikal bebas. Pigmen sebagai bioaktif merupakan senyawa yang sangat bermanfaat bagi kesehatan manusia.Tujuan penelitian ini adalah untuk mengetahui pengaruh berbagai konsentrasi ekstrak bunga mawar merah dan mengetahui konsentrasi ekstrak bunga mawar yang paling berpengaruh terhadap stabilitas warna antosianin pada agar-agar. Jenis penelitian adalah True Experimental Research, yaitu dengan adanya perlakuan, ulangan dan kontrol. Rancangan penelitian menggunakan Rancangan Acak Lengkap (RAL), dengan 6 perlakuan (0%, 1%, 2%, 3%, 4%, dan 5%) dan diulang sebanyak 4 kali. Populasi dalam penelitian ini adalah agar-agar. Sampel dalam penelitian ini adalah agar-agar yang ditambahkan dengan ekstrak bunga mawar merah. Data yang diperoleh dianalisis dengan Uji Anava Satu Arah dilanjutkan dengan Uji Duncan’s 5%. Hasil penelitian dengan menunjukkan ada pengaruh berbagai konsentrasi ekstrak bunga mawar merah terhadap stabilitas warna antosianin agar-agar. Hasil uji untuk stabilitas warna konsentrasi yang paling berpengaruh untuk kecerahan warna merah adalah konsentrasi 4%, dan 5%, sedangkan warna kuning adalah konsentrasi 0%.","author":[{"dropping-particle":"","family":"Wulandari, Ratna., Krisno, Moch. Agus., dan Waluyo","given":"Lud","non-dropping-particle":"","parse-names":false,"suffix":""}],"container-title":"Jurnal Pendidikan Biologi Indonesia","id":"ITEM-1","issued":{"date-parts":[["2016"]]},"title":"Pengaruh Berbagai Konsentrasi Ekstrak Bunga Mawar Merah (Rosa Damascena Mill) Terhadap Stabilitas Warna Antosianin Agar-Agar Sebagai Sumber Belajar Biologi","type":"article-journal"},"uris":["http://www.mendeley.com/documents/?uuid=264eafff-85ad-492f-b5ec-2997bd543aad"]}],"mendeley":{"formattedCitation":"(Wulandari, Ratna., Krisno, Moch. Agus., dan Waluyo, 2016)","manualFormatting":"Wulandari, et al., 2016;","plainTextFormattedCitation":"(Wulandari, Ratna., Krisno, Moch. Agus., dan Waluyo, 2016)","previouslyFormattedCitation":"(Wulandari, Ratna., Krisno, Moch. Agus., dan Waluyo, 2016)"},"properties":{"noteIndex":0},"schema":"https://github.com/citation-style-language/schema/raw/master/csl-citation.json"}</w:instrText>
      </w:r>
      <w:r w:rsidR="00FE6041">
        <w:rPr>
          <w:rFonts w:ascii="Century" w:hAnsi="Century" w:cs="Times New Roman"/>
          <w:color w:val="000000"/>
          <w:sz w:val="24"/>
          <w:szCs w:val="24"/>
        </w:rPr>
        <w:fldChar w:fldCharType="separate"/>
      </w:r>
      <w:r w:rsidR="00FE6041" w:rsidRPr="00FE6041">
        <w:rPr>
          <w:rFonts w:ascii="Century" w:hAnsi="Century" w:cs="Times New Roman"/>
          <w:noProof/>
          <w:color w:val="000000"/>
          <w:sz w:val="24"/>
          <w:szCs w:val="24"/>
        </w:rPr>
        <w:t xml:space="preserve">Wulandari, </w:t>
      </w:r>
      <w:r w:rsidR="00FE6041" w:rsidRPr="00FE6041">
        <w:rPr>
          <w:rFonts w:ascii="Century" w:hAnsi="Century" w:cs="Times New Roman"/>
          <w:i/>
          <w:noProof/>
          <w:color w:val="000000"/>
          <w:sz w:val="24"/>
          <w:szCs w:val="24"/>
        </w:rPr>
        <w:t>et al.,</w:t>
      </w:r>
      <w:r w:rsidR="00FE6041">
        <w:rPr>
          <w:rFonts w:ascii="Century" w:hAnsi="Century" w:cs="Times New Roman"/>
          <w:noProof/>
          <w:color w:val="000000"/>
          <w:sz w:val="24"/>
          <w:szCs w:val="24"/>
        </w:rPr>
        <w:t xml:space="preserve"> 2016;</w:t>
      </w:r>
      <w:r w:rsidR="00FE6041">
        <w:rPr>
          <w:rFonts w:ascii="Century" w:hAnsi="Century" w:cs="Times New Roman"/>
          <w:color w:val="000000"/>
          <w:sz w:val="24"/>
          <w:szCs w:val="24"/>
        </w:rPr>
        <w:fldChar w:fldCharType="end"/>
      </w:r>
      <w:r w:rsidR="00C4735F">
        <w:rPr>
          <w:rFonts w:ascii="Century" w:hAnsi="Century" w:cs="Times New Roman"/>
          <w:color w:val="000000"/>
          <w:sz w:val="24"/>
          <w:szCs w:val="24"/>
        </w:rPr>
        <w:t xml:space="preserve">; </w:t>
      </w:r>
      <w:r w:rsidR="00D74A7E">
        <w:rPr>
          <w:rFonts w:ascii="Century" w:hAnsi="Century" w:cs="Times New Roman"/>
          <w:color w:val="000000"/>
          <w:sz w:val="24"/>
          <w:szCs w:val="24"/>
        </w:rPr>
        <w:fldChar w:fldCharType="begin" w:fldLock="1"/>
      </w:r>
      <w:r w:rsidR="002B48CD">
        <w:rPr>
          <w:rFonts w:ascii="Century" w:hAnsi="Century" w:cs="Times New Roman"/>
          <w:color w:val="000000"/>
          <w:sz w:val="24"/>
          <w:szCs w:val="24"/>
        </w:rPr>
        <w:instrText>ADDIN CSL_CITATION {"citationItems":[{"id":"ITEM-1","itemData":{"ISBN":"9786025728051","abstract":"Metabolit Sekunder dari Tanaman","author":[{"dropping-particle":"","family":"Anggraito, Y.U., Susanti, R., Iswari,R.S., Yuniastuti, A., Lisdiana, Bintari","given":"H.S","non-dropping-particle":"","parse-names":false,"suffix":""}],"id":"ITEM-1","issued":{"date-parts":[["2018"]]},"number-of-pages":"7","title":"Metabolit Sekunder Dari Tanaman :","type":"book"},"uris":["http://www.mendeley.com/documents/?uuid=103f3583-c3eb-46bd-95df-c20ce93f78b7"]}],"mendeley":{"formattedCitation":"(Anggraito, Y.U., Susanti, R., Iswari,R.S., Yuniastuti, A., Lisdiana, Bintari, 2018)","manualFormatting":"Anggraito, et.al., 2018","plainTextFormattedCitation":"(Anggraito, Y.U., Susanti, R., Iswari,R.S., Yuniastuti, A., Lisdiana, Bintari, 2018)","previouslyFormattedCitation":"(Anggraito, Y.U., Susanti, R., Iswari,R.S., Yuniastuti, A., Lisdiana, Bintari, 2018)"},"properties":{"noteIndex":0},"schema":"https://github.com/citation-style-language/schema/raw/master/csl-citation.json"}</w:instrText>
      </w:r>
      <w:r w:rsidR="00D74A7E">
        <w:rPr>
          <w:rFonts w:ascii="Century" w:hAnsi="Century" w:cs="Times New Roman"/>
          <w:color w:val="000000"/>
          <w:sz w:val="24"/>
          <w:szCs w:val="24"/>
        </w:rPr>
        <w:fldChar w:fldCharType="separate"/>
      </w:r>
      <w:r w:rsidR="00D74A7E" w:rsidRPr="00D74A7E">
        <w:rPr>
          <w:rFonts w:ascii="Century" w:hAnsi="Century" w:cs="Times New Roman"/>
          <w:noProof/>
          <w:color w:val="000000"/>
          <w:sz w:val="24"/>
          <w:szCs w:val="24"/>
        </w:rPr>
        <w:t xml:space="preserve">Anggraito, </w:t>
      </w:r>
      <w:r w:rsidR="00EC63BB" w:rsidRPr="00EC63BB">
        <w:rPr>
          <w:rFonts w:ascii="Century" w:hAnsi="Century" w:cs="Times New Roman"/>
          <w:i/>
          <w:noProof/>
          <w:color w:val="000000"/>
          <w:sz w:val="24"/>
          <w:szCs w:val="24"/>
        </w:rPr>
        <w:t>et.al.,</w:t>
      </w:r>
      <w:r w:rsidR="00D74A7E" w:rsidRPr="00D74A7E">
        <w:rPr>
          <w:rFonts w:ascii="Century" w:hAnsi="Century" w:cs="Times New Roman"/>
          <w:noProof/>
          <w:color w:val="000000"/>
          <w:sz w:val="24"/>
          <w:szCs w:val="24"/>
        </w:rPr>
        <w:t xml:space="preserve"> 2018</w:t>
      </w:r>
      <w:r w:rsidR="00D74A7E">
        <w:rPr>
          <w:rFonts w:ascii="Century" w:hAnsi="Century" w:cs="Times New Roman"/>
          <w:color w:val="000000"/>
          <w:sz w:val="24"/>
          <w:szCs w:val="24"/>
        </w:rPr>
        <w:fldChar w:fldCharType="end"/>
      </w:r>
      <w:r w:rsidR="00FA78DA" w:rsidRPr="00867BFD">
        <w:rPr>
          <w:rFonts w:ascii="Century" w:hAnsi="Century" w:cs="Times New Roman"/>
          <w:color w:val="000000"/>
          <w:sz w:val="24"/>
          <w:szCs w:val="24"/>
        </w:rPr>
        <w:t xml:space="preserve">; </w:t>
      </w:r>
      <w:r w:rsidR="000B086F" w:rsidRPr="00867BFD">
        <w:rPr>
          <w:rFonts w:ascii="Century" w:hAnsi="Century" w:cs="Times New Roman"/>
          <w:color w:val="000000"/>
          <w:sz w:val="24"/>
          <w:szCs w:val="24"/>
        </w:rPr>
        <w:fldChar w:fldCharType="begin" w:fldLock="1"/>
      </w:r>
      <w:r w:rsidR="00EC63BB">
        <w:rPr>
          <w:rFonts w:ascii="Century" w:hAnsi="Century" w:cs="Times New Roman"/>
          <w:color w:val="000000"/>
          <w:sz w:val="24"/>
          <w:szCs w:val="24"/>
        </w:rPr>
        <w:instrText>ADDIN CSL_CITATION {"citationItems":[{"id":"ITEM-1","itemData":{"DOI":"10.22219/jtiumm.vol12.no2.133-140","ISSN":"1978-1431","abstract":"The roses known to contain anthocyanins pigments and as a bioactive compound  which  can act as free radical catcher material. When harvest season arrives in number will be very abundant.  Flowers sorting which can decrease the selling price can be processed in the form  of natural dyes for food, cosmetics and medicines / herbs. The purpose of this study is to know  applications rose to the quality of some industrial products. The experiment was conducted in  (fresh, 2 and 4 days), that performed using randomized block design. Phase II is the application of pigment products of red roses on some industrial products (ie food products, herbal and  cosmetics), using the design in accordance with their respective target. The results showed that  ucts such as fruit juice, yoghurt, jelly, carbonated beverage (food) and body lotion (cosmetic), and can contribute to the natural color at a time serves as a source of bioactive in effervescent tablets.","author":[{"dropping-particle":"","family":"ANIS SAATI","given":"ELFI","non-dropping-particle":"","parse-names":false,"suffix":""},{"dropping-particle":"","family":"RRD","given":"THEOVILLA","non-dropping-particle":"","parse-names":false,"suffix":""},{"dropping-particle":"","family":"BW. AULANNI’AM","given":"SIMON","non-dropping-particle":"","parse-names":false,"suffix":""}],"container-title":"Jurnal Teknik Industri","id":"ITEM-1","issue":"2","issued":{"date-parts":[["2012"]]},"page":"133","title":"Optimalisasi Fungsi Pigmen Bunga Mawar Sortiran Sebagai Zat Pewarna Alami Dan Bioaktif Pada Produk Industri","type":"article-journal","volume":"12"},"uris":["http://www.mendeley.com/documents/?uuid=8bb19bcf-e9ff-43d6-a365-faf63168126a"]}],"mendeley":{"formattedCitation":"(ANIS SAATI, RRD, &amp; BW. AULANNI’AM, 2012)","manualFormatting":"Saati &amp; Aulanni’am, 2012","plainTextFormattedCitation":"(ANIS SAATI, RRD, &amp; BW. AULANNI’AM, 2012)","previouslyFormattedCitation":"(ANIS SAATI, RRD, &amp; BW. AULANNI’AM, 2012)"},"properties":{"noteIndex":0},"schema":"https://github.com/citation-style-language/schema/raw/master/csl-citation.json"}</w:instrText>
      </w:r>
      <w:r w:rsidR="000B086F" w:rsidRPr="00867BFD">
        <w:rPr>
          <w:rFonts w:ascii="Century" w:hAnsi="Century" w:cs="Times New Roman"/>
          <w:color w:val="000000"/>
          <w:sz w:val="24"/>
          <w:szCs w:val="24"/>
        </w:rPr>
        <w:fldChar w:fldCharType="separate"/>
      </w:r>
      <w:r w:rsidR="000B086F" w:rsidRPr="00867BFD">
        <w:rPr>
          <w:rFonts w:ascii="Century" w:hAnsi="Century" w:cs="Times New Roman"/>
          <w:noProof/>
          <w:color w:val="000000"/>
          <w:sz w:val="24"/>
          <w:szCs w:val="24"/>
        </w:rPr>
        <w:t>Saati &amp; Aulanni’am, 2012</w:t>
      </w:r>
      <w:r w:rsidR="000B086F" w:rsidRPr="00867BFD">
        <w:rPr>
          <w:rFonts w:ascii="Century" w:hAnsi="Century" w:cs="Times New Roman"/>
          <w:color w:val="000000"/>
          <w:sz w:val="24"/>
          <w:szCs w:val="24"/>
        </w:rPr>
        <w:fldChar w:fldCharType="end"/>
      </w:r>
      <w:r w:rsidR="002B48CD">
        <w:rPr>
          <w:rFonts w:ascii="Century" w:hAnsi="Century" w:cs="Times New Roman"/>
          <w:color w:val="000000"/>
          <w:sz w:val="24"/>
          <w:szCs w:val="24"/>
        </w:rPr>
        <w:t>)</w:t>
      </w:r>
      <w:r w:rsidRPr="00867BFD">
        <w:rPr>
          <w:rFonts w:ascii="Century" w:hAnsi="Century" w:cs="Times New Roman"/>
          <w:sz w:val="24"/>
          <w:szCs w:val="24"/>
        </w:rPr>
        <w:t>.</w:t>
      </w:r>
      <w:r w:rsidRPr="00867BFD">
        <w:rPr>
          <w:rFonts w:ascii="Century" w:hAnsi="Century" w:cs="Times New Roman"/>
          <w:sz w:val="24"/>
          <w:szCs w:val="24"/>
          <w:lang w:val="id-ID"/>
        </w:rPr>
        <w:t xml:space="preserve"> </w:t>
      </w:r>
    </w:p>
    <w:p w:rsidR="0091522F" w:rsidRPr="00867BFD" w:rsidRDefault="0091522F" w:rsidP="00FA78DA">
      <w:pPr>
        <w:spacing w:after="0" w:line="276" w:lineRule="auto"/>
        <w:ind w:firstLine="540"/>
        <w:contextualSpacing/>
        <w:jc w:val="both"/>
        <w:rPr>
          <w:rFonts w:ascii="Century" w:hAnsi="Century" w:cs="Times New Roman"/>
          <w:sz w:val="24"/>
          <w:szCs w:val="24"/>
        </w:rPr>
      </w:pPr>
      <w:r w:rsidRPr="00867BFD">
        <w:rPr>
          <w:rFonts w:ascii="Century" w:hAnsi="Century" w:cs="Times New Roman"/>
          <w:sz w:val="24"/>
          <w:szCs w:val="24"/>
        </w:rPr>
        <w:t xml:space="preserve"> Kelemahan produk olahan pangan di kelompok Putri Mawar </w:t>
      </w:r>
      <w:r w:rsidR="00FA78DA" w:rsidRPr="00867BFD">
        <w:rPr>
          <w:rFonts w:ascii="Century" w:hAnsi="Century" w:cs="Times New Roman"/>
          <w:sz w:val="24"/>
          <w:szCs w:val="24"/>
        </w:rPr>
        <w:t>adalah</w:t>
      </w:r>
      <w:r w:rsidRPr="00867BFD">
        <w:rPr>
          <w:rFonts w:ascii="Century" w:hAnsi="Century" w:cs="Times New Roman"/>
          <w:sz w:val="24"/>
          <w:szCs w:val="24"/>
        </w:rPr>
        <w:t xml:space="preserve"> pengemasan. </w:t>
      </w:r>
      <w:r w:rsidR="00FA78DA" w:rsidRPr="00867BFD">
        <w:rPr>
          <w:rFonts w:ascii="Century" w:hAnsi="Century" w:cs="Times New Roman"/>
          <w:sz w:val="24"/>
          <w:szCs w:val="24"/>
        </w:rPr>
        <w:t>p</w:t>
      </w:r>
      <w:r w:rsidRPr="00867BFD">
        <w:rPr>
          <w:rFonts w:ascii="Century" w:hAnsi="Century" w:cs="Times New Roman"/>
          <w:sz w:val="24"/>
          <w:szCs w:val="24"/>
        </w:rPr>
        <w:t xml:space="preserve">roduk dikemas menggunakan pengemas plastik dan kemasan kardus yang sederhana, serta belum memiliki ijin PIRT. Hal ini berakibat selain tampilan produk kurang menarik juga dapat menyebabkan produk mudah rusak. </w:t>
      </w:r>
      <w:r w:rsidRPr="00867BFD">
        <w:rPr>
          <w:rFonts w:ascii="Century" w:hAnsi="Century" w:cs="Times New Roman"/>
          <w:sz w:val="24"/>
          <w:szCs w:val="24"/>
          <w:lang w:val="id-ID"/>
        </w:rPr>
        <w:t xml:space="preserve">Pengemasan secara umum dilakukan langsung dengan menggunakan bahan kemas tertentu dan disesuaikan dengan tujuan pengemasan. Pengemasan ditinjau dari segi promosi berfungsi sebagai perangsang atau daya tarik pembeli. Karena itu bentuk, warna dan desain kemasan perlu diperhatikan perencanaannya </w:t>
      </w:r>
      <w:r w:rsidR="000B086F" w:rsidRPr="00867BFD">
        <w:rPr>
          <w:rFonts w:ascii="Century" w:hAnsi="Century" w:cs="Times New Roman"/>
          <w:sz w:val="24"/>
          <w:szCs w:val="24"/>
        </w:rPr>
        <w:fldChar w:fldCharType="begin" w:fldLock="1"/>
      </w:r>
      <w:r w:rsidR="007A5F88">
        <w:rPr>
          <w:rFonts w:ascii="Century" w:hAnsi="Century" w:cs="Times New Roman"/>
          <w:sz w:val="24"/>
          <w:szCs w:val="24"/>
        </w:rPr>
        <w:instrText>ADDIN CSL_CITATION {"citationItems":[{"id":"ITEM-1","itemData":{"DOI":"10.31227/osf.io/7nbkr","abstract":"Pelatihan pembuatan kemasan produk olahan kue kacang melinjo ini untuk memberikan wawasan desain dan bentuk kemasan baru yang membuat produk menjadi lebih bernilai dan aman. Metode yang diterapkan dalam kegiatan ini adalah Metode Presentasi mengenai pengenalan bentuk dan desain packaging, Metode Demonstrasi mengenai proses pembentukan dan pemotongan dan Metode Praktik yaitu pembuatan berbagai produk kemasan secara langsung oleh peserta pelatihan. Metode evaluasi dengan mengamati hasil yang diciptakan. Dari hasil yang dicapai terlihat ketrampilan dan kemampuan yang cukup signifikan untuk membuat produk packaging, sehingga dapat disimpulkan bahwa kegiatan ini berhasil meningkatkan kemampuan peserta. Evaluasi hasil dilihat dari penilaian karya mandiri yang menggambarkan keberhasilan materi yang telah disajikan. Selain itu juga dicermati kinerja dan partisipasi para peserta. Di akhir kegiatan Tim menjaring data kebermaknaan program pada para peserta. Diharapkan agar program pelatihan ini terus diadakan karena sangat dirasakan manfaatnya untuk meningkatkan kualitas produk olahan.","author":[{"dropping-particle":"","family":"MUHAMMAD ANASRULLOH","given":"BASIRON","non-dropping-particle":"","parse-names":false,"suffix":""}],"id":"ITEM-1","issued":{"date-parts":[["2018"]]},"page":"26-30","title":"Pelatihan Pembuatan Kemasan (Packaging) Untuk Meningkatkan Pemasaran Produk Olahan Kue Kacang Emping Melinjo","type":"article-journal","volume":"5"},"uris":["http://www.mendeley.com/documents/?uuid=8b442d4b-acd2-4f91-becc-45eaad06fdf9"]}],"mendeley":{"formattedCitation":"(MUHAMMAD ANASRULLOH, 2018)","manualFormatting":"(Anasrulloh &amp; Basiron 2018)","plainTextFormattedCitation":"(MUHAMMAD ANASRULLOH, 2018)","previouslyFormattedCitation":"(MUHAMMAD ANASRULLOH, 2018)"},"properties":{"noteIndex":0},"schema":"https://github.com/citation-style-language/schema/raw/master/csl-citation.json"}</w:instrText>
      </w:r>
      <w:r w:rsidR="000B086F" w:rsidRPr="00867BFD">
        <w:rPr>
          <w:rFonts w:ascii="Century" w:hAnsi="Century" w:cs="Times New Roman"/>
          <w:sz w:val="24"/>
          <w:szCs w:val="24"/>
        </w:rPr>
        <w:fldChar w:fldCharType="separate"/>
      </w:r>
      <w:r w:rsidR="008579BB">
        <w:rPr>
          <w:rFonts w:ascii="Century" w:hAnsi="Century" w:cs="Times New Roman"/>
          <w:noProof/>
          <w:sz w:val="24"/>
          <w:szCs w:val="24"/>
        </w:rPr>
        <w:t>(Anasrulloh &amp; Basiron</w:t>
      </w:r>
      <w:r w:rsidR="000B086F" w:rsidRPr="00867BFD">
        <w:rPr>
          <w:rFonts w:ascii="Century" w:hAnsi="Century" w:cs="Times New Roman"/>
          <w:noProof/>
          <w:sz w:val="24"/>
          <w:szCs w:val="24"/>
        </w:rPr>
        <w:t xml:space="preserve"> 2018)</w:t>
      </w:r>
      <w:r w:rsidR="000B086F" w:rsidRPr="00867BFD">
        <w:rPr>
          <w:rFonts w:ascii="Century" w:hAnsi="Century" w:cs="Times New Roman"/>
          <w:sz w:val="24"/>
          <w:szCs w:val="24"/>
        </w:rPr>
        <w:fldChar w:fldCharType="end"/>
      </w:r>
      <w:r w:rsidR="00EE6FA1" w:rsidRPr="00867BFD">
        <w:rPr>
          <w:rFonts w:ascii="Century" w:hAnsi="Century" w:cs="Times New Roman"/>
          <w:sz w:val="24"/>
          <w:szCs w:val="24"/>
        </w:rPr>
        <w:t>.</w:t>
      </w:r>
      <w:r w:rsidR="00FA78DA" w:rsidRPr="00867BFD">
        <w:rPr>
          <w:rFonts w:ascii="Century" w:hAnsi="Century" w:cs="Times New Roman"/>
          <w:sz w:val="24"/>
          <w:szCs w:val="24"/>
        </w:rPr>
        <w:t xml:space="preserve"> Bahan pengemas produk </w:t>
      </w:r>
      <w:r w:rsidRPr="00867BFD">
        <w:rPr>
          <w:rFonts w:ascii="Century" w:hAnsi="Century" w:cs="Times New Roman"/>
          <w:sz w:val="24"/>
          <w:szCs w:val="24"/>
          <w:lang w:val="id-ID"/>
        </w:rPr>
        <w:t xml:space="preserve">harus memiliki sifat antara lain </w:t>
      </w:r>
      <w:r w:rsidRPr="00867BFD">
        <w:rPr>
          <w:rFonts w:ascii="Century" w:hAnsi="Century" w:cs="Times New Roman"/>
          <w:i/>
          <w:sz w:val="24"/>
          <w:szCs w:val="24"/>
          <w:lang w:val="id-ID"/>
        </w:rPr>
        <w:t>permeabel</w:t>
      </w:r>
      <w:r w:rsidRPr="00867BFD">
        <w:rPr>
          <w:rFonts w:ascii="Century" w:hAnsi="Century" w:cs="Times New Roman"/>
          <w:sz w:val="24"/>
          <w:szCs w:val="24"/>
          <w:lang w:val="id-ID"/>
        </w:rPr>
        <w:t xml:space="preserve"> terhadap </w:t>
      </w:r>
      <w:hyperlink r:id="rId8" w:tooltip="Udara" w:history="1">
        <w:r w:rsidRPr="00867BFD">
          <w:rPr>
            <w:rFonts w:ascii="Century" w:hAnsi="Century" w:cs="Times New Roman"/>
            <w:sz w:val="24"/>
            <w:szCs w:val="24"/>
            <w:lang w:val="id-ID"/>
          </w:rPr>
          <w:t>udara</w:t>
        </w:r>
      </w:hyperlink>
      <w:r w:rsidRPr="00867BFD">
        <w:rPr>
          <w:rFonts w:ascii="Century" w:hAnsi="Century" w:cs="Times New Roman"/>
          <w:sz w:val="24"/>
          <w:szCs w:val="24"/>
          <w:lang w:val="id-ID"/>
        </w:rPr>
        <w:t xml:space="preserve">, bersifat </w:t>
      </w:r>
      <w:hyperlink r:id="rId9" w:tooltip="Non-toksik (halaman belum tersedia)" w:history="1">
        <w:r w:rsidRPr="00867BFD">
          <w:rPr>
            <w:rFonts w:ascii="Century" w:hAnsi="Century" w:cs="Times New Roman"/>
            <w:sz w:val="24"/>
            <w:szCs w:val="24"/>
            <w:lang w:val="id-ID"/>
          </w:rPr>
          <w:t>non-toksik</w:t>
        </w:r>
      </w:hyperlink>
      <w:r w:rsidRPr="00867BFD">
        <w:rPr>
          <w:rFonts w:ascii="Century" w:hAnsi="Century" w:cs="Times New Roman"/>
          <w:sz w:val="24"/>
          <w:szCs w:val="24"/>
          <w:lang w:val="id-ID"/>
        </w:rPr>
        <w:t xml:space="preserve"> dan tidak bereaksi </w:t>
      </w:r>
      <w:r w:rsidR="00FA78DA" w:rsidRPr="00867BFD">
        <w:rPr>
          <w:rFonts w:ascii="Century" w:hAnsi="Century" w:cs="Times New Roman"/>
          <w:sz w:val="24"/>
          <w:szCs w:val="24"/>
        </w:rPr>
        <w:t xml:space="preserve">serta </w:t>
      </w:r>
      <w:r w:rsidRPr="00867BFD">
        <w:rPr>
          <w:rFonts w:ascii="Century" w:hAnsi="Century" w:cs="Times New Roman"/>
          <w:sz w:val="24"/>
          <w:szCs w:val="24"/>
          <w:lang w:val="id-ID"/>
        </w:rPr>
        <w:t xml:space="preserve">menyebabkan </w:t>
      </w:r>
      <w:hyperlink r:id="rId10" w:tooltip="Reaksi kimia" w:history="1">
        <w:r w:rsidRPr="00867BFD">
          <w:rPr>
            <w:rFonts w:ascii="Century" w:hAnsi="Century" w:cs="Times New Roman"/>
            <w:sz w:val="24"/>
            <w:szCs w:val="24"/>
            <w:lang w:val="id-ID"/>
          </w:rPr>
          <w:t>reaksi kimia</w:t>
        </w:r>
      </w:hyperlink>
      <w:r w:rsidR="00FA78DA" w:rsidRPr="00867BFD">
        <w:rPr>
          <w:rFonts w:ascii="Century" w:hAnsi="Century" w:cs="Times New Roman"/>
          <w:sz w:val="24"/>
          <w:szCs w:val="24"/>
        </w:rPr>
        <w:t>,</w:t>
      </w:r>
      <w:r w:rsidRPr="00867BFD">
        <w:rPr>
          <w:rFonts w:ascii="Century" w:hAnsi="Century" w:cs="Times New Roman"/>
          <w:sz w:val="24"/>
          <w:szCs w:val="24"/>
          <w:lang w:val="id-ID"/>
        </w:rPr>
        <w:t xml:space="preserve"> sehingga dapat mempertahankan warna, aroma, dan cita rasa produk yang dikemas, </w:t>
      </w:r>
      <w:hyperlink r:id="rId11" w:tooltip="Kedap air (halaman belum tersedia)" w:history="1">
        <w:r w:rsidRPr="00867BFD">
          <w:rPr>
            <w:rFonts w:ascii="Century" w:hAnsi="Century" w:cs="Times New Roman"/>
            <w:sz w:val="24"/>
            <w:szCs w:val="24"/>
            <w:lang w:val="id-ID"/>
          </w:rPr>
          <w:t>k</w:t>
        </w:r>
      </w:hyperlink>
      <w:r w:rsidRPr="00867BFD">
        <w:rPr>
          <w:rFonts w:ascii="Century" w:hAnsi="Century" w:cs="Times New Roman"/>
          <w:sz w:val="24"/>
          <w:szCs w:val="24"/>
          <w:lang w:val="id-ID"/>
        </w:rPr>
        <w:t xml:space="preserve">uat dan tidak mudah bocor, relatif </w:t>
      </w:r>
      <w:hyperlink r:id="rId12" w:tooltip="Isolator (halaman belum tersedia)" w:history="1">
        <w:r w:rsidRPr="00867BFD">
          <w:rPr>
            <w:rFonts w:ascii="Century" w:hAnsi="Century" w:cs="Times New Roman"/>
            <w:sz w:val="24"/>
            <w:szCs w:val="24"/>
            <w:lang w:val="id-ID"/>
          </w:rPr>
          <w:t>tahan terhadap panas</w:t>
        </w:r>
      </w:hyperlink>
      <w:r w:rsidRPr="00867BFD">
        <w:rPr>
          <w:rFonts w:ascii="Century" w:hAnsi="Century" w:cs="Times New Roman"/>
          <w:sz w:val="24"/>
          <w:szCs w:val="24"/>
          <w:lang w:val="id-ID"/>
        </w:rPr>
        <w:t xml:space="preserve"> dan mudah dikerjakan secara massal dan harganya relatif murah </w:t>
      </w:r>
      <w:r w:rsidR="002B48CD">
        <w:rPr>
          <w:rFonts w:ascii="Century" w:hAnsi="Century" w:cs="Times New Roman"/>
          <w:sz w:val="24"/>
          <w:szCs w:val="24"/>
          <w:lang w:val="id-ID"/>
        </w:rPr>
        <w:fldChar w:fldCharType="begin" w:fldLock="1"/>
      </w:r>
      <w:r w:rsidR="002B48CD">
        <w:rPr>
          <w:rFonts w:ascii="Century" w:hAnsi="Century" w:cs="Times New Roman"/>
          <w:sz w:val="24"/>
          <w:szCs w:val="24"/>
          <w:lang w:val="id-ID"/>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approach.","author":[{"dropping-particle":"","family":"Ramadlon, S., &amp; Kristiana","given":"N","non-dropping-particle":"","parse-names":false,"suffix":""}],"container-title":"Journal of Chemical Information and Modeling","id":"ITEM-1","issue":"9","issued":{"date-parts":[["2013"]]},"page":"1689-1699","title":"Perancangan Desain Kemasan Makanan Ringan Produksi Karang Taruna Jiwo Suto Ujung Pangkah Gresik","type":"article-journal","volume":"53"},"uris":["http://www.mendeley.com/documents/?uuid=c81118db-6dd1-4ee4-a798-ea0df615c04a"]}],"mendeley":{"formattedCitation":"(Ramadlon, S., &amp; Kristiana, 2013)","manualFormatting":"(Ramadlon &amp; Kristiana, 2013)","plainTextFormattedCitation":"(Ramadlon, S., &amp; Kristiana, 2013)","previouslyFormattedCitation":"(Ramadlon, S., &amp; Kristiana, 2013)"},"properties":{"noteIndex":0},"schema":"https://github.com/citation-style-language/schema/raw/master/csl-citation.json"}</w:instrText>
      </w:r>
      <w:r w:rsidR="002B48CD">
        <w:rPr>
          <w:rFonts w:ascii="Century" w:hAnsi="Century" w:cs="Times New Roman"/>
          <w:sz w:val="24"/>
          <w:szCs w:val="24"/>
          <w:lang w:val="id-ID"/>
        </w:rPr>
        <w:fldChar w:fldCharType="separate"/>
      </w:r>
      <w:r w:rsidR="002B48CD">
        <w:rPr>
          <w:rFonts w:ascii="Century" w:hAnsi="Century" w:cs="Times New Roman"/>
          <w:noProof/>
          <w:sz w:val="24"/>
          <w:szCs w:val="24"/>
          <w:lang w:val="id-ID"/>
        </w:rPr>
        <w:t>(Ramadlon</w:t>
      </w:r>
      <w:r w:rsidR="002B48CD" w:rsidRPr="002B48CD">
        <w:rPr>
          <w:rFonts w:ascii="Century" w:hAnsi="Century" w:cs="Times New Roman"/>
          <w:noProof/>
          <w:sz w:val="24"/>
          <w:szCs w:val="24"/>
          <w:lang w:val="id-ID"/>
        </w:rPr>
        <w:t xml:space="preserve"> &amp; Kristiana, 2013)</w:t>
      </w:r>
      <w:r w:rsidR="002B48CD">
        <w:rPr>
          <w:rFonts w:ascii="Century" w:hAnsi="Century" w:cs="Times New Roman"/>
          <w:sz w:val="24"/>
          <w:szCs w:val="24"/>
          <w:lang w:val="id-ID"/>
        </w:rPr>
        <w:fldChar w:fldCharType="end"/>
      </w:r>
      <w:r w:rsidRPr="00867BFD">
        <w:rPr>
          <w:rFonts w:ascii="Century" w:hAnsi="Century" w:cs="Times New Roman"/>
          <w:sz w:val="24"/>
          <w:szCs w:val="24"/>
          <w:lang w:val="id-ID"/>
        </w:rPr>
        <w:t xml:space="preserve">. </w:t>
      </w:r>
    </w:p>
    <w:p w:rsidR="00FA78DA" w:rsidRPr="00867BFD" w:rsidRDefault="0091522F" w:rsidP="00391E01">
      <w:pPr>
        <w:spacing w:after="0" w:line="276" w:lineRule="auto"/>
        <w:ind w:firstLine="540"/>
        <w:contextualSpacing/>
        <w:jc w:val="both"/>
        <w:rPr>
          <w:rFonts w:ascii="Century" w:hAnsi="Century" w:cs="Times New Roman"/>
          <w:sz w:val="24"/>
          <w:szCs w:val="24"/>
        </w:rPr>
      </w:pPr>
      <w:r w:rsidRPr="00867BFD">
        <w:rPr>
          <w:rFonts w:ascii="Century" w:hAnsi="Century" w:cs="Times New Roman"/>
          <w:sz w:val="24"/>
          <w:szCs w:val="24"/>
          <w:lang w:val="id-ID"/>
        </w:rPr>
        <w:t>Dilatarbelakangi pentingnya teknik pengemasan dan juga potensi produk hasil produksi K</w:t>
      </w:r>
      <w:r w:rsidRPr="00867BFD">
        <w:rPr>
          <w:rFonts w:ascii="Century" w:hAnsi="Century" w:cs="Times New Roman"/>
          <w:sz w:val="24"/>
          <w:szCs w:val="24"/>
        </w:rPr>
        <w:t>elompok Putri Mawar, m</w:t>
      </w:r>
      <w:r w:rsidRPr="00867BFD">
        <w:rPr>
          <w:rFonts w:ascii="Century" w:hAnsi="Century" w:cs="Times New Roman"/>
          <w:sz w:val="24"/>
          <w:szCs w:val="24"/>
          <w:lang w:val="id-ID"/>
        </w:rPr>
        <w:t xml:space="preserve">aka perlu pendampingan dan praktek untuk teknik pengemasan yang baik sehingga </w:t>
      </w:r>
      <w:r w:rsidRPr="00867BFD">
        <w:rPr>
          <w:rFonts w:ascii="Century" w:hAnsi="Century" w:cs="Times New Roman"/>
          <w:sz w:val="24"/>
          <w:szCs w:val="24"/>
        </w:rPr>
        <w:t>ter</w:t>
      </w:r>
      <w:r w:rsidRPr="00867BFD">
        <w:rPr>
          <w:rFonts w:ascii="Century" w:hAnsi="Century" w:cs="Times New Roman"/>
          <w:sz w:val="24"/>
          <w:szCs w:val="24"/>
          <w:lang w:val="id-ID"/>
        </w:rPr>
        <w:t xml:space="preserve">wujud produk yang baik </w:t>
      </w:r>
      <w:r w:rsidRPr="00867BFD">
        <w:rPr>
          <w:rFonts w:ascii="Century" w:hAnsi="Century" w:cs="Times New Roman"/>
          <w:sz w:val="24"/>
          <w:szCs w:val="24"/>
        </w:rPr>
        <w:t xml:space="preserve">dan </w:t>
      </w:r>
      <w:r w:rsidRPr="00867BFD">
        <w:rPr>
          <w:rFonts w:ascii="Century" w:hAnsi="Century" w:cs="Times New Roman"/>
          <w:sz w:val="24"/>
          <w:szCs w:val="24"/>
          <w:lang w:val="id-ID"/>
        </w:rPr>
        <w:t xml:space="preserve">komunikatif sehingga pemasaran produk </w:t>
      </w:r>
      <w:r w:rsidRPr="00867BFD">
        <w:rPr>
          <w:rFonts w:ascii="Century" w:hAnsi="Century" w:cs="Times New Roman"/>
          <w:sz w:val="24"/>
          <w:szCs w:val="24"/>
        </w:rPr>
        <w:t xml:space="preserve">nantinya </w:t>
      </w:r>
      <w:r w:rsidRPr="00867BFD">
        <w:rPr>
          <w:rFonts w:ascii="Century" w:hAnsi="Century" w:cs="Times New Roman"/>
          <w:sz w:val="24"/>
          <w:szCs w:val="24"/>
          <w:lang w:val="id-ID"/>
        </w:rPr>
        <w:t>akan lebih luas bukan hanya di</w:t>
      </w:r>
      <w:r w:rsidRPr="00867BFD">
        <w:rPr>
          <w:rFonts w:ascii="Century" w:hAnsi="Century" w:cs="Times New Roman"/>
          <w:sz w:val="24"/>
          <w:szCs w:val="24"/>
        </w:rPr>
        <w:t xml:space="preserve"> </w:t>
      </w:r>
      <w:r w:rsidRPr="00867BFD">
        <w:rPr>
          <w:rFonts w:ascii="Century" w:hAnsi="Century" w:cs="Times New Roman"/>
          <w:sz w:val="24"/>
          <w:szCs w:val="24"/>
          <w:lang w:val="id-ID"/>
        </w:rPr>
        <w:t xml:space="preserve">retail </w:t>
      </w:r>
      <w:r w:rsidR="00FA78DA" w:rsidRPr="00867BFD">
        <w:rPr>
          <w:rFonts w:ascii="Century" w:hAnsi="Century" w:cs="Times New Roman"/>
          <w:sz w:val="24"/>
          <w:szCs w:val="24"/>
        </w:rPr>
        <w:t xml:space="preserve">pasar </w:t>
      </w:r>
      <w:r w:rsidRPr="00867BFD">
        <w:rPr>
          <w:rFonts w:ascii="Century" w:hAnsi="Century" w:cs="Times New Roman"/>
          <w:sz w:val="24"/>
          <w:szCs w:val="24"/>
          <w:lang w:val="id-ID"/>
        </w:rPr>
        <w:t xml:space="preserve">tradisonal tetapi juga dapat masuk retail </w:t>
      </w:r>
      <w:r w:rsidR="00FA78DA" w:rsidRPr="00867BFD">
        <w:rPr>
          <w:rFonts w:ascii="Century" w:hAnsi="Century" w:cs="Times New Roman"/>
          <w:sz w:val="24"/>
          <w:szCs w:val="24"/>
        </w:rPr>
        <w:t xml:space="preserve">pasar </w:t>
      </w:r>
      <w:r w:rsidRPr="00867BFD">
        <w:rPr>
          <w:rFonts w:ascii="Century" w:hAnsi="Century" w:cs="Times New Roman"/>
          <w:sz w:val="24"/>
          <w:szCs w:val="24"/>
          <w:lang w:val="id-ID"/>
        </w:rPr>
        <w:t xml:space="preserve">modern. </w:t>
      </w:r>
      <w:r w:rsidR="00FA78DA" w:rsidRPr="00867BFD">
        <w:rPr>
          <w:rFonts w:ascii="Century" w:hAnsi="Century" w:cs="Times New Roman"/>
          <w:sz w:val="24"/>
          <w:szCs w:val="24"/>
        </w:rPr>
        <w:t xml:space="preserve">Diharapkan melalui </w:t>
      </w:r>
      <w:r w:rsidRPr="00867BFD">
        <w:rPr>
          <w:rFonts w:ascii="Century" w:hAnsi="Century" w:cs="Times New Roman"/>
          <w:sz w:val="24"/>
          <w:szCs w:val="24"/>
          <w:lang w:val="id-ID"/>
        </w:rPr>
        <w:t xml:space="preserve">kegiatan pengabdian masyarakat ini </w:t>
      </w:r>
      <w:r w:rsidR="00FA78DA" w:rsidRPr="00867BFD">
        <w:rPr>
          <w:rFonts w:ascii="Century" w:hAnsi="Century" w:cs="Times New Roman"/>
          <w:sz w:val="24"/>
          <w:szCs w:val="24"/>
        </w:rPr>
        <w:t>terbangun agroindustri teh kelopak bunga mawar yang berkelanjutan.</w:t>
      </w:r>
    </w:p>
    <w:p w:rsidR="0091522F" w:rsidRPr="00867BFD" w:rsidRDefault="00FA78DA" w:rsidP="00391E01">
      <w:pPr>
        <w:spacing w:after="0" w:line="276" w:lineRule="auto"/>
        <w:ind w:firstLine="540"/>
        <w:contextualSpacing/>
        <w:jc w:val="both"/>
        <w:rPr>
          <w:rFonts w:ascii="Century" w:hAnsi="Century" w:cs="Times New Roman"/>
          <w:sz w:val="24"/>
          <w:szCs w:val="24"/>
        </w:rPr>
      </w:pPr>
      <w:r w:rsidRPr="00867BFD">
        <w:rPr>
          <w:rFonts w:ascii="Century" w:hAnsi="Century" w:cs="Times New Roman"/>
          <w:sz w:val="24"/>
          <w:szCs w:val="24"/>
        </w:rPr>
        <w:lastRenderedPageBreak/>
        <w:t xml:space="preserve"> </w:t>
      </w:r>
    </w:p>
    <w:p w:rsidR="0091522F" w:rsidRPr="00AB3AA9" w:rsidRDefault="0091522F" w:rsidP="00BC3E56">
      <w:pPr>
        <w:pStyle w:val="ListParagraph"/>
        <w:numPr>
          <w:ilvl w:val="0"/>
          <w:numId w:val="3"/>
        </w:numPr>
        <w:spacing w:after="0" w:line="276" w:lineRule="auto"/>
        <w:ind w:left="360"/>
        <w:rPr>
          <w:rFonts w:ascii="Century" w:hAnsi="Century"/>
          <w:b/>
          <w:szCs w:val="24"/>
        </w:rPr>
      </w:pPr>
      <w:r w:rsidRPr="00AB3AA9">
        <w:rPr>
          <w:rFonts w:ascii="Century" w:hAnsi="Century"/>
          <w:b/>
          <w:szCs w:val="24"/>
        </w:rPr>
        <w:t>METODE</w:t>
      </w:r>
      <w:r w:rsidR="00D242D4" w:rsidRPr="00AB3AA9">
        <w:rPr>
          <w:rFonts w:ascii="Century" w:hAnsi="Century"/>
          <w:b/>
          <w:szCs w:val="24"/>
        </w:rPr>
        <w:t xml:space="preserve"> PELAKSANAAN</w:t>
      </w:r>
      <w:r w:rsidRPr="00AB3AA9">
        <w:rPr>
          <w:rFonts w:ascii="Century" w:hAnsi="Century"/>
          <w:b/>
          <w:szCs w:val="24"/>
        </w:rPr>
        <w:t xml:space="preserve"> </w:t>
      </w:r>
    </w:p>
    <w:p w:rsidR="00AB3AA9" w:rsidRPr="00AB3AA9" w:rsidRDefault="00FA78DA" w:rsidP="00AB3AA9">
      <w:pPr>
        <w:spacing w:after="0" w:line="276" w:lineRule="auto"/>
        <w:ind w:firstLine="540"/>
        <w:contextualSpacing/>
        <w:jc w:val="both"/>
        <w:rPr>
          <w:rFonts w:ascii="Century" w:hAnsi="Century" w:cs="Times New Roman"/>
          <w:sz w:val="24"/>
          <w:szCs w:val="24"/>
        </w:rPr>
      </w:pPr>
      <w:r w:rsidRPr="00AB3AA9">
        <w:rPr>
          <w:rFonts w:ascii="Century" w:hAnsi="Century" w:cs="Times New Roman"/>
          <w:sz w:val="24"/>
          <w:szCs w:val="24"/>
        </w:rPr>
        <w:t xml:space="preserve">Objek </w:t>
      </w:r>
      <w:r w:rsidR="00AB3AA9" w:rsidRPr="00AB3AA9">
        <w:rPr>
          <w:rFonts w:ascii="Century" w:hAnsi="Century" w:cs="Times New Roman"/>
          <w:sz w:val="24"/>
          <w:szCs w:val="24"/>
        </w:rPr>
        <w:t xml:space="preserve">permasalahan </w:t>
      </w:r>
      <w:r w:rsidRPr="00AB3AA9">
        <w:rPr>
          <w:rFonts w:ascii="Century" w:hAnsi="Century" w:cs="Times New Roman"/>
          <w:sz w:val="24"/>
          <w:szCs w:val="24"/>
        </w:rPr>
        <w:t xml:space="preserve">dalam </w:t>
      </w:r>
      <w:r w:rsidR="00AB3AA9" w:rsidRPr="00AB3AA9">
        <w:rPr>
          <w:rFonts w:ascii="Century" w:hAnsi="Century" w:cs="Times New Roman"/>
          <w:sz w:val="24"/>
          <w:szCs w:val="24"/>
        </w:rPr>
        <w:t xml:space="preserve">pelaksanaan </w:t>
      </w:r>
      <w:r w:rsidR="0091522F" w:rsidRPr="00AB3AA9">
        <w:rPr>
          <w:rFonts w:ascii="Century" w:hAnsi="Century" w:cs="Times New Roman"/>
          <w:sz w:val="24"/>
          <w:szCs w:val="24"/>
        </w:rPr>
        <w:t xml:space="preserve">kegiatan pengabdian masyarakat ini </w:t>
      </w:r>
      <w:r w:rsidRPr="00AB3AA9">
        <w:rPr>
          <w:rFonts w:ascii="Century" w:hAnsi="Century" w:cs="Times New Roman"/>
          <w:sz w:val="24"/>
          <w:szCs w:val="24"/>
        </w:rPr>
        <w:t>adalah pe</w:t>
      </w:r>
      <w:r w:rsidR="003B17F9" w:rsidRPr="00AB3AA9">
        <w:rPr>
          <w:rFonts w:ascii="Century" w:hAnsi="Century" w:cs="Times New Roman"/>
          <w:sz w:val="24"/>
          <w:szCs w:val="24"/>
        </w:rPr>
        <w:t>n</w:t>
      </w:r>
      <w:r w:rsidRPr="00AB3AA9">
        <w:rPr>
          <w:rFonts w:ascii="Century" w:hAnsi="Century" w:cs="Times New Roman"/>
          <w:sz w:val="24"/>
          <w:szCs w:val="24"/>
        </w:rPr>
        <w:t xml:space="preserve">gemasan </w:t>
      </w:r>
      <w:r w:rsidR="003B17F9" w:rsidRPr="00AB3AA9">
        <w:rPr>
          <w:rFonts w:ascii="Century" w:hAnsi="Century" w:cs="Times New Roman"/>
          <w:sz w:val="24"/>
          <w:szCs w:val="24"/>
        </w:rPr>
        <w:t xml:space="preserve">produk </w:t>
      </w:r>
      <w:r w:rsidRPr="00AB3AA9">
        <w:rPr>
          <w:rFonts w:ascii="Century" w:hAnsi="Century" w:cs="Times New Roman"/>
          <w:sz w:val="24"/>
          <w:szCs w:val="24"/>
        </w:rPr>
        <w:t>t</w:t>
      </w:r>
      <w:r w:rsidR="003B17F9" w:rsidRPr="00AB3AA9">
        <w:rPr>
          <w:rFonts w:ascii="Century" w:hAnsi="Century" w:cs="Times New Roman"/>
          <w:sz w:val="24"/>
          <w:szCs w:val="24"/>
        </w:rPr>
        <w:t>e</w:t>
      </w:r>
      <w:r w:rsidRPr="00AB3AA9">
        <w:rPr>
          <w:rFonts w:ascii="Century" w:hAnsi="Century" w:cs="Times New Roman"/>
          <w:sz w:val="24"/>
          <w:szCs w:val="24"/>
        </w:rPr>
        <w:t xml:space="preserve">h dari </w:t>
      </w:r>
      <w:r w:rsidR="0091522F" w:rsidRPr="00AB3AA9">
        <w:rPr>
          <w:rFonts w:ascii="Century" w:hAnsi="Century" w:cs="Times New Roman"/>
          <w:sz w:val="24"/>
          <w:szCs w:val="24"/>
        </w:rPr>
        <w:t>kelopak bunga mawar</w:t>
      </w:r>
      <w:r w:rsidRPr="00AB3AA9">
        <w:rPr>
          <w:rFonts w:ascii="Century" w:hAnsi="Century" w:cs="Times New Roman"/>
          <w:sz w:val="24"/>
          <w:szCs w:val="24"/>
        </w:rPr>
        <w:t xml:space="preserve"> merah</w:t>
      </w:r>
      <w:r w:rsidR="0091522F" w:rsidRPr="00AB3AA9">
        <w:rPr>
          <w:rFonts w:ascii="Century" w:hAnsi="Century" w:cs="Times New Roman"/>
          <w:sz w:val="24"/>
          <w:szCs w:val="24"/>
        </w:rPr>
        <w:t xml:space="preserve"> yang di</w:t>
      </w:r>
      <w:r w:rsidR="003B17F9" w:rsidRPr="00AB3AA9">
        <w:rPr>
          <w:rFonts w:ascii="Century" w:hAnsi="Century" w:cs="Times New Roman"/>
          <w:sz w:val="24"/>
          <w:szCs w:val="24"/>
        </w:rPr>
        <w:t>produksi oleh KWT Putri Mawar.</w:t>
      </w:r>
      <w:r w:rsidR="0091522F" w:rsidRPr="00AB3AA9">
        <w:rPr>
          <w:rFonts w:ascii="Century" w:hAnsi="Century" w:cs="Times New Roman"/>
          <w:sz w:val="24"/>
          <w:szCs w:val="24"/>
        </w:rPr>
        <w:t xml:space="preserve"> Pengemasan teh </w:t>
      </w:r>
      <w:r w:rsidR="00AB3AA9" w:rsidRPr="00AB3AA9">
        <w:rPr>
          <w:rFonts w:ascii="Century" w:hAnsi="Century" w:cs="Times New Roman"/>
          <w:sz w:val="24"/>
          <w:szCs w:val="24"/>
        </w:rPr>
        <w:t xml:space="preserve">bunga </w:t>
      </w:r>
      <w:r w:rsidR="0091522F" w:rsidRPr="00AB3AA9">
        <w:rPr>
          <w:rFonts w:ascii="Century" w:hAnsi="Century" w:cs="Times New Roman"/>
          <w:sz w:val="24"/>
          <w:szCs w:val="24"/>
        </w:rPr>
        <w:t xml:space="preserve">mawar masih sederhana menggunakan pengemas plastik dan kardus </w:t>
      </w:r>
      <w:r w:rsidRPr="00AB3AA9">
        <w:rPr>
          <w:rFonts w:ascii="Century" w:hAnsi="Century" w:cs="Times New Roman"/>
          <w:sz w:val="24"/>
          <w:szCs w:val="24"/>
        </w:rPr>
        <w:t xml:space="preserve">dan </w:t>
      </w:r>
      <w:r w:rsidR="0091522F" w:rsidRPr="00AB3AA9">
        <w:rPr>
          <w:rFonts w:ascii="Century" w:hAnsi="Century" w:cs="Times New Roman"/>
          <w:sz w:val="24"/>
          <w:szCs w:val="24"/>
        </w:rPr>
        <w:t xml:space="preserve">belum komunikatif. Oleh karena itu untuk meningkatkan nilai jual produk, maka dilakukan pendampingan. </w:t>
      </w:r>
    </w:p>
    <w:p w:rsidR="006E1278" w:rsidRPr="00AB3AA9" w:rsidRDefault="006E1278" w:rsidP="00AB3AA9">
      <w:pPr>
        <w:spacing w:after="0" w:line="276" w:lineRule="auto"/>
        <w:ind w:firstLine="540"/>
        <w:contextualSpacing/>
        <w:jc w:val="both"/>
        <w:rPr>
          <w:rFonts w:ascii="Century" w:hAnsi="Century" w:cs="Times New Roman"/>
          <w:sz w:val="24"/>
          <w:szCs w:val="24"/>
        </w:rPr>
      </w:pPr>
      <w:r w:rsidRPr="00AB3AA9">
        <w:rPr>
          <w:rFonts w:ascii="Century" w:hAnsi="Century"/>
          <w:sz w:val="24"/>
          <w:szCs w:val="24"/>
          <w:lang w:val="id-ID"/>
        </w:rPr>
        <w:t>Metode Pelaksanaan kegiatan pengabdian masyarakat agar supaya tujuan kegiatan</w:t>
      </w:r>
      <w:r w:rsidRPr="00AB3AA9">
        <w:rPr>
          <w:rFonts w:ascii="Century" w:hAnsi="Century"/>
          <w:sz w:val="24"/>
          <w:szCs w:val="24"/>
        </w:rPr>
        <w:t xml:space="preserve"> dapat terwujud, </w:t>
      </w:r>
      <w:r w:rsidRPr="00AB3AA9">
        <w:rPr>
          <w:rFonts w:ascii="Century" w:hAnsi="Century"/>
          <w:sz w:val="24"/>
          <w:szCs w:val="24"/>
          <w:lang w:val="id-ID"/>
        </w:rPr>
        <w:t xml:space="preserve"> </w:t>
      </w:r>
      <w:r w:rsidR="00AB3AA9" w:rsidRPr="00AB3AA9">
        <w:rPr>
          <w:rFonts w:ascii="Century" w:hAnsi="Century"/>
          <w:sz w:val="24"/>
          <w:szCs w:val="24"/>
        </w:rPr>
        <w:t>m</w:t>
      </w:r>
      <w:r w:rsidRPr="00AB3AA9">
        <w:rPr>
          <w:rFonts w:ascii="Century" w:hAnsi="Century"/>
          <w:sz w:val="24"/>
          <w:szCs w:val="24"/>
          <w:lang w:val="id-ID"/>
        </w:rPr>
        <w:t>aka pelaksanaan kegiatan harus dapat terkomunikasikan dengan baik dikelompok</w:t>
      </w:r>
      <w:r w:rsidRPr="00AB3AA9">
        <w:rPr>
          <w:rFonts w:ascii="Century" w:hAnsi="Century"/>
          <w:sz w:val="24"/>
          <w:szCs w:val="24"/>
        </w:rPr>
        <w:t xml:space="preserve">. </w:t>
      </w:r>
      <w:r w:rsidR="00AB3AA9" w:rsidRPr="00AB3AA9">
        <w:rPr>
          <w:rFonts w:ascii="Century" w:hAnsi="Century"/>
          <w:sz w:val="24"/>
          <w:szCs w:val="24"/>
        </w:rPr>
        <w:t>Oleh karena itu p</w:t>
      </w:r>
      <w:r w:rsidRPr="00AB3AA9">
        <w:rPr>
          <w:rFonts w:ascii="Century" w:hAnsi="Century"/>
          <w:color w:val="000000"/>
          <w:sz w:val="24"/>
          <w:szCs w:val="24"/>
        </w:rPr>
        <w:t xml:space="preserve">rosedur kerja dalam kegiatan pendampingan ini dilakukan melalui beberapa tahapan meliputi : </w:t>
      </w:r>
    </w:p>
    <w:p w:rsidR="006E1278" w:rsidRPr="00AB3AA9" w:rsidRDefault="006E1278" w:rsidP="00AB3AA9">
      <w:pPr>
        <w:pStyle w:val="ListParagraph"/>
        <w:numPr>
          <w:ilvl w:val="0"/>
          <w:numId w:val="7"/>
        </w:numPr>
        <w:spacing w:after="0" w:line="276" w:lineRule="auto"/>
        <w:ind w:left="450" w:hanging="450"/>
        <w:rPr>
          <w:rFonts w:ascii="Century" w:hAnsi="Century"/>
          <w:b/>
          <w:szCs w:val="24"/>
          <w:lang w:val="id-ID"/>
        </w:rPr>
      </w:pPr>
      <w:r w:rsidRPr="00AB3AA9">
        <w:rPr>
          <w:rFonts w:ascii="Century" w:hAnsi="Century"/>
          <w:b/>
          <w:szCs w:val="24"/>
          <w:lang w:val="id-ID"/>
        </w:rPr>
        <w:t>Sosialisai program</w:t>
      </w:r>
    </w:p>
    <w:p w:rsidR="006E1278" w:rsidRPr="00AB3AA9" w:rsidRDefault="006E1278" w:rsidP="00AB3AA9">
      <w:pPr>
        <w:spacing w:after="0" w:line="276" w:lineRule="auto"/>
        <w:ind w:firstLine="450"/>
        <w:jc w:val="both"/>
        <w:rPr>
          <w:rFonts w:ascii="Century" w:hAnsi="Century"/>
          <w:color w:val="000000"/>
          <w:sz w:val="24"/>
          <w:szCs w:val="24"/>
        </w:rPr>
      </w:pPr>
      <w:r w:rsidRPr="00AB3AA9">
        <w:rPr>
          <w:rFonts w:ascii="Century" w:hAnsi="Century"/>
          <w:sz w:val="24"/>
          <w:szCs w:val="24"/>
          <w:lang w:val="id-ID"/>
        </w:rPr>
        <w:t>Sosialisasi program kegiatan merupakan tahapan awal dalam pelaksanaan kegiatan pengabdian masyarakat. Melalui kegiatan ini diharapkan dapat dicapai kesamaan dan sinkronisasi dalam pelaksanaan kegiatan sehingga kegiatan dapat berlangsung sesuai dengan tujuan.</w:t>
      </w:r>
      <w:r w:rsidRPr="00AB3AA9">
        <w:rPr>
          <w:rFonts w:ascii="Century" w:hAnsi="Century"/>
          <w:sz w:val="24"/>
          <w:szCs w:val="24"/>
        </w:rPr>
        <w:t xml:space="preserve"> Luaran yang dihasilkan dalam kegiatan sosialisasi ini yaitu diperoleh kesepakatan  p</w:t>
      </w:r>
      <w:r w:rsidRPr="00AB3AA9">
        <w:rPr>
          <w:rFonts w:ascii="Century" w:hAnsi="Century"/>
          <w:color w:val="000000"/>
          <w:sz w:val="24"/>
          <w:szCs w:val="24"/>
        </w:rPr>
        <w:t xml:space="preserve">rioritas persoalan mitra yaitu pengemasan yang belum </w:t>
      </w:r>
      <w:r w:rsidRPr="00AB3AA9">
        <w:rPr>
          <w:rFonts w:ascii="Century" w:hAnsi="Century"/>
          <w:i/>
          <w:color w:val="000000"/>
          <w:sz w:val="24"/>
          <w:szCs w:val="24"/>
        </w:rPr>
        <w:t>marketable</w:t>
      </w:r>
      <w:r w:rsidRPr="00AB3AA9">
        <w:rPr>
          <w:rFonts w:ascii="Century" w:hAnsi="Century"/>
          <w:color w:val="000000"/>
          <w:sz w:val="24"/>
          <w:szCs w:val="24"/>
        </w:rPr>
        <w:t xml:space="preserve"> untuk produk olahan mawar. Kelompok sudah melakukan pengemasan terhadap produk namun bentuk pengemasannya masih sederhana. </w:t>
      </w:r>
    </w:p>
    <w:p w:rsidR="006E1278" w:rsidRPr="00AB3AA9" w:rsidRDefault="006E1278" w:rsidP="00AB3AA9">
      <w:pPr>
        <w:spacing w:after="0" w:line="276" w:lineRule="auto"/>
        <w:ind w:firstLine="450"/>
        <w:jc w:val="both"/>
        <w:rPr>
          <w:rFonts w:ascii="Century" w:hAnsi="Century"/>
          <w:color w:val="000000"/>
          <w:sz w:val="24"/>
          <w:szCs w:val="24"/>
        </w:rPr>
      </w:pPr>
      <w:r w:rsidRPr="00AB3AA9">
        <w:rPr>
          <w:rFonts w:ascii="Century" w:hAnsi="Century"/>
          <w:color w:val="000000"/>
          <w:sz w:val="24"/>
          <w:szCs w:val="24"/>
        </w:rPr>
        <w:t xml:space="preserve">Keberadaan kelompok di masyarakat merupakan anggota dari kesatuan wilayah di desa, sehingga selain koordinasi dengan kelompok maka perlu juga melakukan koordinasi dengan aparat pemerintah yang terkait. Sehingga keberadaan tim Pengabdi sebagai wakil lembaga dalam melaksanakan Tridharma Perguruan tinggi yaitu dharma pengabdian masyarakat mendapat dukungan secara kelembagaan dari pemerintah setempat.    </w:t>
      </w:r>
    </w:p>
    <w:p w:rsidR="006E1278" w:rsidRPr="00AB3AA9" w:rsidRDefault="006E1278" w:rsidP="00AB3AA9">
      <w:pPr>
        <w:pStyle w:val="ListParagraph"/>
        <w:numPr>
          <w:ilvl w:val="0"/>
          <w:numId w:val="7"/>
        </w:numPr>
        <w:spacing w:after="0" w:line="276" w:lineRule="auto"/>
        <w:ind w:left="360"/>
        <w:rPr>
          <w:rFonts w:ascii="Century" w:hAnsi="Century"/>
          <w:b/>
          <w:color w:val="000000"/>
          <w:szCs w:val="24"/>
        </w:rPr>
      </w:pPr>
      <w:r w:rsidRPr="00AB3AA9">
        <w:rPr>
          <w:rFonts w:ascii="Century" w:hAnsi="Century"/>
          <w:b/>
          <w:color w:val="000000"/>
          <w:szCs w:val="24"/>
        </w:rPr>
        <w:t>Pelaksanaan Program</w:t>
      </w:r>
    </w:p>
    <w:p w:rsidR="006E1278" w:rsidRPr="00AB3AA9" w:rsidRDefault="006E1278" w:rsidP="00AB3AA9">
      <w:pPr>
        <w:spacing w:after="0" w:line="276" w:lineRule="auto"/>
        <w:ind w:firstLine="450"/>
        <w:jc w:val="both"/>
        <w:rPr>
          <w:rFonts w:ascii="Century" w:hAnsi="Century"/>
          <w:color w:val="000000"/>
          <w:sz w:val="24"/>
          <w:szCs w:val="24"/>
        </w:rPr>
      </w:pPr>
      <w:r w:rsidRPr="00AB3AA9">
        <w:rPr>
          <w:rFonts w:ascii="Century" w:hAnsi="Century"/>
          <w:color w:val="000000"/>
          <w:sz w:val="24"/>
          <w:szCs w:val="24"/>
        </w:rPr>
        <w:t>Pelaksanaan kegiatan pendampingan kelompok dilakukan dengan metode pendekatan melalui ketua kelompok. Pendekatan ini bertujuan untuk menyampaikan alasan pentingnya program, latar</w:t>
      </w:r>
      <w:r w:rsidR="002B48CD">
        <w:rPr>
          <w:rFonts w:ascii="Century" w:hAnsi="Century"/>
          <w:color w:val="000000"/>
          <w:sz w:val="24"/>
          <w:szCs w:val="24"/>
        </w:rPr>
        <w:t xml:space="preserve"> </w:t>
      </w:r>
      <w:r w:rsidRPr="00AB3AA9">
        <w:rPr>
          <w:rFonts w:ascii="Century" w:hAnsi="Century"/>
          <w:color w:val="000000"/>
          <w:sz w:val="24"/>
          <w:szCs w:val="24"/>
        </w:rPr>
        <w:t>belakang, rencana pelaksanaan pelatihan dan teknis kerja yang akan dilakukan dalam pendampingan. Secara umum metrode pelaksanaan :</w:t>
      </w:r>
    </w:p>
    <w:p w:rsidR="006E1278" w:rsidRPr="00AB3AA9" w:rsidRDefault="006E1278" w:rsidP="00AB3AA9">
      <w:pPr>
        <w:pStyle w:val="ListParagraph"/>
        <w:numPr>
          <w:ilvl w:val="0"/>
          <w:numId w:val="8"/>
        </w:numPr>
        <w:spacing w:after="0" w:line="276" w:lineRule="auto"/>
        <w:ind w:hanging="270"/>
        <w:rPr>
          <w:rFonts w:ascii="Century" w:hAnsi="Century"/>
          <w:color w:val="000000"/>
          <w:szCs w:val="24"/>
        </w:rPr>
      </w:pPr>
      <w:r w:rsidRPr="00AB3AA9">
        <w:rPr>
          <w:rFonts w:ascii="Century" w:hAnsi="Century"/>
          <w:color w:val="000000"/>
          <w:szCs w:val="24"/>
        </w:rPr>
        <w:t>Pelaksanaan program pendampingan sesuai jadwal yang telah disepakati bersama</w:t>
      </w:r>
    </w:p>
    <w:p w:rsidR="00AB3AA9" w:rsidRDefault="006E1278" w:rsidP="00AB3AA9">
      <w:pPr>
        <w:spacing w:after="0" w:line="276" w:lineRule="auto"/>
        <w:ind w:left="720"/>
        <w:jc w:val="both"/>
        <w:rPr>
          <w:rFonts w:ascii="Century" w:hAnsi="Century"/>
          <w:color w:val="000000"/>
          <w:sz w:val="24"/>
          <w:szCs w:val="24"/>
        </w:rPr>
      </w:pPr>
      <w:r w:rsidRPr="00AB3AA9">
        <w:rPr>
          <w:rFonts w:ascii="Century" w:hAnsi="Century"/>
          <w:color w:val="000000"/>
          <w:sz w:val="24"/>
          <w:szCs w:val="24"/>
        </w:rPr>
        <w:t xml:space="preserve">Tahap pelaksanaan kegiatan perlu dijadwal dan dalam penjadwalan harus sesuai dengan kesepakatan bersama sehingga pelaksanaan kegiatan mendapat dukungan dan partisipasi dari anggota kelompok. Program pendampingan dapat berjalan dengan lancar dan anggota kelompok dapat memiliki pengetahuan yang sama akan pentingnya </w:t>
      </w:r>
      <w:r w:rsidRPr="00AB3AA9">
        <w:rPr>
          <w:rFonts w:ascii="Century" w:hAnsi="Century"/>
          <w:color w:val="000000"/>
          <w:sz w:val="24"/>
          <w:szCs w:val="24"/>
        </w:rPr>
        <w:lastRenderedPageBreak/>
        <w:t>pengemasan dalam membangun keberlanjutan usaha produk olahan bunga mawar khususnya produk teh mawar.</w:t>
      </w:r>
    </w:p>
    <w:p w:rsidR="006E1278" w:rsidRPr="00AB3AA9" w:rsidRDefault="006E1278" w:rsidP="00AB3AA9">
      <w:pPr>
        <w:pStyle w:val="ListParagraph"/>
        <w:numPr>
          <w:ilvl w:val="0"/>
          <w:numId w:val="8"/>
        </w:numPr>
        <w:spacing w:after="0" w:line="276" w:lineRule="auto"/>
        <w:rPr>
          <w:rFonts w:ascii="Century" w:hAnsi="Century"/>
          <w:color w:val="000000"/>
          <w:szCs w:val="24"/>
        </w:rPr>
      </w:pPr>
      <w:r w:rsidRPr="00AB3AA9">
        <w:rPr>
          <w:rFonts w:ascii="Century" w:hAnsi="Century"/>
          <w:color w:val="000000"/>
          <w:szCs w:val="24"/>
        </w:rPr>
        <w:t>Pemantauan kegiatan</w:t>
      </w:r>
    </w:p>
    <w:p w:rsidR="00AB3AA9" w:rsidRDefault="006E1278" w:rsidP="00AB3AA9">
      <w:pPr>
        <w:pStyle w:val="ListParagraph"/>
        <w:spacing w:after="0" w:line="276" w:lineRule="auto"/>
        <w:rPr>
          <w:rFonts w:ascii="Century" w:hAnsi="Century"/>
          <w:color w:val="000000"/>
          <w:szCs w:val="24"/>
        </w:rPr>
      </w:pPr>
      <w:r w:rsidRPr="00AB3AA9">
        <w:rPr>
          <w:rFonts w:ascii="Century" w:hAnsi="Century"/>
          <w:color w:val="000000"/>
          <w:szCs w:val="24"/>
        </w:rPr>
        <w:t xml:space="preserve">Pemantauan kegiatan dilaksanakan secara tidak langsung melalui ketua kelompok. Pemantauan kegiatan dilakukan mulai dari awal kegiatan yaitu dengan penyuluhan, paparan tentang pentingnya pengemasan produk dan praktek pembuatan pengemasan. </w:t>
      </w:r>
    </w:p>
    <w:p w:rsidR="006E1278" w:rsidRPr="00AB3AA9" w:rsidRDefault="006E1278" w:rsidP="00AB3AA9">
      <w:pPr>
        <w:pStyle w:val="ListParagraph"/>
        <w:numPr>
          <w:ilvl w:val="0"/>
          <w:numId w:val="8"/>
        </w:numPr>
        <w:spacing w:after="0" w:line="276" w:lineRule="auto"/>
        <w:rPr>
          <w:rFonts w:ascii="Century" w:hAnsi="Century"/>
          <w:color w:val="000000"/>
          <w:szCs w:val="24"/>
        </w:rPr>
      </w:pPr>
      <w:r w:rsidRPr="00AB3AA9">
        <w:rPr>
          <w:rFonts w:ascii="Century" w:hAnsi="Century"/>
          <w:color w:val="000000"/>
          <w:szCs w:val="24"/>
        </w:rPr>
        <w:t>Evaluasi pelaksanaan program</w:t>
      </w:r>
    </w:p>
    <w:p w:rsidR="006E1278" w:rsidRPr="00AB3AA9" w:rsidRDefault="006E1278" w:rsidP="00AB3AA9">
      <w:pPr>
        <w:pStyle w:val="ListParagraph"/>
        <w:spacing w:after="0" w:line="276" w:lineRule="auto"/>
        <w:rPr>
          <w:rFonts w:ascii="Century" w:hAnsi="Century"/>
          <w:szCs w:val="24"/>
        </w:rPr>
      </w:pPr>
      <w:r w:rsidRPr="00AB3AA9">
        <w:rPr>
          <w:rFonts w:ascii="Century" w:hAnsi="Century"/>
          <w:szCs w:val="24"/>
        </w:rPr>
        <w:t>Evaluasi pelaksanaan program</w:t>
      </w:r>
      <w:r w:rsidRPr="00AB3AA9">
        <w:rPr>
          <w:rFonts w:ascii="Century" w:hAnsi="Century"/>
          <w:szCs w:val="24"/>
          <w:lang w:val="id-ID"/>
        </w:rPr>
        <w:t xml:space="preserve"> kegiatan dilakukan dengan tujuan untuk mengetahui ketercapaian pelaksanaan kegiatan pendampingan yang telah dilakukan. Selanjutnya hasil yang diperoleh akan dilakukan evaluasi lebih lanjut untuk mengambil langkah lebih lanjut pengembangan setelah tahapan program dilaksa</w:t>
      </w:r>
      <w:r w:rsidRPr="00AB3AA9">
        <w:rPr>
          <w:rFonts w:ascii="Century" w:hAnsi="Century"/>
          <w:szCs w:val="24"/>
        </w:rPr>
        <w:t>na</w:t>
      </w:r>
      <w:r w:rsidRPr="00AB3AA9">
        <w:rPr>
          <w:rFonts w:ascii="Century" w:hAnsi="Century"/>
          <w:szCs w:val="24"/>
          <w:lang w:val="id-ID"/>
        </w:rPr>
        <w:t xml:space="preserve">kan. Melalui kegiatan monitoring dan evaluasi diharapkan tujuan membangun agroindustri berkelanjutan berbahan dasar </w:t>
      </w:r>
      <w:r w:rsidRPr="00AB3AA9">
        <w:rPr>
          <w:rFonts w:ascii="Century" w:hAnsi="Century"/>
          <w:szCs w:val="24"/>
        </w:rPr>
        <w:t>bunga mawar.</w:t>
      </w:r>
    </w:p>
    <w:p w:rsidR="006E1278" w:rsidRPr="00867BFD" w:rsidRDefault="006E1278" w:rsidP="00AB3AA9">
      <w:pPr>
        <w:pStyle w:val="ListParagraph"/>
        <w:numPr>
          <w:ilvl w:val="0"/>
          <w:numId w:val="7"/>
        </w:numPr>
        <w:spacing w:after="0" w:line="276" w:lineRule="auto"/>
        <w:ind w:left="360"/>
        <w:rPr>
          <w:rFonts w:ascii="Century" w:hAnsi="Century"/>
          <w:b/>
          <w:color w:val="000000"/>
          <w:szCs w:val="24"/>
        </w:rPr>
      </w:pPr>
      <w:r w:rsidRPr="00867BFD">
        <w:rPr>
          <w:rFonts w:ascii="Century" w:hAnsi="Century"/>
          <w:b/>
          <w:color w:val="000000"/>
          <w:szCs w:val="24"/>
        </w:rPr>
        <w:t>Pendampingan berkelanjutan</w:t>
      </w:r>
    </w:p>
    <w:p w:rsidR="006E1278" w:rsidRPr="00867BFD" w:rsidRDefault="006E1278" w:rsidP="00AB3AA9">
      <w:pPr>
        <w:pStyle w:val="ListParagraph"/>
        <w:spacing w:after="0" w:line="276" w:lineRule="auto"/>
        <w:ind w:left="0" w:firstLine="540"/>
        <w:rPr>
          <w:rFonts w:ascii="Century" w:hAnsi="Century"/>
          <w:color w:val="000000"/>
          <w:szCs w:val="24"/>
        </w:rPr>
      </w:pPr>
      <w:r w:rsidRPr="00867BFD">
        <w:rPr>
          <w:rFonts w:ascii="Century" w:hAnsi="Century"/>
          <w:color w:val="000000"/>
          <w:szCs w:val="24"/>
        </w:rPr>
        <w:t xml:space="preserve">Pendampingan berkelanjutan dalam pelaksanaan kegiatan ini diharapkan bukan hanya dilakukan oleh Lembaga Pendidikan Tinggi tetapi kedepan juga mampu dengan Lembaga Swadaya Masyarakat  maupun industri sehingga potensi keberadaan bunga mawar di desa Clutang dapat dioptimalkan. </w:t>
      </w:r>
    </w:p>
    <w:p w:rsidR="0091522F" w:rsidRPr="00867BFD" w:rsidRDefault="0091522F" w:rsidP="00391E01">
      <w:pPr>
        <w:spacing w:after="0" w:line="276" w:lineRule="auto"/>
        <w:contextualSpacing/>
        <w:jc w:val="both"/>
        <w:rPr>
          <w:rFonts w:ascii="Century" w:hAnsi="Century" w:cs="Times New Roman"/>
          <w:sz w:val="24"/>
          <w:szCs w:val="24"/>
        </w:rPr>
      </w:pPr>
    </w:p>
    <w:p w:rsidR="0091522F" w:rsidRPr="00867BFD" w:rsidRDefault="0091522F" w:rsidP="00BC3E56">
      <w:pPr>
        <w:pStyle w:val="ListParagraph"/>
        <w:numPr>
          <w:ilvl w:val="0"/>
          <w:numId w:val="3"/>
        </w:numPr>
        <w:spacing w:after="0" w:line="276" w:lineRule="auto"/>
        <w:ind w:left="360"/>
        <w:rPr>
          <w:rFonts w:ascii="Century" w:hAnsi="Century"/>
          <w:b/>
          <w:szCs w:val="24"/>
        </w:rPr>
      </w:pPr>
      <w:r w:rsidRPr="00867BFD">
        <w:rPr>
          <w:rFonts w:ascii="Century" w:hAnsi="Century"/>
          <w:b/>
          <w:szCs w:val="24"/>
        </w:rPr>
        <w:t xml:space="preserve">HASIL DAN </w:t>
      </w:r>
      <w:r w:rsidR="00D242D4" w:rsidRPr="00867BFD">
        <w:rPr>
          <w:rFonts w:ascii="Century" w:hAnsi="Century"/>
          <w:b/>
          <w:szCs w:val="24"/>
        </w:rPr>
        <w:t>PEMBAHASAN</w:t>
      </w:r>
    </w:p>
    <w:p w:rsidR="0091522F" w:rsidRPr="00867BFD" w:rsidRDefault="0091522F" w:rsidP="00BC3E56">
      <w:pPr>
        <w:pStyle w:val="ListParagraph"/>
        <w:numPr>
          <w:ilvl w:val="0"/>
          <w:numId w:val="4"/>
        </w:numPr>
        <w:spacing w:after="0" w:line="276" w:lineRule="auto"/>
        <w:ind w:left="360"/>
        <w:rPr>
          <w:rFonts w:ascii="Century" w:hAnsi="Century"/>
          <w:b/>
          <w:szCs w:val="24"/>
        </w:rPr>
      </w:pPr>
      <w:r w:rsidRPr="00867BFD">
        <w:rPr>
          <w:rFonts w:ascii="Century" w:hAnsi="Century"/>
          <w:b/>
          <w:szCs w:val="24"/>
        </w:rPr>
        <w:t>Produksi Teh Mawar</w:t>
      </w:r>
      <w:r w:rsidR="008E5E7A" w:rsidRPr="00867BFD">
        <w:rPr>
          <w:rFonts w:ascii="Century" w:hAnsi="Century"/>
          <w:b/>
          <w:szCs w:val="24"/>
        </w:rPr>
        <w:t xml:space="preserve"> </w:t>
      </w:r>
      <w:r w:rsidR="001A346F" w:rsidRPr="00867BFD">
        <w:rPr>
          <w:rFonts w:ascii="Century" w:hAnsi="Century"/>
          <w:b/>
          <w:szCs w:val="24"/>
        </w:rPr>
        <w:t>dan Karakterisasinya</w:t>
      </w:r>
    </w:p>
    <w:p w:rsidR="0091522F" w:rsidRPr="00867BFD" w:rsidRDefault="0091522F" w:rsidP="00391E01">
      <w:pPr>
        <w:spacing w:after="0" w:line="276" w:lineRule="auto"/>
        <w:ind w:firstLine="540"/>
        <w:contextualSpacing/>
        <w:jc w:val="both"/>
        <w:rPr>
          <w:rFonts w:ascii="Century" w:hAnsi="Century" w:cs="Times New Roman"/>
          <w:sz w:val="24"/>
          <w:szCs w:val="24"/>
        </w:rPr>
      </w:pPr>
      <w:r w:rsidRPr="00867BFD">
        <w:rPr>
          <w:rFonts w:ascii="Century" w:hAnsi="Century" w:cs="Times New Roman"/>
          <w:color w:val="000000"/>
          <w:sz w:val="24"/>
          <w:szCs w:val="24"/>
        </w:rPr>
        <w:t xml:space="preserve"> </w:t>
      </w:r>
      <w:r w:rsidRPr="00867BFD">
        <w:rPr>
          <w:rFonts w:ascii="Century" w:hAnsi="Century" w:cs="Times New Roman"/>
          <w:sz w:val="24"/>
          <w:szCs w:val="24"/>
        </w:rPr>
        <w:t>Teh kelopak bunga mawar merupakan produk jenis  yang kontin</w:t>
      </w:r>
      <w:r w:rsidR="0096546F" w:rsidRPr="00867BFD">
        <w:rPr>
          <w:rFonts w:ascii="Century" w:hAnsi="Century" w:cs="Times New Roman"/>
          <w:sz w:val="24"/>
          <w:szCs w:val="24"/>
        </w:rPr>
        <w:t>y</w:t>
      </w:r>
      <w:r w:rsidRPr="00867BFD">
        <w:rPr>
          <w:rFonts w:ascii="Century" w:hAnsi="Century" w:cs="Times New Roman"/>
          <w:sz w:val="24"/>
          <w:szCs w:val="24"/>
        </w:rPr>
        <w:t xml:space="preserve">u diproduksi oleh kelompok. Hal ini disebabkan karena permintaan masyarakat sekitar terhadap produk ini selalu ada. Sedangkan untuk produk pilus dan keripik bunga mawar kurang diminati. Kegiatan produksi </w:t>
      </w:r>
      <w:r w:rsidR="0096546F" w:rsidRPr="00867BFD">
        <w:rPr>
          <w:rFonts w:ascii="Century" w:hAnsi="Century" w:cs="Times New Roman"/>
          <w:sz w:val="24"/>
          <w:szCs w:val="24"/>
        </w:rPr>
        <w:t>teh mawar</w:t>
      </w:r>
      <w:r w:rsidRPr="00867BFD">
        <w:rPr>
          <w:rFonts w:ascii="Century" w:hAnsi="Century" w:cs="Times New Roman"/>
          <w:sz w:val="24"/>
          <w:szCs w:val="24"/>
        </w:rPr>
        <w:t xml:space="preserve"> tidak dilakukan setiap hari hal ini dikarenakan pada hari-hari tertentu kelopak bunga mawar laku di pasar </w:t>
      </w:r>
      <w:r w:rsidR="0096546F" w:rsidRPr="00867BFD">
        <w:rPr>
          <w:rFonts w:ascii="Century" w:hAnsi="Century" w:cs="Times New Roman"/>
          <w:sz w:val="24"/>
          <w:szCs w:val="24"/>
        </w:rPr>
        <w:t xml:space="preserve">tradisional desa Clutang per kg bisa mencapai Rp. 15.000 sd Rp. 20.000,-, </w:t>
      </w:r>
      <w:r w:rsidRPr="00867BFD">
        <w:rPr>
          <w:rFonts w:ascii="Century" w:hAnsi="Century" w:cs="Times New Roman"/>
          <w:sz w:val="24"/>
          <w:szCs w:val="24"/>
        </w:rPr>
        <w:t xml:space="preserve">karena digunakan </w:t>
      </w:r>
      <w:r w:rsidR="0096546F" w:rsidRPr="00867BFD">
        <w:rPr>
          <w:rFonts w:ascii="Century" w:hAnsi="Century" w:cs="Times New Roman"/>
          <w:sz w:val="24"/>
          <w:szCs w:val="24"/>
        </w:rPr>
        <w:t xml:space="preserve">untuk </w:t>
      </w:r>
      <w:r w:rsidR="0096546F" w:rsidRPr="00867BFD">
        <w:rPr>
          <w:rFonts w:ascii="Century" w:hAnsi="Century" w:cs="Times New Roman"/>
          <w:i/>
          <w:sz w:val="24"/>
          <w:szCs w:val="24"/>
        </w:rPr>
        <w:t>ritual</w:t>
      </w:r>
      <w:r w:rsidRPr="00867BFD">
        <w:rPr>
          <w:rFonts w:ascii="Century" w:hAnsi="Century" w:cs="Times New Roman"/>
          <w:sz w:val="24"/>
          <w:szCs w:val="24"/>
        </w:rPr>
        <w:t xml:space="preserve"> </w:t>
      </w:r>
      <w:r w:rsidR="0096546F" w:rsidRPr="00867BFD">
        <w:rPr>
          <w:rFonts w:ascii="Century" w:hAnsi="Century" w:cs="Times New Roman"/>
          <w:sz w:val="24"/>
          <w:szCs w:val="24"/>
        </w:rPr>
        <w:t xml:space="preserve">budaya </w:t>
      </w:r>
      <w:r w:rsidRPr="00867BFD">
        <w:rPr>
          <w:rFonts w:ascii="Century" w:hAnsi="Century" w:cs="Times New Roman"/>
          <w:sz w:val="24"/>
          <w:szCs w:val="24"/>
        </w:rPr>
        <w:t xml:space="preserve">maupun </w:t>
      </w:r>
      <w:r w:rsidR="0096546F" w:rsidRPr="00867BFD">
        <w:rPr>
          <w:rFonts w:ascii="Century" w:hAnsi="Century" w:cs="Times New Roman"/>
          <w:sz w:val="24"/>
          <w:szCs w:val="24"/>
        </w:rPr>
        <w:t xml:space="preserve">bunga </w:t>
      </w:r>
      <w:r w:rsidRPr="00867BFD">
        <w:rPr>
          <w:rFonts w:ascii="Century" w:hAnsi="Century" w:cs="Times New Roman"/>
          <w:sz w:val="24"/>
          <w:szCs w:val="24"/>
        </w:rPr>
        <w:t>tabur, biasanya hari senin dan kamis</w:t>
      </w:r>
      <w:r w:rsidR="0096546F" w:rsidRPr="00867BFD">
        <w:rPr>
          <w:rFonts w:ascii="Century" w:hAnsi="Century" w:cs="Times New Roman"/>
          <w:sz w:val="24"/>
          <w:szCs w:val="24"/>
        </w:rPr>
        <w:t xml:space="preserve">. </w:t>
      </w:r>
      <w:r w:rsidRPr="00867BFD">
        <w:rPr>
          <w:rFonts w:ascii="Century" w:hAnsi="Century" w:cs="Times New Roman"/>
          <w:sz w:val="24"/>
          <w:szCs w:val="24"/>
        </w:rPr>
        <w:t xml:space="preserve">Sehingga kegiatan produksi </w:t>
      </w:r>
      <w:r w:rsidR="0096546F" w:rsidRPr="00867BFD">
        <w:rPr>
          <w:rFonts w:ascii="Century" w:hAnsi="Century" w:cs="Times New Roman"/>
          <w:sz w:val="24"/>
          <w:szCs w:val="24"/>
        </w:rPr>
        <w:t xml:space="preserve">teh dilakukan </w:t>
      </w:r>
      <w:r w:rsidRPr="00867BFD">
        <w:rPr>
          <w:rFonts w:ascii="Century" w:hAnsi="Century" w:cs="Times New Roman"/>
          <w:sz w:val="24"/>
          <w:szCs w:val="24"/>
        </w:rPr>
        <w:t>dalam tiap minggunya diluar hari tersebut, yaitu rabu, jumat dan sabtu.</w:t>
      </w:r>
      <w:r w:rsidR="0096546F" w:rsidRPr="00867BFD">
        <w:rPr>
          <w:rFonts w:ascii="Century" w:hAnsi="Century" w:cs="Times New Roman"/>
          <w:sz w:val="24"/>
          <w:szCs w:val="24"/>
        </w:rPr>
        <w:t xml:space="preserve"> Kontinuitas ketersediaan bunga mawar untuk produksi teh di kelompok cukup terjaga, mengingat bunga mawar ditanam hamp</w:t>
      </w:r>
      <w:r w:rsidR="006F7DAE" w:rsidRPr="00867BFD">
        <w:rPr>
          <w:rFonts w:ascii="Century" w:hAnsi="Century" w:cs="Times New Roman"/>
          <w:sz w:val="24"/>
          <w:szCs w:val="24"/>
        </w:rPr>
        <w:t>i</w:t>
      </w:r>
      <w:r w:rsidR="0096546F" w:rsidRPr="00867BFD">
        <w:rPr>
          <w:rFonts w:ascii="Century" w:hAnsi="Century" w:cs="Times New Roman"/>
          <w:sz w:val="24"/>
          <w:szCs w:val="24"/>
        </w:rPr>
        <w:t xml:space="preserve">r di seluruh lahan pekarangan warga serta setiap hari berbunga. </w:t>
      </w:r>
      <w:r w:rsidR="006F7DAE" w:rsidRPr="00867BFD">
        <w:rPr>
          <w:rFonts w:ascii="Century" w:hAnsi="Century" w:cs="Times New Roman"/>
          <w:sz w:val="24"/>
          <w:szCs w:val="24"/>
        </w:rPr>
        <w:t>Budidaya bunga mawar di desa Clutang dapat dilihat pada Gambar 1</w:t>
      </w:r>
      <w:r w:rsidR="0096546F" w:rsidRPr="00867BFD">
        <w:rPr>
          <w:rFonts w:ascii="Century" w:hAnsi="Century" w:cs="Times New Roman"/>
          <w:sz w:val="24"/>
          <w:szCs w:val="24"/>
        </w:rPr>
        <w:t xml:space="preserve"> .</w:t>
      </w:r>
    </w:p>
    <w:p w:rsidR="006F7DAE" w:rsidRDefault="006F7DAE" w:rsidP="00391E01">
      <w:pPr>
        <w:spacing w:after="0" w:line="276" w:lineRule="auto"/>
        <w:ind w:firstLine="540"/>
        <w:contextualSpacing/>
        <w:jc w:val="both"/>
        <w:rPr>
          <w:rFonts w:ascii="Times New Roman" w:hAnsi="Times New Roman" w:cs="Times New Roman"/>
          <w:sz w:val="24"/>
          <w:szCs w:val="24"/>
        </w:rPr>
      </w:pPr>
    </w:p>
    <w:tbl>
      <w:tblPr>
        <w:tblStyle w:val="TableGrid"/>
        <w:tblpPr w:leftFromText="180" w:rightFromText="180" w:vertAnchor="text" w:horzAnchor="margin" w:tblpY="88"/>
        <w:tblW w:w="0" w:type="auto"/>
        <w:tblLayout w:type="fixed"/>
        <w:tblLook w:val="04A0" w:firstRow="1" w:lastRow="0" w:firstColumn="1" w:lastColumn="0" w:noHBand="0" w:noVBand="1"/>
      </w:tblPr>
      <w:tblGrid>
        <w:gridCol w:w="4495"/>
        <w:gridCol w:w="4248"/>
      </w:tblGrid>
      <w:tr w:rsidR="008E4C08" w:rsidTr="008E4C08">
        <w:trPr>
          <w:trHeight w:val="3140"/>
        </w:trPr>
        <w:tc>
          <w:tcPr>
            <w:tcW w:w="4495" w:type="dxa"/>
          </w:tcPr>
          <w:p w:rsidR="008E4C08" w:rsidRDefault="008E4C08" w:rsidP="008E4C08">
            <w:pPr>
              <w:widowControl w:val="0"/>
              <w:overflowPunct w:val="0"/>
              <w:autoSpaceDE w:val="0"/>
              <w:autoSpaceDN w:val="0"/>
              <w:adjustRightInd w:val="0"/>
              <w:spacing w:line="360" w:lineRule="auto"/>
              <w:rPr>
                <w:rFonts w:eastAsia="Times New Roman" w:cs="Times New Roman"/>
                <w:szCs w:val="24"/>
              </w:rPr>
            </w:pPr>
            <w:r>
              <w:rPr>
                <w:noProof/>
              </w:rPr>
              <w:lastRenderedPageBreak/>
              <w:drawing>
                <wp:inline distT="0" distB="0" distL="0" distR="0" wp14:anchorId="78E92B6F" wp14:editId="24344B7E">
                  <wp:extent cx="2820458" cy="19526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23551" cy="1954767"/>
                          </a:xfrm>
                          <a:prstGeom prst="rect">
                            <a:avLst/>
                          </a:prstGeom>
                        </pic:spPr>
                      </pic:pic>
                    </a:graphicData>
                  </a:graphic>
                </wp:inline>
              </w:drawing>
            </w:r>
          </w:p>
        </w:tc>
        <w:tc>
          <w:tcPr>
            <w:tcW w:w="4248" w:type="dxa"/>
          </w:tcPr>
          <w:p w:rsidR="008E4C08" w:rsidRDefault="008E4C08" w:rsidP="008E4C08">
            <w:pPr>
              <w:widowControl w:val="0"/>
              <w:overflowPunct w:val="0"/>
              <w:autoSpaceDE w:val="0"/>
              <w:autoSpaceDN w:val="0"/>
              <w:adjustRightInd w:val="0"/>
              <w:spacing w:line="360" w:lineRule="auto"/>
              <w:rPr>
                <w:rFonts w:eastAsia="Times New Roman" w:cs="Times New Roman"/>
                <w:szCs w:val="24"/>
              </w:rPr>
            </w:pPr>
            <w:r>
              <w:rPr>
                <w:noProof/>
              </w:rPr>
              <w:drawing>
                <wp:inline distT="0" distB="0" distL="0" distR="0" wp14:anchorId="690C2240" wp14:editId="118AD715">
                  <wp:extent cx="2581275" cy="1942660"/>
                  <wp:effectExtent l="0" t="0" r="0" b="63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596714" cy="1954279"/>
                          </a:xfrm>
                          <a:prstGeom prst="rect">
                            <a:avLst/>
                          </a:prstGeom>
                        </pic:spPr>
                      </pic:pic>
                    </a:graphicData>
                  </a:graphic>
                </wp:inline>
              </w:drawing>
            </w:r>
          </w:p>
        </w:tc>
      </w:tr>
      <w:tr w:rsidR="008E4C08" w:rsidTr="008E4C08">
        <w:tc>
          <w:tcPr>
            <w:tcW w:w="8743" w:type="dxa"/>
            <w:gridSpan w:val="2"/>
          </w:tcPr>
          <w:p w:rsidR="008E4C08" w:rsidRDefault="008E4C08" w:rsidP="008E4C08">
            <w:pPr>
              <w:widowControl w:val="0"/>
              <w:overflowPunct w:val="0"/>
              <w:autoSpaceDE w:val="0"/>
              <w:autoSpaceDN w:val="0"/>
              <w:adjustRightInd w:val="0"/>
              <w:spacing w:line="360" w:lineRule="auto"/>
              <w:jc w:val="center"/>
              <w:rPr>
                <w:rFonts w:eastAsia="Times New Roman" w:cs="Times New Roman"/>
                <w:szCs w:val="24"/>
              </w:rPr>
            </w:pPr>
            <w:r>
              <w:rPr>
                <w:rFonts w:eastAsia="Times New Roman" w:cs="Times New Roman"/>
                <w:szCs w:val="24"/>
              </w:rPr>
              <w:t xml:space="preserve">Gambar 1. Budidaya bunga mawar di desa Clutang  </w:t>
            </w:r>
          </w:p>
        </w:tc>
      </w:tr>
    </w:tbl>
    <w:p w:rsidR="006F7DAE" w:rsidRPr="00305A9E" w:rsidRDefault="006F7DAE" w:rsidP="008E4C08">
      <w:pPr>
        <w:spacing w:after="0" w:line="276" w:lineRule="auto"/>
        <w:contextualSpacing/>
        <w:jc w:val="both"/>
        <w:rPr>
          <w:rFonts w:ascii="Times New Roman" w:hAnsi="Times New Roman" w:cs="Times New Roman"/>
          <w:sz w:val="24"/>
          <w:szCs w:val="24"/>
        </w:rPr>
      </w:pPr>
    </w:p>
    <w:p w:rsidR="0091522F" w:rsidRPr="00867BFD" w:rsidRDefault="0091522F" w:rsidP="00391E01">
      <w:pPr>
        <w:spacing w:after="0" w:line="276" w:lineRule="auto"/>
        <w:ind w:firstLine="540"/>
        <w:contextualSpacing/>
        <w:jc w:val="both"/>
        <w:rPr>
          <w:rFonts w:ascii="Century" w:hAnsi="Century" w:cs="Times New Roman"/>
          <w:sz w:val="24"/>
          <w:szCs w:val="24"/>
        </w:rPr>
      </w:pPr>
      <w:r w:rsidRPr="00867BFD">
        <w:rPr>
          <w:rFonts w:ascii="Century" w:hAnsi="Century" w:cs="Times New Roman"/>
          <w:sz w:val="24"/>
          <w:szCs w:val="24"/>
        </w:rPr>
        <w:t>Berdasarkan pelaksanaan kegiatan pendampingan maka dilakukan evaluasi kelayakan usaha teh mawar</w:t>
      </w:r>
      <w:r w:rsidR="006F7DAE" w:rsidRPr="00867BFD">
        <w:rPr>
          <w:rFonts w:ascii="Century" w:hAnsi="Century" w:cs="Times New Roman"/>
          <w:sz w:val="24"/>
          <w:szCs w:val="24"/>
        </w:rPr>
        <w:t xml:space="preserve"> di desa Clutang layak untuk dikembangkan karena usaha bersifat menguntungkan</w:t>
      </w:r>
      <w:r w:rsidR="000B086F" w:rsidRPr="00867BFD">
        <w:rPr>
          <w:rFonts w:ascii="Century" w:hAnsi="Century" w:cs="Times New Roman"/>
          <w:sz w:val="24"/>
          <w:szCs w:val="24"/>
        </w:rPr>
        <w:t xml:space="preserve"> </w:t>
      </w:r>
      <w:r w:rsidR="000B086F" w:rsidRPr="00867BFD">
        <w:rPr>
          <w:rFonts w:ascii="Century" w:hAnsi="Century" w:cs="Times New Roman"/>
          <w:sz w:val="24"/>
          <w:szCs w:val="24"/>
        </w:rPr>
        <w:fldChar w:fldCharType="begin" w:fldLock="1"/>
      </w:r>
      <w:r w:rsidR="00E3726A" w:rsidRPr="00867BFD">
        <w:rPr>
          <w:rFonts w:ascii="Century" w:hAnsi="Century" w:cs="Times New Roman"/>
          <w:sz w:val="24"/>
          <w:szCs w:val="24"/>
        </w:rPr>
        <w:instrText>ADDIN CSL_CITATION {"citationItems":[{"id":"ITEM-1","itemData":{"author":[{"dropping-particle":"","family":"Yustina Wuri Wulandari, Vivi Nuraini","given":"Marjam Desma Rahadhini","non-dropping-particle":"","parse-names":false,"suffix":""}],"container-title":"Sustainablecompetitiveadvantage-9(Sca-9)","id":"ITEM-1","issue":"77","issued":{"date-parts":[["2019"]]},"page":"77-84","title":"Analisis Kelayakan Usaha Teh Mawar Pada Ukm Didesaclutang-Boyolali","type":"article-journal","volume":"9"},"uris":["http://www.mendeley.com/documents/?uuid=828d8f0d-8317-45df-bf27-e6ee39407853"]}],"mendeley":{"formattedCitation":"(Yustina Wuri Wulandari, Vivi Nuraini, 2019)","manualFormatting":"(Wulandari, et al., 2019)","plainTextFormattedCitation":"(Yustina Wuri Wulandari, Vivi Nuraini, 2019)","previouslyFormattedCitation":"(Yustina Wuri Wulandari, Vivi Nuraini, 2019)"},"properties":{"noteIndex":0},"schema":"https://github.com/citation-style-language/schema/raw/master/csl-citation.json"}</w:instrText>
      </w:r>
      <w:r w:rsidR="000B086F" w:rsidRPr="00867BFD">
        <w:rPr>
          <w:rFonts w:ascii="Century" w:hAnsi="Century" w:cs="Times New Roman"/>
          <w:sz w:val="24"/>
          <w:szCs w:val="24"/>
        </w:rPr>
        <w:fldChar w:fldCharType="separate"/>
      </w:r>
      <w:r w:rsidR="000B086F" w:rsidRPr="00867BFD">
        <w:rPr>
          <w:rFonts w:ascii="Century" w:hAnsi="Century" w:cs="Times New Roman"/>
          <w:noProof/>
          <w:sz w:val="24"/>
          <w:szCs w:val="24"/>
        </w:rPr>
        <w:t xml:space="preserve">(Wulandari, </w:t>
      </w:r>
      <w:r w:rsidR="000B086F" w:rsidRPr="00867BFD">
        <w:rPr>
          <w:rFonts w:ascii="Century" w:hAnsi="Century" w:cs="Times New Roman"/>
          <w:i/>
          <w:noProof/>
          <w:sz w:val="24"/>
          <w:szCs w:val="24"/>
        </w:rPr>
        <w:t>et al</w:t>
      </w:r>
      <w:r w:rsidR="00E3726A" w:rsidRPr="00867BFD">
        <w:rPr>
          <w:rFonts w:ascii="Century" w:hAnsi="Century" w:cs="Times New Roman"/>
          <w:i/>
          <w:noProof/>
          <w:sz w:val="24"/>
          <w:szCs w:val="24"/>
        </w:rPr>
        <w:t>.</w:t>
      </w:r>
      <w:r w:rsidR="000B086F" w:rsidRPr="00867BFD">
        <w:rPr>
          <w:rFonts w:ascii="Century" w:hAnsi="Century" w:cs="Times New Roman"/>
          <w:i/>
          <w:noProof/>
          <w:sz w:val="24"/>
          <w:szCs w:val="24"/>
        </w:rPr>
        <w:t>,</w:t>
      </w:r>
      <w:r w:rsidR="000B086F" w:rsidRPr="00867BFD">
        <w:rPr>
          <w:rFonts w:ascii="Century" w:hAnsi="Century" w:cs="Times New Roman"/>
          <w:noProof/>
          <w:sz w:val="24"/>
          <w:szCs w:val="24"/>
        </w:rPr>
        <w:t xml:space="preserve"> 2019)</w:t>
      </w:r>
      <w:r w:rsidR="000B086F" w:rsidRPr="00867BFD">
        <w:rPr>
          <w:rFonts w:ascii="Century" w:hAnsi="Century" w:cs="Times New Roman"/>
          <w:sz w:val="24"/>
          <w:szCs w:val="24"/>
        </w:rPr>
        <w:fldChar w:fldCharType="end"/>
      </w:r>
      <w:r w:rsidRPr="00867BFD">
        <w:rPr>
          <w:rFonts w:ascii="Century" w:hAnsi="Century" w:cs="Times New Roman"/>
          <w:sz w:val="24"/>
          <w:szCs w:val="24"/>
        </w:rPr>
        <w:t xml:space="preserve">. </w:t>
      </w:r>
      <w:r w:rsidR="006F7DAE" w:rsidRPr="00867BFD">
        <w:rPr>
          <w:rFonts w:ascii="Century" w:hAnsi="Century" w:cs="Times New Roman"/>
          <w:sz w:val="24"/>
          <w:szCs w:val="24"/>
        </w:rPr>
        <w:t>Usaha yang dilakukan oleh</w:t>
      </w:r>
      <w:r w:rsidRPr="00867BFD">
        <w:rPr>
          <w:rFonts w:ascii="Century" w:hAnsi="Century" w:cs="Times New Roman"/>
          <w:sz w:val="24"/>
          <w:szCs w:val="24"/>
        </w:rPr>
        <w:t xml:space="preserve"> kelompok Putri Mawar </w:t>
      </w:r>
      <w:r w:rsidR="006F7DAE" w:rsidRPr="00867BFD">
        <w:rPr>
          <w:rFonts w:ascii="Century" w:hAnsi="Century" w:cs="Times New Roman"/>
          <w:sz w:val="24"/>
          <w:szCs w:val="24"/>
        </w:rPr>
        <w:t>telah berkontribusi dalam membangun ekonomi di masyarakat dan lebih luas perekonomian nasional. Hal ini membuktikan bahwa</w:t>
      </w:r>
      <w:r w:rsidRPr="00867BFD">
        <w:rPr>
          <w:rFonts w:ascii="Century" w:hAnsi="Century" w:cs="Times New Roman"/>
          <w:sz w:val="24"/>
          <w:szCs w:val="24"/>
        </w:rPr>
        <w:t xml:space="preserve"> keberadaan U</w:t>
      </w:r>
      <w:r w:rsidR="006F7DAE" w:rsidRPr="00867BFD">
        <w:rPr>
          <w:rFonts w:ascii="Century" w:hAnsi="Century" w:cs="Times New Roman"/>
          <w:sz w:val="24"/>
          <w:szCs w:val="24"/>
        </w:rPr>
        <w:t xml:space="preserve">saha </w:t>
      </w:r>
      <w:r w:rsidRPr="00867BFD">
        <w:rPr>
          <w:rFonts w:ascii="Century" w:hAnsi="Century" w:cs="Times New Roman"/>
          <w:sz w:val="24"/>
          <w:szCs w:val="24"/>
        </w:rPr>
        <w:t>K</w:t>
      </w:r>
      <w:r w:rsidR="006F7DAE" w:rsidRPr="00867BFD">
        <w:rPr>
          <w:rFonts w:ascii="Century" w:hAnsi="Century" w:cs="Times New Roman"/>
          <w:sz w:val="24"/>
          <w:szCs w:val="24"/>
        </w:rPr>
        <w:t xml:space="preserve">ecil </w:t>
      </w:r>
      <w:r w:rsidRPr="00867BFD">
        <w:rPr>
          <w:rFonts w:ascii="Century" w:hAnsi="Century" w:cs="Times New Roman"/>
          <w:sz w:val="24"/>
          <w:szCs w:val="24"/>
        </w:rPr>
        <w:t>M</w:t>
      </w:r>
      <w:r w:rsidR="006F7DAE" w:rsidRPr="00867BFD">
        <w:rPr>
          <w:rFonts w:ascii="Century" w:hAnsi="Century" w:cs="Times New Roman"/>
          <w:sz w:val="24"/>
          <w:szCs w:val="24"/>
        </w:rPr>
        <w:t>enengah</w:t>
      </w:r>
      <w:r w:rsidRPr="00867BFD">
        <w:rPr>
          <w:rFonts w:ascii="Century" w:hAnsi="Century" w:cs="Times New Roman"/>
          <w:sz w:val="24"/>
          <w:szCs w:val="24"/>
        </w:rPr>
        <w:t xml:space="preserve"> memberikan </w:t>
      </w:r>
      <w:r w:rsidR="006F7DAE" w:rsidRPr="00867BFD">
        <w:rPr>
          <w:rFonts w:ascii="Century" w:hAnsi="Century" w:cs="Times New Roman"/>
          <w:sz w:val="24"/>
          <w:szCs w:val="24"/>
        </w:rPr>
        <w:t xml:space="preserve">peran </w:t>
      </w:r>
      <w:r w:rsidRPr="00867BFD">
        <w:rPr>
          <w:rFonts w:ascii="Century" w:hAnsi="Century" w:cs="Times New Roman"/>
          <w:sz w:val="24"/>
          <w:szCs w:val="24"/>
        </w:rPr>
        <w:t>penting dalam bisnis</w:t>
      </w:r>
      <w:r w:rsidR="006F7DAE" w:rsidRPr="00867BFD">
        <w:rPr>
          <w:rFonts w:ascii="Century" w:hAnsi="Century" w:cs="Times New Roman"/>
          <w:sz w:val="24"/>
          <w:szCs w:val="24"/>
        </w:rPr>
        <w:t xml:space="preserve"> yaitu secara nasional</w:t>
      </w:r>
      <w:r w:rsidRPr="00867BFD">
        <w:rPr>
          <w:rFonts w:ascii="Century" w:hAnsi="Century" w:cs="Times New Roman"/>
          <w:sz w:val="24"/>
          <w:szCs w:val="24"/>
        </w:rPr>
        <w:t xml:space="preserve"> (</w:t>
      </w:r>
      <w:r w:rsidR="002B48CD">
        <w:rPr>
          <w:rFonts w:ascii="Century" w:hAnsi="Century" w:cs="Times New Roman"/>
          <w:sz w:val="24"/>
          <w:szCs w:val="24"/>
        </w:rPr>
        <w:fldChar w:fldCharType="begin" w:fldLock="1"/>
      </w:r>
      <w:r w:rsidR="00C4735F">
        <w:rPr>
          <w:rFonts w:ascii="Century" w:hAnsi="Century" w:cs="Times New Roman"/>
          <w:sz w:val="24"/>
          <w:szCs w:val="24"/>
        </w:rPr>
        <w:instrText>ADDIN CSL_CITATION {"citationItems":[{"id":"ITEM-1","itemData":{"DOI":"10.1111/1540-627x.00039","ISSN":"00472778","author":[{"dropping-particle":"","family":"Mambula","given":"Charles","non-dropping-particle":"","parse-names":false,"suffix":""}],"container-title":"Journal of Small Business Management","id":"ITEM-1","issue":"1","issued":{"date-parts":[["2002"]]},"page":"58-65","title":"Perceptions of SME growth constraints in Nigeria","type":"article-journal","volume":"40"},"uris":["http://www.mendeley.com/documents/?uuid=ef390778-8779-488f-afb0-ab8c32b25a2e"]}],"mendeley":{"formattedCitation":"(Mambula, 2002)","manualFormatting":"Mambula, 2002","plainTextFormattedCitation":"(Mambula, 2002)","previouslyFormattedCitation":"(Mambula, 2002)"},"properties":{"noteIndex":0},"schema":"https://github.com/citation-style-language/schema/raw/master/csl-citation.json"}</w:instrText>
      </w:r>
      <w:r w:rsidR="002B48CD">
        <w:rPr>
          <w:rFonts w:ascii="Century" w:hAnsi="Century" w:cs="Times New Roman"/>
          <w:sz w:val="24"/>
          <w:szCs w:val="24"/>
        </w:rPr>
        <w:fldChar w:fldCharType="separate"/>
      </w:r>
      <w:r w:rsidR="002B48CD" w:rsidRPr="002B48CD">
        <w:rPr>
          <w:rFonts w:ascii="Century" w:hAnsi="Century" w:cs="Times New Roman"/>
          <w:noProof/>
          <w:sz w:val="24"/>
          <w:szCs w:val="24"/>
        </w:rPr>
        <w:t>Mambula, 2002</w:t>
      </w:r>
      <w:r w:rsidR="002B48CD">
        <w:rPr>
          <w:rFonts w:ascii="Century" w:hAnsi="Century" w:cs="Times New Roman"/>
          <w:sz w:val="24"/>
          <w:szCs w:val="24"/>
        </w:rPr>
        <w:fldChar w:fldCharType="end"/>
      </w:r>
      <w:r w:rsidRPr="00867BFD">
        <w:rPr>
          <w:rFonts w:ascii="Century" w:hAnsi="Century" w:cs="Times New Roman"/>
          <w:sz w:val="24"/>
          <w:szCs w:val="24"/>
        </w:rPr>
        <w:t xml:space="preserve">; </w:t>
      </w:r>
      <w:r w:rsidR="0035776E">
        <w:rPr>
          <w:rFonts w:ascii="Century" w:hAnsi="Century" w:cs="Times New Roman"/>
          <w:sz w:val="24"/>
          <w:szCs w:val="24"/>
        </w:rPr>
        <w:fldChar w:fldCharType="begin" w:fldLock="1"/>
      </w:r>
      <w:r w:rsidR="002B48CD">
        <w:rPr>
          <w:rFonts w:ascii="Century" w:hAnsi="Century" w:cs="Times New Roman"/>
          <w:sz w:val="24"/>
          <w:szCs w:val="24"/>
        </w:rPr>
        <w:instrText>ADDIN CSL_CITATION {"citationItems":[{"id":"ITEM-1","itemData":{"author":[{"dropping-particle":"","family":"Tulus Tambunan","given":"","non-dropping-particle":"","parse-names":false,"suffix":""}],"id":"ITEM-1","issue":"1","issued":{"date-parts":[["2008"]]},"page":"53-83","title":"in ASEAN with Reference to Indonesia and Thailand 53","type":"article-journal","volume":"20"},"uris":["http://www.mendeley.com/documents/?uuid=520dae66-4871-4807-86f6-788b8c022dac"]}],"mendeley":{"formattedCitation":"(Tulus Tambunan, 2008)","manualFormatting":"Tambunan, 2008)","plainTextFormattedCitation":"(Tulus Tambunan, 2008)","previouslyFormattedCitation":"(Tulus Tambunan, 2008)"},"properties":{"noteIndex":0},"schema":"https://github.com/citation-style-language/schema/raw/master/csl-citation.json"}</w:instrText>
      </w:r>
      <w:r w:rsidR="0035776E">
        <w:rPr>
          <w:rFonts w:ascii="Century" w:hAnsi="Century" w:cs="Times New Roman"/>
          <w:sz w:val="24"/>
          <w:szCs w:val="24"/>
        </w:rPr>
        <w:fldChar w:fldCharType="separate"/>
      </w:r>
      <w:r w:rsidR="0035776E" w:rsidRPr="0035776E">
        <w:rPr>
          <w:rFonts w:ascii="Century" w:hAnsi="Century" w:cs="Times New Roman"/>
          <w:noProof/>
          <w:sz w:val="24"/>
          <w:szCs w:val="24"/>
        </w:rPr>
        <w:t>Tambunan, 2008)</w:t>
      </w:r>
      <w:r w:rsidR="0035776E">
        <w:rPr>
          <w:rFonts w:ascii="Century" w:hAnsi="Century" w:cs="Times New Roman"/>
          <w:sz w:val="24"/>
          <w:szCs w:val="24"/>
        </w:rPr>
        <w:fldChar w:fldCharType="end"/>
      </w:r>
      <w:r w:rsidRPr="00867BFD">
        <w:rPr>
          <w:rFonts w:ascii="Century" w:hAnsi="Century" w:cs="Times New Roman"/>
          <w:sz w:val="24"/>
          <w:szCs w:val="24"/>
        </w:rPr>
        <w:t>.</w:t>
      </w:r>
    </w:p>
    <w:p w:rsidR="0091522F" w:rsidRPr="00867BFD" w:rsidRDefault="0091522F" w:rsidP="00391E01">
      <w:pPr>
        <w:spacing w:after="0" w:line="276" w:lineRule="auto"/>
        <w:ind w:firstLine="540"/>
        <w:contextualSpacing/>
        <w:jc w:val="both"/>
        <w:rPr>
          <w:rFonts w:ascii="Century" w:hAnsi="Century" w:cs="Times New Roman"/>
          <w:sz w:val="24"/>
          <w:szCs w:val="24"/>
        </w:rPr>
      </w:pPr>
      <w:r w:rsidRPr="00867BFD">
        <w:rPr>
          <w:rFonts w:ascii="Century" w:hAnsi="Century" w:cs="Times New Roman"/>
          <w:sz w:val="24"/>
          <w:szCs w:val="24"/>
        </w:rPr>
        <w:t xml:space="preserve">Proses produksi teh mawar yang dilakukan oleh Kelompok Putri Mawar dengan teknologi tepat guna yang sederhana. Tahapan proses </w:t>
      </w:r>
      <w:r w:rsidR="0093294B" w:rsidRPr="00867BFD">
        <w:rPr>
          <w:rFonts w:ascii="Century" w:hAnsi="Century" w:cs="Times New Roman"/>
          <w:sz w:val="24"/>
          <w:szCs w:val="24"/>
        </w:rPr>
        <w:t xml:space="preserve">pembuatan tersebut meliputi </w:t>
      </w:r>
      <w:r w:rsidRPr="00867BFD">
        <w:rPr>
          <w:rFonts w:ascii="Century" w:hAnsi="Century" w:cs="Times New Roman"/>
          <w:sz w:val="24"/>
          <w:szCs w:val="24"/>
        </w:rPr>
        <w:t>:</w:t>
      </w:r>
    </w:p>
    <w:p w:rsidR="0091522F" w:rsidRPr="00867BFD" w:rsidRDefault="0091522F" w:rsidP="00391E01">
      <w:pPr>
        <w:pStyle w:val="ListParagraph"/>
        <w:numPr>
          <w:ilvl w:val="0"/>
          <w:numId w:val="2"/>
        </w:numPr>
        <w:spacing w:after="0" w:line="276" w:lineRule="auto"/>
        <w:rPr>
          <w:rFonts w:ascii="Century" w:hAnsi="Century"/>
          <w:szCs w:val="24"/>
        </w:rPr>
      </w:pPr>
      <w:r w:rsidRPr="00867BFD">
        <w:rPr>
          <w:rFonts w:ascii="Century" w:hAnsi="Century"/>
          <w:szCs w:val="24"/>
        </w:rPr>
        <w:t>Bunga mawar dipisahkan antara petal bunga dengan kelopak bunganya</w:t>
      </w:r>
    </w:p>
    <w:p w:rsidR="0091522F" w:rsidRPr="00867BFD" w:rsidRDefault="0091522F" w:rsidP="00391E01">
      <w:pPr>
        <w:pStyle w:val="ListParagraph"/>
        <w:numPr>
          <w:ilvl w:val="0"/>
          <w:numId w:val="2"/>
        </w:numPr>
        <w:spacing w:after="0" w:line="276" w:lineRule="auto"/>
        <w:rPr>
          <w:rFonts w:ascii="Century" w:hAnsi="Century"/>
          <w:szCs w:val="24"/>
        </w:rPr>
      </w:pPr>
      <w:r w:rsidRPr="00867BFD">
        <w:rPr>
          <w:rFonts w:ascii="Century" w:hAnsi="Century"/>
          <w:szCs w:val="24"/>
        </w:rPr>
        <w:t>Petal bunga selanjutnya dihamparkan dan digulung menggunakan tangan pada wadah, biasanya menggunakan penampi</w:t>
      </w:r>
    </w:p>
    <w:p w:rsidR="0091522F" w:rsidRPr="00867BFD" w:rsidRDefault="0091522F" w:rsidP="00391E01">
      <w:pPr>
        <w:pStyle w:val="ListParagraph"/>
        <w:numPr>
          <w:ilvl w:val="0"/>
          <w:numId w:val="2"/>
        </w:numPr>
        <w:spacing w:after="0" w:line="276" w:lineRule="auto"/>
        <w:rPr>
          <w:rFonts w:ascii="Century" w:hAnsi="Century"/>
          <w:szCs w:val="24"/>
        </w:rPr>
      </w:pPr>
      <w:r w:rsidRPr="00867BFD">
        <w:rPr>
          <w:rFonts w:ascii="Century" w:hAnsi="Century"/>
          <w:szCs w:val="24"/>
        </w:rPr>
        <w:t>Gulungan petal bunga kemudian dijemur di bawah sinar matahari</w:t>
      </w:r>
    </w:p>
    <w:p w:rsidR="0091522F" w:rsidRPr="00867BFD" w:rsidRDefault="0091522F" w:rsidP="00391E01">
      <w:pPr>
        <w:pStyle w:val="ListParagraph"/>
        <w:numPr>
          <w:ilvl w:val="0"/>
          <w:numId w:val="2"/>
        </w:numPr>
        <w:spacing w:after="0" w:line="276" w:lineRule="auto"/>
        <w:rPr>
          <w:rFonts w:ascii="Century" w:hAnsi="Century"/>
          <w:szCs w:val="24"/>
        </w:rPr>
      </w:pPr>
      <w:r w:rsidRPr="00867BFD">
        <w:rPr>
          <w:rFonts w:ascii="Century" w:hAnsi="Century"/>
          <w:szCs w:val="24"/>
        </w:rPr>
        <w:t>Setelah penjemuran menjelang sore hari selanjutnya petal bunga yang belum kering sempurna, disangrai untuk mengeringkan petal bunga</w:t>
      </w:r>
    </w:p>
    <w:p w:rsidR="006B6E75" w:rsidRPr="00867BFD" w:rsidRDefault="0091522F" w:rsidP="00391E01">
      <w:pPr>
        <w:pStyle w:val="ListParagraph"/>
        <w:numPr>
          <w:ilvl w:val="0"/>
          <w:numId w:val="2"/>
        </w:numPr>
        <w:spacing w:after="0" w:line="276" w:lineRule="auto"/>
        <w:rPr>
          <w:rFonts w:ascii="Century" w:hAnsi="Century"/>
          <w:szCs w:val="24"/>
        </w:rPr>
      </w:pPr>
      <w:r w:rsidRPr="00867BFD">
        <w:rPr>
          <w:rFonts w:ascii="Century" w:hAnsi="Century"/>
          <w:szCs w:val="24"/>
        </w:rPr>
        <w:t>Penyangraian dihentikan ditandai petal bunga sudah kering dan warna petal bunga menjadi coklat tua</w:t>
      </w:r>
    </w:p>
    <w:p w:rsidR="0091522F" w:rsidRPr="00867BFD" w:rsidRDefault="0091522F" w:rsidP="00391E01">
      <w:pPr>
        <w:pStyle w:val="ListParagraph"/>
        <w:numPr>
          <w:ilvl w:val="0"/>
          <w:numId w:val="2"/>
        </w:numPr>
        <w:spacing w:after="0" w:line="276" w:lineRule="auto"/>
        <w:rPr>
          <w:rFonts w:ascii="Century" w:hAnsi="Century"/>
          <w:szCs w:val="24"/>
        </w:rPr>
      </w:pPr>
      <w:r w:rsidRPr="00867BFD">
        <w:rPr>
          <w:rFonts w:ascii="Century" w:hAnsi="Century"/>
          <w:szCs w:val="24"/>
        </w:rPr>
        <w:t xml:space="preserve">Petal bunga </w:t>
      </w:r>
      <w:r w:rsidR="006B6E75" w:rsidRPr="00867BFD">
        <w:rPr>
          <w:rFonts w:ascii="Century" w:hAnsi="Century"/>
          <w:szCs w:val="24"/>
        </w:rPr>
        <w:t xml:space="preserve">mawar </w:t>
      </w:r>
      <w:r w:rsidRPr="00867BFD">
        <w:rPr>
          <w:rFonts w:ascii="Century" w:hAnsi="Century"/>
          <w:szCs w:val="24"/>
        </w:rPr>
        <w:t>kering atau t</w:t>
      </w:r>
      <w:r w:rsidR="006B6E75" w:rsidRPr="00867BFD">
        <w:rPr>
          <w:rFonts w:ascii="Century" w:hAnsi="Century"/>
          <w:szCs w:val="24"/>
        </w:rPr>
        <w:t>e</w:t>
      </w:r>
      <w:r w:rsidRPr="00867BFD">
        <w:rPr>
          <w:rFonts w:ascii="Century" w:hAnsi="Century"/>
          <w:szCs w:val="24"/>
        </w:rPr>
        <w:t xml:space="preserve">h mawar kering selanjutnya dihamparkan sampai suhunya dingin dan siap dikemas. </w:t>
      </w:r>
    </w:p>
    <w:p w:rsidR="00452531" w:rsidRPr="00867BFD" w:rsidRDefault="00452531" w:rsidP="00452531">
      <w:pPr>
        <w:pStyle w:val="ListParagraph"/>
        <w:spacing w:after="0" w:line="276" w:lineRule="auto"/>
        <w:rPr>
          <w:rFonts w:ascii="Century" w:hAnsi="Century"/>
          <w:szCs w:val="24"/>
        </w:rPr>
      </w:pPr>
    </w:p>
    <w:p w:rsidR="00452531" w:rsidRPr="00867BFD" w:rsidRDefault="00452531" w:rsidP="00E3726A">
      <w:pPr>
        <w:pStyle w:val="ListParagraph"/>
        <w:spacing w:after="0" w:line="276" w:lineRule="auto"/>
        <w:ind w:left="0" w:firstLine="720"/>
        <w:rPr>
          <w:rFonts w:ascii="Century" w:hAnsi="Century"/>
          <w:szCs w:val="24"/>
        </w:rPr>
      </w:pPr>
      <w:r w:rsidRPr="00867BFD">
        <w:rPr>
          <w:rFonts w:ascii="Century" w:hAnsi="Century"/>
          <w:szCs w:val="24"/>
        </w:rPr>
        <w:t>Karakteristik khusus yang dimiliki teh kelopak bunga mawar merah yaitu ciri</w:t>
      </w:r>
      <w:r w:rsidR="00FE6041">
        <w:rPr>
          <w:rFonts w:ascii="Century" w:hAnsi="Century"/>
          <w:szCs w:val="24"/>
        </w:rPr>
        <w:t xml:space="preserve"> </w:t>
      </w:r>
      <w:r w:rsidRPr="00867BFD">
        <w:rPr>
          <w:rFonts w:ascii="Century" w:hAnsi="Century"/>
          <w:szCs w:val="24"/>
        </w:rPr>
        <w:t xml:space="preserve">khas air seduhan teh beraroma mawar. Aroma wangi bunga mawar ditimbulkan karena beberapa senyawa kimia penyusun profil aroma antara lain minyak atsiri dan  komponen gula. </w:t>
      </w:r>
      <w:r w:rsidR="0000481B" w:rsidRPr="00867BFD">
        <w:rPr>
          <w:rFonts w:ascii="Century" w:hAnsi="Century"/>
          <w:szCs w:val="24"/>
        </w:rPr>
        <w:t xml:space="preserve">Hasil penelitian </w:t>
      </w:r>
      <w:r w:rsidR="00BD41F0">
        <w:rPr>
          <w:rFonts w:ascii="Century" w:hAnsi="Century"/>
          <w:szCs w:val="24"/>
        </w:rPr>
        <w:fldChar w:fldCharType="begin" w:fldLock="1"/>
      </w:r>
      <w:r w:rsidR="00BD41F0">
        <w:rPr>
          <w:rFonts w:ascii="Century" w:hAnsi="Century"/>
          <w:szCs w:val="24"/>
        </w:rPr>
        <w:instrText>ADDIN CSL_CITATION {"citationItems":[{"id":"ITEM-1","itemData":{"abstract":"Zat pewarna alami yang bersifat lebih aman, dapat digunakan dari pigmen karotenoid, kurkumin, antosianin dan pigmen lainnya. Pigmen antosianin adalah pewarna alami kelompok ? avonoid penyebab warna merah, oranye, ungu dan biru, merupakan pigmen yang penting dan tersebar luas, karena banyak ditemukan dalam jaringan buah, bunga, daun, batang maupun akar tanaman (Nollet, 1996). Indonesia merupakan negara yang mempunyai kekayaan hayati terbesar ke-2 di dunia, oleh karenanya amat perlu untuk menggali potensi sumber pigmen yang dapat digunakan sebagai pewarna alami untuk menggantikan pewarna berbahaya Rhodamin B dan Amarant. Penelitian ini dilaksanakan dalam 3 tahap, yaitu meliputi : 1) Eksplorasi kekayaan hayati lokal sebagai sumber pigmen penyumbang warna merah-keunguan, 2) Karakterisasi pigmen beberapa kekayaan hayati lokal, sebagai pengganti Rhodamin B, dan 3) Uji efektivitas penggunaannya (pigmen terbaik tahap sebelumnya) pada beberapa produk pangan (sari buah,jam, yoghurt) sebagai zat pewarna alami alternatif. Hasil penelitian menunjukkan bahwa ekstrak pigmen pekat (konsentrat) dari mahkota bunga mawar (merah) lokal Batu memiliki, dengan pelarut akuades dan asam sitrat atau laktat (0,02M) menghasilkan pigmen antosanin yang berkualitas paling baik, yaitu dengan nilai pH 1,47, absorbansi 0,787 (pengenceran 100x pada λ 513,5 nm), tingkat kecerahan (L) 30,20, total padatan terlarut 5,83oBrix, kadar 14,0293 (mg/100 mL) dan rendemen 15,7535 (mg/100 g). Ekstrak pigmen antosianin bunga mawar paling stabil terdapatpadabuffer pH 3,75.Daun bayam merah mengandung pigmenantosianin dengan total padatan terlarut5,8 °Brix kadar antosianin 18,94 mg/ml dan rendemen pigmen sebesar 15, 16%, lebih stabil/ optimal pada pH 2,25 ; 4 ,dan 4,25 (untuk konsentrat), sedangkan bubuk pigmen stabil pada 2,25. Semakin tinggi dan lama waktu pemanasan maka tingkat kemerahan akan semakin rendah. Ekstrak pigmen antosianin sebanyak 2-3 % efektif menyumbangkan warna alami, kemerahan (a+) dan kuning-kemerahan/oranye (a+ dan b+) pada produk seperti yoghurt, selai/jam pepaya, sari buah dan minuman berkarbonat (Coca cola) serta hand body lotion.","author":[{"dropping-particle":"","family":"Saati","given":"Elfi Anis","non-dropping-particle":"","parse-names":false,"suffix":""}],"container-title":"Jurnal Gamma","id":"ITEM-1","issued":{"date-parts":[["2014"]]},"title":"Eksplorasi Pigmen Antosianin Bahan Hayati Lokal Pengganti Rodhamin B dan Uji Efektivitasnya Pada Beberapa Produk Industri/Pangan","type":"article-journal"},"uris":["http://www.mendeley.com/documents/?uuid=f592dbdc-598a-4475-98b2-aa5007e4354e"]}],"mendeley":{"formattedCitation":"(Saati, 2014)","plainTextFormattedCitation":"(Saati, 2014)","previouslyFormattedCitation":"(Saati, 2014)"},"properties":{"noteIndex":0},"schema":"https://github.com/citation-style-language/schema/raw/master/csl-citation.json"}</w:instrText>
      </w:r>
      <w:r w:rsidR="00BD41F0">
        <w:rPr>
          <w:rFonts w:ascii="Century" w:hAnsi="Century"/>
          <w:szCs w:val="24"/>
        </w:rPr>
        <w:fldChar w:fldCharType="separate"/>
      </w:r>
      <w:r w:rsidR="00BD41F0" w:rsidRPr="00BD41F0">
        <w:rPr>
          <w:rFonts w:ascii="Century" w:hAnsi="Century"/>
          <w:noProof/>
          <w:szCs w:val="24"/>
        </w:rPr>
        <w:t>(Saati, 2014)</w:t>
      </w:r>
      <w:r w:rsidR="00BD41F0">
        <w:rPr>
          <w:rFonts w:ascii="Century" w:hAnsi="Century"/>
          <w:szCs w:val="24"/>
        </w:rPr>
        <w:fldChar w:fldCharType="end"/>
      </w:r>
      <w:r w:rsidR="0000481B" w:rsidRPr="00867BFD">
        <w:rPr>
          <w:rFonts w:ascii="Century" w:hAnsi="Century"/>
          <w:szCs w:val="24"/>
        </w:rPr>
        <w:t xml:space="preserve"> menerangkan bahwa dalam bunga mawar merah baik varietas hybrid ataupun  lokal mengandung minyak atsiri 0,8%. </w:t>
      </w:r>
      <w:r w:rsidR="00C61329" w:rsidRPr="00867BFD">
        <w:rPr>
          <w:rFonts w:ascii="Century" w:hAnsi="Century"/>
          <w:szCs w:val="24"/>
        </w:rPr>
        <w:t xml:space="preserve">Hasil penelitian lain menerangkan bahwa profil aroma </w:t>
      </w:r>
      <w:r w:rsidR="00E3726A" w:rsidRPr="00867BFD">
        <w:rPr>
          <w:rFonts w:ascii="Century" w:hAnsi="Century"/>
          <w:szCs w:val="24"/>
        </w:rPr>
        <w:t xml:space="preserve">khas wangi mahkota bunga mawar karena kandungan </w:t>
      </w:r>
      <w:r w:rsidR="00C61329" w:rsidRPr="00867BFD">
        <w:rPr>
          <w:rFonts w:ascii="Century" w:hAnsi="Century"/>
          <w:szCs w:val="24"/>
        </w:rPr>
        <w:t xml:space="preserve">minyak </w:t>
      </w:r>
      <w:r w:rsidR="00C61329" w:rsidRPr="00867BFD">
        <w:rPr>
          <w:rFonts w:ascii="Century" w:hAnsi="Century"/>
          <w:szCs w:val="24"/>
        </w:rPr>
        <w:lastRenderedPageBreak/>
        <w:t>atsiri</w:t>
      </w:r>
      <w:r w:rsidR="00E3726A" w:rsidRPr="00867BFD">
        <w:rPr>
          <w:rFonts w:ascii="Century" w:hAnsi="Century"/>
          <w:szCs w:val="24"/>
        </w:rPr>
        <w:t xml:space="preserve">nya dan dengan menggunakan </w:t>
      </w:r>
      <w:r w:rsidR="00C61329" w:rsidRPr="00867BFD">
        <w:rPr>
          <w:rFonts w:ascii="Century" w:hAnsi="Century"/>
          <w:szCs w:val="24"/>
        </w:rPr>
        <w:t xml:space="preserve">GCMS </w:t>
      </w:r>
      <w:r w:rsidR="00E3726A" w:rsidRPr="00867BFD">
        <w:rPr>
          <w:rFonts w:ascii="Century" w:hAnsi="Century"/>
          <w:szCs w:val="24"/>
        </w:rPr>
        <w:t>diketahui penyusun</w:t>
      </w:r>
      <w:r w:rsidR="00C61329" w:rsidRPr="00867BFD">
        <w:rPr>
          <w:rFonts w:ascii="Century" w:hAnsi="Century"/>
          <w:szCs w:val="24"/>
        </w:rPr>
        <w:t xml:space="preserve"> utama</w:t>
      </w:r>
      <w:r w:rsidR="00E3726A" w:rsidRPr="00867BFD">
        <w:rPr>
          <w:rFonts w:ascii="Century" w:hAnsi="Century"/>
          <w:szCs w:val="24"/>
        </w:rPr>
        <w:t xml:space="preserve"> minyak atsiri bunga mawar merah</w:t>
      </w:r>
      <w:r w:rsidR="00C61329" w:rsidRPr="00867BFD">
        <w:rPr>
          <w:rFonts w:ascii="Century" w:hAnsi="Century"/>
          <w:szCs w:val="24"/>
        </w:rPr>
        <w:t xml:space="preserve"> adalah </w:t>
      </w:r>
      <w:r w:rsidR="00C61329" w:rsidRPr="00867BFD">
        <w:rPr>
          <w:rFonts w:ascii="Century" w:hAnsi="Century"/>
          <w:i/>
          <w:szCs w:val="24"/>
        </w:rPr>
        <w:t xml:space="preserve">phenylethyl alcohol </w:t>
      </w:r>
      <w:r w:rsidR="00C61329" w:rsidRPr="00867BFD">
        <w:rPr>
          <w:rFonts w:ascii="Century" w:hAnsi="Century"/>
          <w:szCs w:val="24"/>
        </w:rPr>
        <w:t>(31,69)</w:t>
      </w:r>
      <w:r w:rsidR="00E3726A" w:rsidRPr="00867BFD">
        <w:rPr>
          <w:rFonts w:ascii="Century" w:hAnsi="Century"/>
          <w:szCs w:val="24"/>
        </w:rPr>
        <w:t>%</w:t>
      </w:r>
      <w:r w:rsidR="0000481B" w:rsidRPr="00867BFD">
        <w:rPr>
          <w:rFonts w:ascii="Century" w:hAnsi="Century"/>
          <w:szCs w:val="24"/>
        </w:rPr>
        <w:t>.</w:t>
      </w:r>
      <w:r w:rsidR="00C61329" w:rsidRPr="00867BFD">
        <w:rPr>
          <w:rFonts w:ascii="Century" w:hAnsi="Century"/>
          <w:szCs w:val="24"/>
        </w:rPr>
        <w:t xml:space="preserve"> Sedangkan komponen </w:t>
      </w:r>
      <w:r w:rsidR="00E3726A" w:rsidRPr="00867BFD">
        <w:rPr>
          <w:rFonts w:ascii="Century" w:hAnsi="Century"/>
          <w:szCs w:val="24"/>
        </w:rPr>
        <w:t xml:space="preserve">penyusun aroma lain </w:t>
      </w:r>
      <w:r w:rsidR="00C61329" w:rsidRPr="00867BFD">
        <w:rPr>
          <w:rFonts w:ascii="Century" w:hAnsi="Century"/>
          <w:szCs w:val="24"/>
        </w:rPr>
        <w:t xml:space="preserve">meliputi </w:t>
      </w:r>
      <w:r w:rsidR="00C61329" w:rsidRPr="00867BFD">
        <w:rPr>
          <w:rFonts w:ascii="Century" w:hAnsi="Century"/>
          <w:i/>
          <w:szCs w:val="24"/>
        </w:rPr>
        <w:t xml:space="preserve">phenyl ethyl ester </w:t>
      </w:r>
      <w:r w:rsidR="00C61329" w:rsidRPr="00867BFD">
        <w:rPr>
          <w:rFonts w:ascii="Century" w:hAnsi="Century"/>
          <w:szCs w:val="24"/>
        </w:rPr>
        <w:t xml:space="preserve">(3,43%), </w:t>
      </w:r>
      <w:r w:rsidR="00C61329" w:rsidRPr="00867BFD">
        <w:rPr>
          <w:rFonts w:ascii="Century" w:hAnsi="Century"/>
          <w:i/>
          <w:szCs w:val="24"/>
        </w:rPr>
        <w:t xml:space="preserve">nonadecone </w:t>
      </w:r>
      <w:r w:rsidR="00C61329" w:rsidRPr="00867BFD">
        <w:rPr>
          <w:rFonts w:ascii="Century" w:hAnsi="Century"/>
          <w:szCs w:val="24"/>
        </w:rPr>
        <w:t xml:space="preserve">(0,95%), </w:t>
      </w:r>
      <w:r w:rsidR="00C61329" w:rsidRPr="00867BFD">
        <w:rPr>
          <w:rFonts w:ascii="Century" w:hAnsi="Century"/>
          <w:i/>
          <w:szCs w:val="24"/>
        </w:rPr>
        <w:t xml:space="preserve">Phenol </w:t>
      </w:r>
      <w:r w:rsidR="00C61329" w:rsidRPr="00867BFD">
        <w:rPr>
          <w:rFonts w:ascii="Century" w:hAnsi="Century"/>
          <w:szCs w:val="24"/>
        </w:rPr>
        <w:t xml:space="preserve">(3,07)%, </w:t>
      </w:r>
      <w:r w:rsidR="00C61329" w:rsidRPr="00867BFD">
        <w:rPr>
          <w:rFonts w:ascii="Century" w:hAnsi="Century"/>
          <w:i/>
          <w:szCs w:val="24"/>
        </w:rPr>
        <w:t xml:space="preserve">Eicosane </w:t>
      </w:r>
      <w:r w:rsidR="00C61329" w:rsidRPr="00867BFD">
        <w:rPr>
          <w:rFonts w:ascii="Century" w:hAnsi="Century"/>
          <w:szCs w:val="24"/>
        </w:rPr>
        <w:t xml:space="preserve">(1,13)%, </w:t>
      </w:r>
      <w:r w:rsidR="00C61329" w:rsidRPr="00867BFD">
        <w:rPr>
          <w:rFonts w:ascii="Century" w:hAnsi="Century"/>
          <w:i/>
          <w:szCs w:val="24"/>
        </w:rPr>
        <w:t xml:space="preserve">benzenemethanol </w:t>
      </w:r>
      <w:r w:rsidR="00C61329" w:rsidRPr="00867BFD">
        <w:rPr>
          <w:rFonts w:ascii="Century" w:hAnsi="Century"/>
          <w:szCs w:val="24"/>
        </w:rPr>
        <w:t>(0,97)%</w:t>
      </w:r>
      <w:r w:rsidR="00E3726A" w:rsidRPr="00867BFD">
        <w:rPr>
          <w:rFonts w:ascii="Century" w:hAnsi="Century"/>
          <w:szCs w:val="24"/>
        </w:rPr>
        <w:t xml:space="preserve">, </w:t>
      </w:r>
      <w:r w:rsidR="00E3726A" w:rsidRPr="00867BFD">
        <w:rPr>
          <w:rFonts w:ascii="Century" w:hAnsi="Century"/>
          <w:i/>
          <w:szCs w:val="24"/>
        </w:rPr>
        <w:t xml:space="preserve">5-hidroxy-2-decenoicacid lactone </w:t>
      </w:r>
      <w:r w:rsidR="00E3726A" w:rsidRPr="00867BFD">
        <w:rPr>
          <w:rFonts w:ascii="Century" w:hAnsi="Century"/>
          <w:szCs w:val="24"/>
        </w:rPr>
        <w:t xml:space="preserve">(49,94)%, </w:t>
      </w:r>
      <w:r w:rsidR="00E3726A" w:rsidRPr="00867BFD">
        <w:rPr>
          <w:rFonts w:ascii="Century" w:hAnsi="Century"/>
          <w:i/>
          <w:szCs w:val="24"/>
        </w:rPr>
        <w:t>5-hidroxy-2-decenoic acid</w:t>
      </w:r>
      <w:r w:rsidR="00E3726A" w:rsidRPr="00867BFD">
        <w:rPr>
          <w:rFonts w:ascii="Century" w:hAnsi="Century"/>
          <w:szCs w:val="24"/>
        </w:rPr>
        <w:t xml:space="preserve"> (7,08)%, dan </w:t>
      </w:r>
      <w:r w:rsidR="00E3726A" w:rsidRPr="00867BFD">
        <w:rPr>
          <w:rFonts w:ascii="Century" w:hAnsi="Century"/>
          <w:i/>
          <w:szCs w:val="24"/>
        </w:rPr>
        <w:t>phenyl methyl ester</w:t>
      </w:r>
      <w:r w:rsidR="00E3726A" w:rsidRPr="00867BFD">
        <w:rPr>
          <w:rFonts w:ascii="Century" w:hAnsi="Century"/>
          <w:szCs w:val="24"/>
        </w:rPr>
        <w:t xml:space="preserve"> (1,74)% </w:t>
      </w:r>
      <w:r w:rsidR="00F83084">
        <w:rPr>
          <w:rFonts w:ascii="Century" w:hAnsi="Century"/>
          <w:szCs w:val="24"/>
        </w:rPr>
        <w:fldChar w:fldCharType="begin" w:fldLock="1"/>
      </w:r>
      <w:r w:rsidR="00D74A7E">
        <w:rPr>
          <w:rFonts w:ascii="Century" w:hAnsi="Century"/>
          <w:szCs w:val="24"/>
        </w:rPr>
        <w:instrText>ADDIN CSL_CITATION {"citationItems":[{"id":"ITEM-1","itemData":{"DOI":"10.15294/jbat.v4i1.3769","abstract":"ABSTRAK Minyak mawar merupakan salah satu produk minyak bunga yang memungkinkan diproduksi di Indonesia dengan kualitas ekspor. Manfaat dari minyak mawar adalah untuk parfum, kos- mestik, dan obat-obatan. Minyak mawar dapat diproduksi dengan menggunakan metode di- antaranya maserasi. Tujuan penelitian ini adalah mengetahui rendemen minyak atsiri mawar merah (Rosa damascena) dan komponen minyak atsiri yang terambil dengan etanol dan n- heksana. Bahan baku yang digunakan berupa mahkota bunga mawar sebanyak 50 gram yang dipotong kecil-kecil, kemudian direndam dalam pelarut dengan perbandingan 1:3. Pelarut yang digunakan yaitu etanol dan n-heksana. Proses maserasi dilakukan dengan pengadukan selama 1 menit secara manual pada suhu ruang dan didiamkan selama 12 jam di tempat tertutup dan gelap (tanpa terkena cahaya). Hasil maserasi berupa ekstrak mawar dipisahkan dengan cara penyaringan dan pemerasan bunga. Filtrat yang mengandung minyak bunga ma- war dievaporasi dengan rotary vacuum evaporator. Maserasi menggunakan etanol pada suhu 60ºC selama 20 menit, sedangkan maserasi menggunakan n-heksana pada suhu 55 ºC selama 10 menit. Minyak atsiri hasil maserasi bunga mawar merah dilakukan uji GC-MS. Komponen utama minyak atsiri dari bunga mawar dengan pelarut etanol dan pelarut n-heksana secara berurutan adalah phenyl ethyl alcohol (2,73%) dan (31,69%). Rendemen hasil maserasi min- yak bunga mawar dengan pelarut etanol adalah 8,76%, sedangkan pelarut n-heksana meng- hasilkan 0,34 %. Kata","author":[{"dropping-particle":"","family":"Astrilia Damayanti dan Endah Ayu Fitriana","given":"","non-dropping-particle":"","parse-names":false,"suffix":""}],"container-title":"Jurnal Bahan Alam Terbarukan","id":"ITEM-1","issue":"1","issued":{"date-parts":[["2015"]]},"page":"14-20","title":"Jurnal Bahan Alam Terbarukan","type":"article-journal","volume":"4"},"uris":["http://www.mendeley.com/documents/?uuid=b875dc26-79eb-4d41-a839-f3f7982eb9f2"]}],"mendeley":{"formattedCitation":"(Astrilia Damayanti dan Endah Ayu Fitriana, 2015)","manualFormatting":"( Damayanti &amp; Fitriana, 2015)","plainTextFormattedCitation":"(Astrilia Damayanti dan Endah Ayu Fitriana, 2015)","previouslyFormattedCitation":"(Astrilia Damayanti dan Endah Ayu Fitriana, 2015)"},"properties":{"noteIndex":0},"schema":"https://github.com/citation-style-language/schema/raw/master/csl-citation.json"}</w:instrText>
      </w:r>
      <w:r w:rsidR="00F83084">
        <w:rPr>
          <w:rFonts w:ascii="Century" w:hAnsi="Century"/>
          <w:szCs w:val="24"/>
        </w:rPr>
        <w:fldChar w:fldCharType="separate"/>
      </w:r>
      <w:r w:rsidR="00F83084" w:rsidRPr="00F83084">
        <w:rPr>
          <w:rFonts w:ascii="Century" w:hAnsi="Century"/>
          <w:noProof/>
          <w:szCs w:val="24"/>
        </w:rPr>
        <w:t xml:space="preserve">( Damayanti </w:t>
      </w:r>
      <w:r w:rsidR="00F83084">
        <w:rPr>
          <w:rFonts w:ascii="Century" w:hAnsi="Century"/>
          <w:noProof/>
          <w:szCs w:val="24"/>
        </w:rPr>
        <w:t xml:space="preserve">&amp; </w:t>
      </w:r>
      <w:r w:rsidR="00F83084" w:rsidRPr="00F83084">
        <w:rPr>
          <w:rFonts w:ascii="Century" w:hAnsi="Century"/>
          <w:noProof/>
          <w:szCs w:val="24"/>
        </w:rPr>
        <w:t>Fitriana, 2015)</w:t>
      </w:r>
      <w:r w:rsidR="00F83084">
        <w:rPr>
          <w:rFonts w:ascii="Century" w:hAnsi="Century"/>
          <w:szCs w:val="24"/>
        </w:rPr>
        <w:fldChar w:fldCharType="end"/>
      </w:r>
    </w:p>
    <w:p w:rsidR="0091522F" w:rsidRPr="00867BFD" w:rsidRDefault="001A346F" w:rsidP="00391E01">
      <w:pPr>
        <w:spacing w:after="0" w:line="276" w:lineRule="auto"/>
        <w:ind w:firstLine="720"/>
        <w:jc w:val="both"/>
        <w:rPr>
          <w:rFonts w:ascii="Century" w:hAnsi="Century" w:cs="Times New Roman"/>
          <w:sz w:val="24"/>
          <w:szCs w:val="24"/>
        </w:rPr>
      </w:pPr>
      <w:r w:rsidRPr="00867BFD">
        <w:rPr>
          <w:rFonts w:ascii="Century" w:hAnsi="Century" w:cs="Times New Roman"/>
          <w:sz w:val="24"/>
          <w:szCs w:val="24"/>
        </w:rPr>
        <w:t>Teh kelopak bunga mawar merah yang diproduksi kelompok setelah dilakukan analisis laboratorium, diketahui memiliki kadar air 7,83 ± 0,11%.  Sedangkan w</w:t>
      </w:r>
      <w:r w:rsidR="0091522F" w:rsidRPr="00867BFD">
        <w:rPr>
          <w:rFonts w:ascii="Century" w:hAnsi="Century" w:cs="Times New Roman"/>
          <w:sz w:val="24"/>
          <w:szCs w:val="24"/>
        </w:rPr>
        <w:t xml:space="preserve">arna teh mawar yang diproduksi oleh Kelompok Putri Mawar </w:t>
      </w:r>
      <w:r w:rsidRPr="00867BFD">
        <w:rPr>
          <w:rFonts w:ascii="Century" w:hAnsi="Century" w:cs="Times New Roman"/>
          <w:sz w:val="24"/>
          <w:szCs w:val="24"/>
        </w:rPr>
        <w:t xml:space="preserve">berwarna </w:t>
      </w:r>
      <w:r w:rsidR="0091522F" w:rsidRPr="00867BFD">
        <w:rPr>
          <w:rFonts w:ascii="Century" w:hAnsi="Century" w:cs="Times New Roman"/>
          <w:sz w:val="24"/>
          <w:szCs w:val="24"/>
        </w:rPr>
        <w:t>coklat muda  mendekati coklat tua. Perubahan warna dari kelopak yang berwarna merah menjadi coklat ini dimungkinkan</w:t>
      </w:r>
      <w:r w:rsidRPr="00867BFD">
        <w:rPr>
          <w:rFonts w:ascii="Century" w:hAnsi="Century" w:cs="Times New Roman"/>
          <w:sz w:val="24"/>
          <w:szCs w:val="24"/>
        </w:rPr>
        <w:t xml:space="preserve"> diduga</w:t>
      </w:r>
      <w:r w:rsidR="0091522F" w:rsidRPr="00867BFD">
        <w:rPr>
          <w:rFonts w:ascii="Century" w:hAnsi="Century" w:cs="Times New Roman"/>
          <w:sz w:val="24"/>
          <w:szCs w:val="24"/>
        </w:rPr>
        <w:t xml:space="preserve"> karena telah terjadi </w:t>
      </w:r>
      <w:r w:rsidRPr="00867BFD">
        <w:rPr>
          <w:rFonts w:ascii="Century" w:hAnsi="Century" w:cs="Times New Roman"/>
          <w:sz w:val="24"/>
          <w:szCs w:val="24"/>
        </w:rPr>
        <w:t>perubahan</w:t>
      </w:r>
      <w:r w:rsidR="0091522F" w:rsidRPr="00867BFD">
        <w:rPr>
          <w:rFonts w:ascii="Century" w:hAnsi="Century" w:cs="Times New Roman"/>
          <w:sz w:val="24"/>
          <w:szCs w:val="24"/>
        </w:rPr>
        <w:t xml:space="preserve"> pigmen </w:t>
      </w:r>
      <w:r w:rsidRPr="00867BFD">
        <w:rPr>
          <w:rFonts w:ascii="Century" w:hAnsi="Century" w:cs="Times New Roman"/>
          <w:sz w:val="24"/>
          <w:szCs w:val="24"/>
        </w:rPr>
        <w:t>selama</w:t>
      </w:r>
      <w:r w:rsidR="0091522F" w:rsidRPr="00867BFD">
        <w:rPr>
          <w:rFonts w:ascii="Century" w:hAnsi="Century" w:cs="Times New Roman"/>
          <w:sz w:val="24"/>
          <w:szCs w:val="24"/>
        </w:rPr>
        <w:t xml:space="preserve"> proses </w:t>
      </w:r>
      <w:r w:rsidRPr="00867BFD">
        <w:rPr>
          <w:rFonts w:ascii="Century" w:hAnsi="Century" w:cs="Times New Roman"/>
          <w:sz w:val="24"/>
          <w:szCs w:val="24"/>
        </w:rPr>
        <w:t xml:space="preserve">pengolahan dan </w:t>
      </w:r>
      <w:r w:rsidR="0091522F" w:rsidRPr="00867BFD">
        <w:rPr>
          <w:rFonts w:ascii="Century" w:hAnsi="Century" w:cs="Times New Roman"/>
          <w:sz w:val="24"/>
          <w:szCs w:val="24"/>
        </w:rPr>
        <w:t>pengeringan. Namun demikian berdasarkan hasil analisis laboratorium, aktivitas antioksidan teh mawar yang diproduksi</w:t>
      </w:r>
      <w:r w:rsidRPr="00867BFD">
        <w:rPr>
          <w:rFonts w:ascii="Century" w:hAnsi="Century" w:cs="Times New Roman"/>
          <w:sz w:val="24"/>
          <w:szCs w:val="24"/>
        </w:rPr>
        <w:t xml:space="preserve"> oleh</w:t>
      </w:r>
      <w:r w:rsidR="0091522F" w:rsidRPr="00867BFD">
        <w:rPr>
          <w:rFonts w:ascii="Century" w:hAnsi="Century" w:cs="Times New Roman"/>
          <w:sz w:val="24"/>
          <w:szCs w:val="24"/>
        </w:rPr>
        <w:t xml:space="preserve"> UKM Putri Mawar cukup masih tinggi, diketahui dengan metode DPPH (1,1-diphen</w:t>
      </w:r>
      <w:r w:rsidR="006B6E75" w:rsidRPr="00867BFD">
        <w:rPr>
          <w:rFonts w:ascii="Century" w:hAnsi="Century" w:cs="Times New Roman"/>
          <w:sz w:val="24"/>
          <w:szCs w:val="24"/>
        </w:rPr>
        <w:t>yl-2-pycrilhydrazil) adalah (73,</w:t>
      </w:r>
      <w:r w:rsidR="0091522F" w:rsidRPr="00867BFD">
        <w:rPr>
          <w:rFonts w:ascii="Century" w:hAnsi="Century" w:cs="Times New Roman"/>
          <w:sz w:val="24"/>
          <w:szCs w:val="24"/>
        </w:rPr>
        <w:t>9</w:t>
      </w:r>
      <w:r w:rsidR="006B6E75" w:rsidRPr="00867BFD">
        <w:rPr>
          <w:rFonts w:ascii="Century" w:hAnsi="Century" w:cs="Times New Roman"/>
          <w:sz w:val="24"/>
          <w:szCs w:val="24"/>
        </w:rPr>
        <w:t>6±0,</w:t>
      </w:r>
      <w:r w:rsidR="0091522F" w:rsidRPr="00867BFD">
        <w:rPr>
          <w:rFonts w:ascii="Century" w:hAnsi="Century" w:cs="Times New Roman"/>
          <w:sz w:val="24"/>
          <w:szCs w:val="24"/>
        </w:rPr>
        <w:t>9</w:t>
      </w:r>
      <w:r w:rsidR="006B6E75" w:rsidRPr="00867BFD">
        <w:rPr>
          <w:rFonts w:ascii="Century" w:hAnsi="Century" w:cs="Times New Roman"/>
          <w:sz w:val="24"/>
          <w:szCs w:val="24"/>
        </w:rPr>
        <w:t>3</w:t>
      </w:r>
      <w:r w:rsidR="0091522F" w:rsidRPr="00867BFD">
        <w:rPr>
          <w:rFonts w:ascii="Century" w:hAnsi="Century" w:cs="Times New Roman"/>
          <w:sz w:val="24"/>
          <w:szCs w:val="24"/>
        </w:rPr>
        <w:t>)%</w:t>
      </w:r>
      <w:r w:rsidR="007A5F88">
        <w:rPr>
          <w:rFonts w:ascii="Century" w:hAnsi="Century" w:cs="Times New Roman"/>
          <w:sz w:val="24"/>
          <w:szCs w:val="24"/>
        </w:rPr>
        <w:t xml:space="preserve"> </w:t>
      </w:r>
      <w:r w:rsidR="007A5F88">
        <w:rPr>
          <w:rFonts w:ascii="Century" w:hAnsi="Century" w:cs="Times New Roman"/>
          <w:sz w:val="24"/>
          <w:szCs w:val="24"/>
        </w:rPr>
        <w:fldChar w:fldCharType="begin" w:fldLock="1"/>
      </w:r>
      <w:r w:rsidR="0035776E">
        <w:rPr>
          <w:rFonts w:ascii="Century" w:hAnsi="Century" w:cs="Times New Roman"/>
          <w:sz w:val="24"/>
          <w:szCs w:val="24"/>
        </w:rPr>
        <w:instrText>ADDIN CSL_CITATION {"citationItems":[{"id":"ITEM-1","itemData":{"author":[{"dropping-particle":"","family":"Yustina Wuri Wulandari, Vivi Nuraini","given":"Marjam Desma Rahadhini","non-dropping-particle":"","parse-names":false,"suffix":""}],"container-title":"Sustainablecompetitiveadvantage-9(Sca-9)","id":"ITEM-1","issue":"77","issued":{"date-parts":[["2019"]]},"page":"77-84","title":"Analisis Kelayakan Usaha Teh Mawar Pada Ukm Didesaclutang-Boyolali","type":"article-journal","volume":"9"},"uris":["http://www.mendeley.com/documents/?uuid=828d8f0d-8317-45df-bf27-e6ee39407853"]}],"mendeley":{"formattedCitation":"(Yustina Wuri Wulandari, Vivi Nuraini, 2019)","manualFormatting":"(Wulandari, et al., 2019)","plainTextFormattedCitation":"(Yustina Wuri Wulandari, Vivi Nuraini, 2019)","previouslyFormattedCitation":"(Yustina Wuri Wulandari, Vivi Nuraini, 2019)"},"properties":{"noteIndex":0},"schema":"https://github.com/citation-style-language/schema/raw/master/csl-citation.json"}</w:instrText>
      </w:r>
      <w:r w:rsidR="007A5F88">
        <w:rPr>
          <w:rFonts w:ascii="Century" w:hAnsi="Century" w:cs="Times New Roman"/>
          <w:sz w:val="24"/>
          <w:szCs w:val="24"/>
        </w:rPr>
        <w:fldChar w:fldCharType="separate"/>
      </w:r>
      <w:r w:rsidR="007A5F88" w:rsidRPr="007A5F88">
        <w:rPr>
          <w:rFonts w:ascii="Century" w:hAnsi="Century" w:cs="Times New Roman"/>
          <w:noProof/>
          <w:sz w:val="24"/>
          <w:szCs w:val="24"/>
        </w:rPr>
        <w:t>(Wulandari</w:t>
      </w:r>
      <w:r w:rsidR="007A5F88">
        <w:rPr>
          <w:rFonts w:ascii="Century" w:hAnsi="Century" w:cs="Times New Roman"/>
          <w:noProof/>
          <w:sz w:val="24"/>
          <w:szCs w:val="24"/>
        </w:rPr>
        <w:t xml:space="preserve">, </w:t>
      </w:r>
      <w:r w:rsidR="007A5F88" w:rsidRPr="007A5F88">
        <w:rPr>
          <w:rFonts w:ascii="Century" w:hAnsi="Century" w:cs="Times New Roman"/>
          <w:i/>
          <w:noProof/>
          <w:sz w:val="24"/>
          <w:szCs w:val="24"/>
        </w:rPr>
        <w:t>et</w:t>
      </w:r>
      <w:r w:rsidR="007A5F88">
        <w:rPr>
          <w:rFonts w:ascii="Century" w:hAnsi="Century" w:cs="Times New Roman"/>
          <w:i/>
          <w:noProof/>
          <w:sz w:val="24"/>
          <w:szCs w:val="24"/>
        </w:rPr>
        <w:t xml:space="preserve"> </w:t>
      </w:r>
      <w:r w:rsidR="007A5F88" w:rsidRPr="007A5F88">
        <w:rPr>
          <w:rFonts w:ascii="Century" w:hAnsi="Century" w:cs="Times New Roman"/>
          <w:i/>
          <w:noProof/>
          <w:sz w:val="24"/>
          <w:szCs w:val="24"/>
        </w:rPr>
        <w:t>al.,</w:t>
      </w:r>
      <w:r w:rsidR="007A5F88" w:rsidRPr="007A5F88">
        <w:rPr>
          <w:rFonts w:ascii="Century" w:hAnsi="Century" w:cs="Times New Roman"/>
          <w:noProof/>
          <w:sz w:val="24"/>
          <w:szCs w:val="24"/>
        </w:rPr>
        <w:t xml:space="preserve"> 2019)</w:t>
      </w:r>
      <w:r w:rsidR="007A5F88">
        <w:rPr>
          <w:rFonts w:ascii="Century" w:hAnsi="Century" w:cs="Times New Roman"/>
          <w:sz w:val="24"/>
          <w:szCs w:val="24"/>
        </w:rPr>
        <w:fldChar w:fldCharType="end"/>
      </w:r>
      <w:r w:rsidR="0091522F" w:rsidRPr="00867BFD">
        <w:rPr>
          <w:rFonts w:ascii="Century" w:hAnsi="Century" w:cs="Times New Roman"/>
          <w:sz w:val="24"/>
          <w:szCs w:val="24"/>
        </w:rPr>
        <w:t xml:space="preserve">. Berdasarkan analisis sifat antioksidan ini maka teh mawar potensial dikembangkan menjadi minuman fungsional. </w:t>
      </w:r>
    </w:p>
    <w:p w:rsidR="0091522F" w:rsidRPr="00867BFD" w:rsidRDefault="001A346F" w:rsidP="00391E01">
      <w:pPr>
        <w:spacing w:after="0" w:line="276" w:lineRule="auto"/>
        <w:ind w:firstLine="547"/>
        <w:contextualSpacing/>
        <w:jc w:val="both"/>
        <w:rPr>
          <w:rFonts w:ascii="Century" w:hAnsi="Century" w:cs="Times New Roman"/>
          <w:sz w:val="24"/>
          <w:szCs w:val="24"/>
        </w:rPr>
      </w:pPr>
      <w:r w:rsidRPr="00867BFD">
        <w:rPr>
          <w:rFonts w:ascii="Century" w:hAnsi="Century" w:cs="Times New Roman"/>
          <w:sz w:val="24"/>
          <w:szCs w:val="24"/>
        </w:rPr>
        <w:t>Hasil ini menunjukkan bahwa t</w:t>
      </w:r>
      <w:r w:rsidR="00867BFD">
        <w:rPr>
          <w:rFonts w:ascii="Century" w:hAnsi="Century" w:cs="Times New Roman"/>
          <w:sz w:val="24"/>
          <w:szCs w:val="24"/>
        </w:rPr>
        <w:t>e</w:t>
      </w:r>
      <w:r w:rsidRPr="00867BFD">
        <w:rPr>
          <w:rFonts w:ascii="Century" w:hAnsi="Century" w:cs="Times New Roman"/>
          <w:sz w:val="24"/>
          <w:szCs w:val="24"/>
        </w:rPr>
        <w:t>h kelopak bunga mawar merah memiliki</w:t>
      </w:r>
      <w:r w:rsidR="0091522F" w:rsidRPr="00867BFD">
        <w:rPr>
          <w:rFonts w:ascii="Century" w:hAnsi="Century" w:cs="Times New Roman"/>
          <w:sz w:val="24"/>
          <w:szCs w:val="24"/>
        </w:rPr>
        <w:t xml:space="preserve"> potensi</w:t>
      </w:r>
      <w:r w:rsidRPr="00867BFD">
        <w:rPr>
          <w:rFonts w:ascii="Century" w:hAnsi="Century" w:cs="Times New Roman"/>
          <w:sz w:val="24"/>
          <w:szCs w:val="24"/>
        </w:rPr>
        <w:t xml:space="preserve"> untuk dikembangkan lebih lanjut menjadi produk pangan fungsional. Hasil ini didukung </w:t>
      </w:r>
      <w:r w:rsidR="001F3AA0" w:rsidRPr="00867BFD">
        <w:rPr>
          <w:rFonts w:ascii="Century" w:hAnsi="Century" w:cs="Times New Roman"/>
          <w:sz w:val="24"/>
          <w:szCs w:val="24"/>
        </w:rPr>
        <w:t>penelitian (</w:t>
      </w:r>
      <w:r w:rsidR="00D74A7E">
        <w:rPr>
          <w:rFonts w:ascii="Century" w:hAnsi="Century" w:cs="Times New Roman"/>
          <w:sz w:val="24"/>
          <w:szCs w:val="24"/>
        </w:rPr>
        <w:fldChar w:fldCharType="begin" w:fldLock="1"/>
      </w:r>
      <w:r w:rsidR="002B48CD">
        <w:rPr>
          <w:rFonts w:ascii="Century" w:hAnsi="Century" w:cs="Times New Roman"/>
          <w:sz w:val="24"/>
          <w:szCs w:val="24"/>
        </w:rPr>
        <w:instrText>ADDIN CSL_CITATION {"citationItems":[{"id":"ITEM-1","itemData":{"DOI":"10.3390/molecules15128543","ISSN":"14203049","abstract":"The phenolic profile of Amazon grape fruit (Pourouma cecropiifolia Martius) was investigated by high-performance liquid chromatography-electrospray ionization mass spectrometry (HPLC-ESI-MS/MS). For this purpose, suitable extraction and liquid chromatographic methods were developed. Anthocyanins, flavonols and chlorogenic acids were found mainly in the peel. Besides the main anthocyanins, i.e. delphinidin 3-glucoside, cyanidin 3-glucoside and cyanidin 3-(6\"-malonyl)glucoside, several minor anthocyanins were identified in the peel. Among these, cyanidin 3,5-diglucoside, delphinidin 3-galactoside, cyanidin 3-rutinoside, cyanidin 3-(3\"-malonyl)glucoside, malvidin 3-glucoside, pelargonidin 3-glucoside, peonidin 3-glucoside and petunidin 3-glucoside were characterized on the basis of their fragmentation patterns in MS/MS experiments. The total anthocyanin content in the peel was 420.26 ± 3.07 mg kg -1 fresh weight. The pulp contained mainly 5-O-caffeoylquinic acid (210.39 ± 3.43 mg kg-1 fresh weight). Rutin was the predominant flavonol found in Amazon grape (peel 155.45 ± 2.06 mg kg -1 fresh weight and pulp 2.64 ± 1.21 mg kg-1 fresh weight). Total polyphenols content was higher in the peel than in the pulp. © 2010 by the authors; licensee MDPI, Basel, Switzerland.","author":[{"dropping-particle":"","family":"Lopes-Lutz","given":"Daise","non-dropping-particle":"","parse-names":false,"suffix":""},{"dropping-particle":"","family":"Dettmann","given":"Judith","non-dropping-particle":"","parse-names":false,"suffix":""},{"dropping-particle":"","family":"Nimalaratne","given":"Chamila","non-dropping-particle":"","parse-names":false,"suffix":""},{"dropping-particle":"","family":"Schieber","given":"Andreas","non-dropping-particle":"","parse-names":false,"suffix":""}],"container-title":"Molecules","id":"ITEM-1","issue":"12","issued":{"date-parts":[["2010"]]},"page":"8543-8552","title":"Characterization and quantification of polyphenols in amazon grape (Pourouma cecropiifolia martius)","type":"article-journal","volume":"15"},"uris":["http://www.mendeley.com/documents/?uuid=e4689492-b9cf-4afa-8d52-084a723b0cf6"]}],"mendeley":{"formattedCitation":"(Lopes-Lutz, Dettmann, Nimalaratne, &amp; Schieber, 2010)","manualFormatting":"Lopes-Lutz, et al., 2010)","plainTextFormattedCitation":"(Lopes-Lutz, Dettmann, Nimalaratne, &amp; Schieber, 2010)","previouslyFormattedCitation":"(Lopes-Lutz, Dettmann, Nimalaratne, &amp; Schieber, 2010)"},"properties":{"noteIndex":0},"schema":"https://github.com/citation-style-language/schema/raw/master/csl-citation.json"}</w:instrText>
      </w:r>
      <w:r w:rsidR="00D74A7E">
        <w:rPr>
          <w:rFonts w:ascii="Century" w:hAnsi="Century" w:cs="Times New Roman"/>
          <w:sz w:val="24"/>
          <w:szCs w:val="24"/>
        </w:rPr>
        <w:fldChar w:fldCharType="separate"/>
      </w:r>
      <w:r w:rsidR="00D74A7E" w:rsidRPr="00D74A7E">
        <w:rPr>
          <w:rFonts w:ascii="Century" w:hAnsi="Century" w:cs="Times New Roman"/>
          <w:noProof/>
          <w:sz w:val="24"/>
          <w:szCs w:val="24"/>
        </w:rPr>
        <w:t xml:space="preserve">Lopes-Lutz, </w:t>
      </w:r>
      <w:r w:rsidR="002B48CD" w:rsidRPr="002B48CD">
        <w:rPr>
          <w:rFonts w:ascii="Century" w:hAnsi="Century" w:cs="Times New Roman"/>
          <w:i/>
          <w:noProof/>
          <w:sz w:val="24"/>
          <w:szCs w:val="24"/>
        </w:rPr>
        <w:t>et al.,</w:t>
      </w:r>
      <w:r w:rsidR="002B48CD">
        <w:rPr>
          <w:rFonts w:ascii="Century" w:hAnsi="Century" w:cs="Times New Roman"/>
          <w:noProof/>
          <w:sz w:val="24"/>
          <w:szCs w:val="24"/>
        </w:rPr>
        <w:t xml:space="preserve"> </w:t>
      </w:r>
      <w:r w:rsidR="00D74A7E" w:rsidRPr="00D74A7E">
        <w:rPr>
          <w:rFonts w:ascii="Century" w:hAnsi="Century" w:cs="Times New Roman"/>
          <w:noProof/>
          <w:sz w:val="24"/>
          <w:szCs w:val="24"/>
        </w:rPr>
        <w:t>2010)</w:t>
      </w:r>
      <w:r w:rsidR="00D74A7E">
        <w:rPr>
          <w:rFonts w:ascii="Century" w:hAnsi="Century" w:cs="Times New Roman"/>
          <w:sz w:val="24"/>
          <w:szCs w:val="24"/>
        </w:rPr>
        <w:fldChar w:fldCharType="end"/>
      </w:r>
      <w:r w:rsidR="001F3AA0" w:rsidRPr="00867BFD">
        <w:rPr>
          <w:rFonts w:ascii="Century" w:hAnsi="Century" w:cs="Times New Roman"/>
          <w:sz w:val="24"/>
          <w:szCs w:val="24"/>
        </w:rPr>
        <w:t xml:space="preserve">; </w:t>
      </w:r>
      <w:r w:rsidR="00E14E06">
        <w:rPr>
          <w:rFonts w:ascii="Century" w:hAnsi="Century" w:cs="Times New Roman"/>
          <w:sz w:val="24"/>
          <w:szCs w:val="24"/>
        </w:rPr>
        <w:fldChar w:fldCharType="begin" w:fldLock="1"/>
      </w:r>
      <w:r w:rsidR="009B52DB">
        <w:rPr>
          <w:rFonts w:ascii="Century" w:hAnsi="Century" w:cs="Times New Roman"/>
          <w:sz w:val="24"/>
          <w:szCs w:val="24"/>
        </w:rPr>
        <w:instrText>ADDIN CSL_CITATION {"citationItems":[{"id":"ITEM-1","itemData":{"abstract":"Zat pewarna alami yang bersifat lebih aman, dapat digunakan dari pigmen karotenoid, kurkumin, antosianin dan pigmen lainnya. Pigmen antosianin adalah pewarna alami kelompok ? avonoid penyebab warna merah, oranye, ungu dan biru, merupakan pigmen yang penting dan tersebar luas, karena banyak ditemukan dalam jaringan buah, bunga, daun, batang maupun akar tanaman (Nollet, 1996). Indonesia merupakan negara yang mempunyai kekayaan hayati terbesar ke-2 di dunia, oleh karenanya amat perlu untuk menggali potensi sumber pigmen yang dapat digunakan sebagai pewarna alami untuk menggantikan pewarna berbahaya Rhodamin B dan Amarant. Penelitian ini dilaksanakan dalam 3 tahap, yaitu meliputi : 1) Eksplorasi kekayaan hayati lokal sebagai sumber pigmen penyumbang warna merah-keunguan, 2) Karakterisasi pigmen beberapa kekayaan hayati lokal, sebagai pengganti Rhodamin B, dan 3) Uji efektivitas penggunaannya (pigmen terbaik tahap sebelumnya) pada beberapa produk pangan (sari buah,jam, yoghurt) sebagai zat pewarna alami alternatif. Hasil penelitian menunjukkan bahwa ekstrak pigmen pekat (konsentrat) dari mahkota bunga mawar (merah) lokal Batu memiliki, dengan pelarut akuades dan asam sitrat atau laktat (0,02M) menghasilkan pigmen antosanin yang berkualitas paling baik, yaitu dengan nilai pH 1,47, absorbansi 0,787 (pengenceran 100x pada λ 513,5 nm), tingkat kecerahan (L) 30,20, total padatan terlarut 5,83oBrix, kadar 14,0293 (mg/100 mL) dan rendemen 15,7535 (mg/100 g). Ekstrak pigmen antosianin bunga mawar paling stabil terdapatpadabuffer pH 3,75.Daun bayam merah mengandung pigmenantosianin dengan total padatan terlarut5,8 °Brix kadar antosianin 18,94 mg/ml dan rendemen pigmen sebesar 15, 16%, lebih stabil/ optimal pada pH 2,25 ; 4 ,dan 4,25 (untuk konsentrat), sedangkan bubuk pigmen stabil pada 2,25. Semakin tinggi dan lama waktu pemanasan maka tingkat kemerahan akan semakin rendah. Ekstrak pigmen antosianin sebanyak 2-3 % efektif menyumbangkan warna alami, kemerahan (a+) dan kuning-kemerahan/oranye (a+ dan b+) pada produk seperti yoghurt, selai/jam pepaya, sari buah dan minuman berkarbonat (Coca cola) serta hand body lotion.","author":[{"dropping-particle":"","family":"Saati","given":"Elfi Anis","non-dropping-particle":"","parse-names":false,"suffix":""}],"container-title":"Jurnal Gamma","id":"ITEM-1","issued":{"date-parts":[["2014"]]},"title":"Eksplorasi Pigmen Antosianin Bahan Hayati Lokal Pengganti Rodhamin B dan Uji Efektivitasnya Pada Beberapa Produk Industri/Pangan","type":"article-journal"},"uris":["http://www.mendeley.com/documents/?uuid=f592dbdc-598a-4475-98b2-aa5007e4354e"]}],"mendeley":{"formattedCitation":"(Saati, 2014)","manualFormatting":"Saati, 2014)","plainTextFormattedCitation":"(Saati, 2014)","previouslyFormattedCitation":"(Saati, 2014)"},"properties":{"noteIndex":0},"schema":"https://github.com/citation-style-language/schema/raw/master/csl-citation.json"}</w:instrText>
      </w:r>
      <w:r w:rsidR="00E14E06">
        <w:rPr>
          <w:rFonts w:ascii="Century" w:hAnsi="Century" w:cs="Times New Roman"/>
          <w:sz w:val="24"/>
          <w:szCs w:val="24"/>
        </w:rPr>
        <w:fldChar w:fldCharType="separate"/>
      </w:r>
      <w:r w:rsidR="00E14E06">
        <w:rPr>
          <w:rFonts w:ascii="Century" w:hAnsi="Century" w:cs="Times New Roman"/>
          <w:noProof/>
          <w:sz w:val="24"/>
          <w:szCs w:val="24"/>
        </w:rPr>
        <w:t>Saati, 2014</w:t>
      </w:r>
      <w:r w:rsidR="00E14E06" w:rsidRPr="00E14E06">
        <w:rPr>
          <w:rFonts w:ascii="Century" w:hAnsi="Century" w:cs="Times New Roman"/>
          <w:noProof/>
          <w:sz w:val="24"/>
          <w:szCs w:val="24"/>
        </w:rPr>
        <w:t>)</w:t>
      </w:r>
      <w:r w:rsidR="00E14E06">
        <w:rPr>
          <w:rFonts w:ascii="Century" w:hAnsi="Century" w:cs="Times New Roman"/>
          <w:sz w:val="24"/>
          <w:szCs w:val="24"/>
        </w:rPr>
        <w:fldChar w:fldCharType="end"/>
      </w:r>
      <w:r w:rsidR="001F3AA0" w:rsidRPr="00867BFD">
        <w:rPr>
          <w:rFonts w:ascii="Century" w:hAnsi="Century" w:cs="Times New Roman"/>
          <w:sz w:val="24"/>
          <w:szCs w:val="24"/>
        </w:rPr>
        <w:t xml:space="preserve">) bahwa </w:t>
      </w:r>
      <w:r w:rsidR="0091522F" w:rsidRPr="00867BFD">
        <w:rPr>
          <w:rFonts w:ascii="Century" w:hAnsi="Century" w:cs="Times New Roman"/>
          <w:sz w:val="24"/>
          <w:szCs w:val="24"/>
        </w:rPr>
        <w:t xml:space="preserve">antosianin </w:t>
      </w:r>
      <w:r w:rsidR="001F3AA0" w:rsidRPr="00867BFD">
        <w:rPr>
          <w:rFonts w:ascii="Century" w:hAnsi="Century" w:cs="Times New Roman"/>
          <w:sz w:val="24"/>
          <w:szCs w:val="24"/>
        </w:rPr>
        <w:t xml:space="preserve">bunga </w:t>
      </w:r>
      <w:r w:rsidR="0091522F" w:rsidRPr="00867BFD">
        <w:rPr>
          <w:rFonts w:ascii="Century" w:hAnsi="Century" w:cs="Times New Roman"/>
          <w:sz w:val="24"/>
          <w:szCs w:val="24"/>
        </w:rPr>
        <w:t>mawar merah memiliki aktivitas antioksidan</w:t>
      </w:r>
      <w:r w:rsidR="001F3AA0" w:rsidRPr="00867BFD">
        <w:rPr>
          <w:rFonts w:ascii="Century" w:hAnsi="Century" w:cs="Times New Roman"/>
          <w:sz w:val="24"/>
          <w:szCs w:val="24"/>
        </w:rPr>
        <w:t xml:space="preserve">. Oleh karena itu </w:t>
      </w:r>
      <w:r w:rsidR="0091522F" w:rsidRPr="00867BFD">
        <w:rPr>
          <w:rFonts w:ascii="Century" w:hAnsi="Century" w:cs="Times New Roman"/>
          <w:sz w:val="24"/>
          <w:szCs w:val="24"/>
        </w:rPr>
        <w:t xml:space="preserve">keberlanjutan pendampingan dalam mewujudkan teh mawar sebagai minuman fungsional, perlu dilakukan </w:t>
      </w:r>
      <w:r w:rsidR="001F3AA0" w:rsidRPr="00867BFD">
        <w:rPr>
          <w:rFonts w:ascii="Century" w:hAnsi="Century" w:cs="Times New Roman"/>
          <w:sz w:val="24"/>
          <w:szCs w:val="24"/>
        </w:rPr>
        <w:t>dan di</w:t>
      </w:r>
      <w:r w:rsidR="0091522F" w:rsidRPr="00867BFD">
        <w:rPr>
          <w:rFonts w:ascii="Century" w:hAnsi="Century" w:cs="Times New Roman"/>
          <w:sz w:val="24"/>
          <w:szCs w:val="24"/>
        </w:rPr>
        <w:t>kaji</w:t>
      </w:r>
      <w:r w:rsidR="001F3AA0" w:rsidRPr="00867BFD">
        <w:rPr>
          <w:rFonts w:ascii="Century" w:hAnsi="Century" w:cs="Times New Roman"/>
          <w:sz w:val="24"/>
          <w:szCs w:val="24"/>
        </w:rPr>
        <w:t xml:space="preserve"> lebih</w:t>
      </w:r>
      <w:r w:rsidR="0091522F" w:rsidRPr="00867BFD">
        <w:rPr>
          <w:rFonts w:ascii="Century" w:hAnsi="Century" w:cs="Times New Roman"/>
          <w:sz w:val="24"/>
          <w:szCs w:val="24"/>
        </w:rPr>
        <w:t xml:space="preserve"> lebih lanjut </w:t>
      </w:r>
      <w:r w:rsidR="001F3AA0" w:rsidRPr="00867BFD">
        <w:rPr>
          <w:rFonts w:ascii="Century" w:hAnsi="Century" w:cs="Times New Roman"/>
          <w:sz w:val="24"/>
          <w:szCs w:val="24"/>
        </w:rPr>
        <w:t xml:space="preserve">kedepannya </w:t>
      </w:r>
      <w:r w:rsidR="0091522F" w:rsidRPr="00867BFD">
        <w:rPr>
          <w:rFonts w:ascii="Century" w:hAnsi="Century" w:cs="Times New Roman"/>
          <w:sz w:val="24"/>
          <w:szCs w:val="24"/>
        </w:rPr>
        <w:t xml:space="preserve">untuk </w:t>
      </w:r>
      <w:r w:rsidR="001F3AA0" w:rsidRPr="00867BFD">
        <w:rPr>
          <w:rFonts w:ascii="Century" w:hAnsi="Century" w:cs="Times New Roman"/>
          <w:sz w:val="24"/>
          <w:szCs w:val="24"/>
        </w:rPr>
        <w:t xml:space="preserve">analisis sifat fisiko-kimia teh dan kajian </w:t>
      </w:r>
      <w:r w:rsidR="0091522F" w:rsidRPr="00867BFD">
        <w:rPr>
          <w:rFonts w:ascii="Century" w:hAnsi="Century" w:cs="Times New Roman"/>
          <w:sz w:val="24"/>
          <w:szCs w:val="24"/>
        </w:rPr>
        <w:t xml:space="preserve">umum simpan </w:t>
      </w:r>
      <w:r w:rsidR="001F3AA0" w:rsidRPr="00867BFD">
        <w:rPr>
          <w:rFonts w:ascii="Century" w:hAnsi="Century" w:cs="Times New Roman"/>
          <w:sz w:val="24"/>
          <w:szCs w:val="24"/>
        </w:rPr>
        <w:t>teh.</w:t>
      </w:r>
      <w:r w:rsidR="0091522F" w:rsidRPr="00867BFD">
        <w:rPr>
          <w:rFonts w:ascii="Century" w:hAnsi="Century" w:cs="Times New Roman"/>
          <w:sz w:val="24"/>
          <w:szCs w:val="24"/>
        </w:rPr>
        <w:t xml:space="preserve"> </w:t>
      </w:r>
      <w:r w:rsidR="001F3AA0" w:rsidRPr="00867BFD">
        <w:rPr>
          <w:rFonts w:ascii="Century" w:hAnsi="Century" w:cs="Times New Roman"/>
          <w:sz w:val="24"/>
          <w:szCs w:val="24"/>
        </w:rPr>
        <w:t>S</w:t>
      </w:r>
      <w:r w:rsidR="0091522F" w:rsidRPr="00867BFD">
        <w:rPr>
          <w:rFonts w:ascii="Century" w:hAnsi="Century" w:cs="Times New Roman"/>
          <w:sz w:val="24"/>
          <w:szCs w:val="24"/>
        </w:rPr>
        <w:t>erta pe</w:t>
      </w:r>
      <w:r w:rsidR="001F3AA0" w:rsidRPr="00867BFD">
        <w:rPr>
          <w:rFonts w:ascii="Century" w:hAnsi="Century" w:cs="Times New Roman"/>
          <w:sz w:val="24"/>
          <w:szCs w:val="24"/>
        </w:rPr>
        <w:t>ngembangan inovasi produk pangan berbasis teh kelopak bunga mawar merah.</w:t>
      </w:r>
      <w:r w:rsidR="0091522F" w:rsidRPr="00867BFD">
        <w:rPr>
          <w:rFonts w:ascii="Century" w:hAnsi="Century" w:cs="Times New Roman"/>
          <w:sz w:val="24"/>
          <w:szCs w:val="24"/>
        </w:rPr>
        <w:t xml:space="preserve">  </w:t>
      </w:r>
    </w:p>
    <w:p w:rsidR="00733CDE" w:rsidRDefault="00733CDE" w:rsidP="00391E01">
      <w:pPr>
        <w:spacing w:after="0" w:line="276" w:lineRule="auto"/>
        <w:contextualSpacing/>
        <w:jc w:val="both"/>
        <w:rPr>
          <w:rFonts w:ascii="Times New Roman" w:hAnsi="Times New Roman" w:cs="Times New Roman"/>
          <w:sz w:val="24"/>
          <w:szCs w:val="24"/>
        </w:rPr>
      </w:pPr>
    </w:p>
    <w:p w:rsidR="005666D4" w:rsidRPr="00867BFD" w:rsidRDefault="005666D4" w:rsidP="00BC3E56">
      <w:pPr>
        <w:pStyle w:val="ListParagraph"/>
        <w:numPr>
          <w:ilvl w:val="0"/>
          <w:numId w:val="4"/>
        </w:numPr>
        <w:spacing w:after="0" w:line="276" w:lineRule="auto"/>
        <w:ind w:left="360"/>
        <w:rPr>
          <w:rFonts w:ascii="Century" w:hAnsi="Century"/>
          <w:b/>
          <w:szCs w:val="24"/>
        </w:rPr>
      </w:pPr>
      <w:r w:rsidRPr="00867BFD">
        <w:rPr>
          <w:rFonts w:ascii="Century" w:hAnsi="Century"/>
          <w:b/>
          <w:szCs w:val="24"/>
        </w:rPr>
        <w:t>Pelatihan Pengemasan Teh Mawar</w:t>
      </w:r>
    </w:p>
    <w:p w:rsidR="005666D4" w:rsidRPr="00867BFD" w:rsidRDefault="005666D4" w:rsidP="00391E01">
      <w:pPr>
        <w:spacing w:after="0" w:line="276" w:lineRule="auto"/>
        <w:contextualSpacing/>
        <w:jc w:val="both"/>
        <w:rPr>
          <w:rFonts w:ascii="Century" w:hAnsi="Century" w:cs="Times New Roman"/>
          <w:sz w:val="24"/>
          <w:szCs w:val="24"/>
        </w:rPr>
      </w:pPr>
      <w:r w:rsidRPr="00867BFD">
        <w:rPr>
          <w:rFonts w:ascii="Century" w:hAnsi="Century" w:cs="Times New Roman"/>
          <w:sz w:val="24"/>
          <w:szCs w:val="24"/>
        </w:rPr>
        <w:tab/>
        <w:t xml:space="preserve">Pelatihan perbaikan pengemasan teh mawar </w:t>
      </w:r>
      <w:r w:rsidR="001F3AA0" w:rsidRPr="00867BFD">
        <w:rPr>
          <w:rFonts w:ascii="Century" w:hAnsi="Century" w:cs="Times New Roman"/>
          <w:sz w:val="24"/>
          <w:szCs w:val="24"/>
        </w:rPr>
        <w:t xml:space="preserve">di Kelompok Wanita Tani (KWT) Putri Mawar </w:t>
      </w:r>
      <w:r w:rsidRPr="00867BFD">
        <w:rPr>
          <w:rFonts w:ascii="Century" w:hAnsi="Century" w:cs="Times New Roman"/>
          <w:sz w:val="24"/>
          <w:szCs w:val="24"/>
        </w:rPr>
        <w:t xml:space="preserve">dilakukan selama </w:t>
      </w:r>
      <w:r w:rsidR="001F3AA0" w:rsidRPr="00867BFD">
        <w:rPr>
          <w:rFonts w:ascii="Century" w:hAnsi="Century" w:cs="Times New Roman"/>
          <w:sz w:val="24"/>
          <w:szCs w:val="24"/>
        </w:rPr>
        <w:t>3</w:t>
      </w:r>
      <w:r w:rsidRPr="00867BFD">
        <w:rPr>
          <w:rFonts w:ascii="Century" w:hAnsi="Century" w:cs="Times New Roman"/>
          <w:sz w:val="24"/>
          <w:szCs w:val="24"/>
        </w:rPr>
        <w:t xml:space="preserve"> hari yaitu tanggal</w:t>
      </w:r>
      <w:r w:rsidR="001F3AA0" w:rsidRPr="00867BFD">
        <w:rPr>
          <w:rFonts w:ascii="Century" w:hAnsi="Century" w:cs="Times New Roman"/>
          <w:sz w:val="24"/>
          <w:szCs w:val="24"/>
        </w:rPr>
        <w:t xml:space="preserve"> 27 sampai 29 April</w:t>
      </w:r>
      <w:r w:rsidRPr="00867BFD">
        <w:rPr>
          <w:rFonts w:ascii="Century" w:hAnsi="Century" w:cs="Times New Roman"/>
          <w:sz w:val="24"/>
          <w:szCs w:val="24"/>
        </w:rPr>
        <w:t>2019, dengan peserta sejumlah 25 orang yang terdiri dari. Pada hari pertama</w:t>
      </w:r>
      <w:r w:rsidR="001F3AA0" w:rsidRPr="00867BFD">
        <w:rPr>
          <w:rFonts w:ascii="Century" w:hAnsi="Century" w:cs="Times New Roman"/>
          <w:sz w:val="24"/>
          <w:szCs w:val="24"/>
        </w:rPr>
        <w:t xml:space="preserve"> </w:t>
      </w:r>
      <w:r w:rsidR="008E4C08" w:rsidRPr="00867BFD">
        <w:rPr>
          <w:rFonts w:ascii="Century" w:hAnsi="Century" w:cs="Times New Roman"/>
          <w:sz w:val="24"/>
          <w:szCs w:val="24"/>
        </w:rPr>
        <w:t xml:space="preserve">dan kedua </w:t>
      </w:r>
      <w:r w:rsidRPr="00867BFD">
        <w:rPr>
          <w:rFonts w:ascii="Century" w:hAnsi="Century" w:cs="Times New Roman"/>
          <w:sz w:val="24"/>
          <w:szCs w:val="24"/>
        </w:rPr>
        <w:t>diberikan materi tentang 1) proses produksi teh mawar, 2) pengemasan produk, 3) potensi pasar dan strategi pemasaran produk teh mawar. Pada hari ke</w:t>
      </w:r>
      <w:r w:rsidR="008E4C08" w:rsidRPr="00867BFD">
        <w:rPr>
          <w:rFonts w:ascii="Century" w:hAnsi="Century" w:cs="Times New Roman"/>
          <w:sz w:val="24"/>
          <w:szCs w:val="24"/>
        </w:rPr>
        <w:t>tiga</w:t>
      </w:r>
      <w:r w:rsidRPr="00867BFD">
        <w:rPr>
          <w:rFonts w:ascii="Century" w:hAnsi="Century" w:cs="Times New Roman"/>
          <w:sz w:val="24"/>
          <w:szCs w:val="24"/>
        </w:rPr>
        <w:t xml:space="preserve"> praktek langsung pengemasan teh mawar dengan berbareng Tim Pendamping dari LSM yaitu SPEK-HAM Surakarta yang telah menfasilitasi sejumlah peralatan untuk pengemasan seperti </w:t>
      </w:r>
      <w:r w:rsidRPr="00867BFD">
        <w:rPr>
          <w:rFonts w:ascii="Century" w:hAnsi="Century" w:cs="Times New Roman"/>
          <w:i/>
          <w:sz w:val="24"/>
          <w:szCs w:val="24"/>
        </w:rPr>
        <w:t>hand sealer</w:t>
      </w:r>
      <w:r w:rsidRPr="00867BFD">
        <w:rPr>
          <w:rFonts w:ascii="Century" w:hAnsi="Century" w:cs="Times New Roman"/>
          <w:sz w:val="24"/>
          <w:szCs w:val="24"/>
        </w:rPr>
        <w:t xml:space="preserve"> dan bahan pengemas. </w:t>
      </w:r>
      <w:r w:rsidR="008E5E7A" w:rsidRPr="00867BFD">
        <w:rPr>
          <w:rFonts w:ascii="Century" w:hAnsi="Century" w:cs="Times New Roman"/>
          <w:sz w:val="24"/>
          <w:szCs w:val="24"/>
        </w:rPr>
        <w:t>Peserta diajak langsung untuk melakukan praktek produksi teh mawar dan tutorial pengemasan terhadap produk.</w:t>
      </w:r>
    </w:p>
    <w:p w:rsidR="008E5E7A" w:rsidRPr="00867BFD" w:rsidRDefault="008E5E7A" w:rsidP="00391E01">
      <w:pPr>
        <w:spacing w:after="0" w:line="276" w:lineRule="auto"/>
        <w:contextualSpacing/>
        <w:jc w:val="both"/>
        <w:rPr>
          <w:rFonts w:ascii="Century" w:hAnsi="Century" w:cs="Times New Roman"/>
          <w:sz w:val="24"/>
          <w:szCs w:val="24"/>
        </w:rPr>
      </w:pPr>
      <w:r w:rsidRPr="00867BFD">
        <w:rPr>
          <w:rFonts w:ascii="Century" w:hAnsi="Century" w:cs="Times New Roman"/>
          <w:sz w:val="24"/>
          <w:szCs w:val="24"/>
        </w:rPr>
        <w:tab/>
        <w:t>Peserta sangat antusia</w:t>
      </w:r>
      <w:r w:rsidR="008E4C08" w:rsidRPr="00867BFD">
        <w:rPr>
          <w:rFonts w:ascii="Century" w:hAnsi="Century" w:cs="Times New Roman"/>
          <w:sz w:val="24"/>
          <w:szCs w:val="24"/>
        </w:rPr>
        <w:t>s</w:t>
      </w:r>
      <w:r w:rsidRPr="00867BFD">
        <w:rPr>
          <w:rFonts w:ascii="Century" w:hAnsi="Century" w:cs="Times New Roman"/>
          <w:sz w:val="24"/>
          <w:szCs w:val="24"/>
        </w:rPr>
        <w:t xml:space="preserve"> dalam mengikuti kegiatan dan memberikan respon positif terhadap materi yang diberikan. Hal ini ditandai dengan adanya pertanyaan dan diskusi yang aktif selama proses pelatihan dari kelompok dalam </w:t>
      </w:r>
      <w:r w:rsidRPr="00867BFD">
        <w:rPr>
          <w:rFonts w:ascii="Century" w:hAnsi="Century" w:cs="Times New Roman"/>
          <w:sz w:val="24"/>
          <w:szCs w:val="24"/>
        </w:rPr>
        <w:lastRenderedPageBreak/>
        <w:t xml:space="preserve">pembuatan produk dan praktek pengemasan teh mawar. Gambaran pelaksanaan pelatihan dan pendampingan di kelompok Putri Mawar dapat dilihat pada Gambar </w:t>
      </w:r>
      <w:r w:rsidR="008E4C08" w:rsidRPr="00867BFD">
        <w:rPr>
          <w:rFonts w:ascii="Century" w:hAnsi="Century" w:cs="Times New Roman"/>
          <w:sz w:val="24"/>
          <w:szCs w:val="24"/>
        </w:rPr>
        <w:t>2</w:t>
      </w:r>
      <w:r w:rsidRPr="00867BFD">
        <w:rPr>
          <w:rFonts w:ascii="Century" w:hAnsi="Century" w:cs="Times New Roman"/>
          <w:sz w:val="24"/>
          <w:szCs w:val="24"/>
        </w:rPr>
        <w:t xml:space="preserve">. </w:t>
      </w:r>
    </w:p>
    <w:p w:rsidR="00867BFD" w:rsidRPr="00867BFD" w:rsidRDefault="00867BFD" w:rsidP="00867BFD">
      <w:pPr>
        <w:spacing w:after="0" w:line="276" w:lineRule="auto"/>
        <w:ind w:firstLine="720"/>
        <w:jc w:val="both"/>
        <w:rPr>
          <w:rFonts w:ascii="Century" w:hAnsi="Century" w:cs="Times New Roman"/>
          <w:sz w:val="24"/>
          <w:szCs w:val="24"/>
        </w:rPr>
      </w:pPr>
      <w:r w:rsidRPr="00867BFD">
        <w:rPr>
          <w:rFonts w:ascii="Century" w:hAnsi="Century" w:cs="Times New Roman"/>
          <w:sz w:val="24"/>
          <w:szCs w:val="24"/>
        </w:rPr>
        <w:t>Pengemasan produk memegang peranan penting terhadap suatu produk pangan baik makanan maupun minuman. Kemasan produk memiliki fungsi utama untuk mewadahi dan melindungi produk dari bahaya fisik, kimia dan biologis pada produk yang dikemas mulai dari proses produksi sampai distribusi. Hal lain yang tidak kalah pentingnya yaitu memudahkan konsumen untuk mengenali suatu produk, karena dalam kemasan tercantum identitas produk seperti nama produk, komposisi bahan yang digunakan, alamat produsen, tanggal kedaluwarsa produk, dan legalitas ijin produksi untuk produk atau PIRT. Pengemasan dengan desain kemasan yang menarik menyebabkan produk menjadi komu</w:t>
      </w:r>
      <w:r w:rsidR="00FE6041">
        <w:rPr>
          <w:rFonts w:ascii="Century" w:hAnsi="Century" w:cs="Times New Roman"/>
          <w:sz w:val="24"/>
          <w:szCs w:val="24"/>
        </w:rPr>
        <w:t>n</w:t>
      </w:r>
      <w:r w:rsidRPr="00867BFD">
        <w:rPr>
          <w:rFonts w:ascii="Century" w:hAnsi="Century" w:cs="Times New Roman"/>
          <w:sz w:val="24"/>
          <w:szCs w:val="24"/>
        </w:rPr>
        <w:t>ikatif. Hal ini berdampak akan meningkatkan daya Tarik konsumen dalam membeli produk sehingga nilai jual produk dapat ditingkatkan</w:t>
      </w:r>
      <w:r w:rsidR="007A5F88">
        <w:rPr>
          <w:rFonts w:ascii="Century" w:hAnsi="Century" w:cs="Times New Roman"/>
          <w:sz w:val="24"/>
          <w:szCs w:val="24"/>
        </w:rPr>
        <w:t xml:space="preserve"> </w:t>
      </w:r>
      <w:r w:rsidR="007A5F88">
        <w:rPr>
          <w:rFonts w:ascii="Century" w:hAnsi="Century" w:cs="Times New Roman"/>
          <w:sz w:val="24"/>
          <w:szCs w:val="24"/>
        </w:rPr>
        <w:fldChar w:fldCharType="begin" w:fldLock="1"/>
      </w:r>
      <w:r w:rsidR="009B52DB">
        <w:rPr>
          <w:rFonts w:ascii="Century" w:hAnsi="Century" w:cs="Times New Roman"/>
          <w:sz w:val="24"/>
          <w:szCs w:val="24"/>
        </w:rPr>
        <w:instrText>ADDIN CSL_CITATION {"citationItems":[{"id":"ITEM-1","itemData":{"author":[{"dropping-particle":"","family":"Febianti","given":"Evi","non-dropping-particle":"","parse-names":false,"suffix":""},{"dropping-particle":"","family":"Umyati","given":"Ani","non-dropping-particle":"","parse-names":false,"suffix":""}],"id":"ITEM-1","issued":{"date-parts":[["2019"]]},"page":"70-74","title":"PELATIHAN TEKNIK PENGEMASAN PRODUK PANGAN UNGGULAN","type":"article-journal","volume":"1"},"uris":["http://www.mendeley.com/documents/?uuid=6edb0a40-cac9-49c8-ad3d-85f67d4c77c4"]}],"mendeley":{"formattedCitation":"(Febianti &amp; Umyati, 2019)","manualFormatting":"(Febianti &amp; Umyati, 2019","plainTextFormattedCitation":"(Febianti &amp; Umyati, 2019)","previouslyFormattedCitation":"(Febianti &amp; Umyati, 2019)"},"properties":{"noteIndex":0},"schema":"https://github.com/citation-style-language/schema/raw/master/csl-citation.json"}</w:instrText>
      </w:r>
      <w:r w:rsidR="007A5F88">
        <w:rPr>
          <w:rFonts w:ascii="Century" w:hAnsi="Century" w:cs="Times New Roman"/>
          <w:sz w:val="24"/>
          <w:szCs w:val="24"/>
        </w:rPr>
        <w:fldChar w:fldCharType="separate"/>
      </w:r>
      <w:r w:rsidR="007A5F88" w:rsidRPr="007A5F88">
        <w:rPr>
          <w:rFonts w:ascii="Century" w:hAnsi="Century" w:cs="Times New Roman"/>
          <w:noProof/>
          <w:sz w:val="24"/>
          <w:szCs w:val="24"/>
        </w:rPr>
        <w:t>(Febianti &amp; Umyati, 2019</w:t>
      </w:r>
      <w:r w:rsidR="007A5F88">
        <w:rPr>
          <w:rFonts w:ascii="Century" w:hAnsi="Century" w:cs="Times New Roman"/>
          <w:sz w:val="24"/>
          <w:szCs w:val="24"/>
        </w:rPr>
        <w:fldChar w:fldCharType="end"/>
      </w:r>
      <w:r w:rsidR="005F68F0">
        <w:rPr>
          <w:rFonts w:ascii="Century" w:hAnsi="Century" w:cs="Times New Roman"/>
          <w:sz w:val="24"/>
          <w:szCs w:val="24"/>
        </w:rPr>
        <w:t>;</w:t>
      </w:r>
      <w:r w:rsidR="009B52DB">
        <w:rPr>
          <w:rFonts w:ascii="Century" w:hAnsi="Century" w:cs="Times New Roman"/>
          <w:sz w:val="24"/>
          <w:szCs w:val="24"/>
        </w:rPr>
        <w:t xml:space="preserve"> </w:t>
      </w:r>
      <w:r w:rsidR="009B52DB">
        <w:rPr>
          <w:rFonts w:ascii="Century" w:hAnsi="Century" w:cs="Times New Roman"/>
          <w:sz w:val="24"/>
          <w:szCs w:val="24"/>
        </w:rPr>
        <w:fldChar w:fldCharType="begin" w:fldLock="1"/>
      </w:r>
      <w:r w:rsidR="00E158A9">
        <w:rPr>
          <w:rFonts w:ascii="Century" w:hAnsi="Century" w:cs="Times New Roman"/>
          <w:sz w:val="24"/>
          <w:szCs w:val="24"/>
        </w:rPr>
        <w:instrText>ADDIN CSL_CITATION {"citationItems":[{"id":"ITEM-1","itemData":{"DOI":"10.33005/jtp.v11i2.897","ISSN":"1978-4163","author":[{"dropping-particle":"","family":"Suhaemi","given":"Emi","non-dropping-particle":"","parse-names":false,"suffix":""},{"dropping-particle":"","family":"Basuki","given":"Eko","non-dropping-particle":"","parse-names":false,"suffix":""},{"dropping-particle":"","family":"Prarudiyanto","given":"Agustono","non-dropping-particle":"","parse-names":false,"suffix":""}],"container-title":"Jurnal Teknologi Pangan","id":"ITEM-1","issued":{"date-parts":[["2018"]]},"title":"PENGARUH KOMBINASI JENIS DAN TEKNIK PENGEMASAN TERHADAP SIFAT KIMIA, MIKROBIOLOGI DAN ORGANOLEPTIK BUMBU AYAM TALIWANG KHAS LOMBOK SELAMA PENYIMPANAN","type":"article-journal"},"uris":["http://www.mendeley.com/documents/?uuid=ca6d52d3-d78d-42a8-8bc0-ade5e9d23f38"]}],"mendeley":{"formattedCitation":"(Suhaemi, Basuki, &amp; Prarudiyanto, 2018)","manualFormatting":"Suhaemi, Basuki, &amp; Prarudiyanto, 2018)","plainTextFormattedCitation":"(Suhaemi, Basuki, &amp; Prarudiyanto, 2018)","previouslyFormattedCitation":"(Suhaemi, Basuki, &amp; Prarudiyanto, 2018)"},"properties":{"noteIndex":0},"schema":"https://github.com/citation-style-language/schema/raw/master/csl-citation.json"}</w:instrText>
      </w:r>
      <w:r w:rsidR="009B52DB">
        <w:rPr>
          <w:rFonts w:ascii="Century" w:hAnsi="Century" w:cs="Times New Roman"/>
          <w:sz w:val="24"/>
          <w:szCs w:val="24"/>
        </w:rPr>
        <w:fldChar w:fldCharType="separate"/>
      </w:r>
      <w:r w:rsidR="009B52DB" w:rsidRPr="009B52DB">
        <w:rPr>
          <w:rFonts w:ascii="Century" w:hAnsi="Century" w:cs="Times New Roman"/>
          <w:noProof/>
          <w:sz w:val="24"/>
          <w:szCs w:val="24"/>
        </w:rPr>
        <w:t>Suhaemi, Basuki, &amp; Prarudiyanto, 2018)</w:t>
      </w:r>
      <w:r w:rsidR="009B52DB">
        <w:rPr>
          <w:rFonts w:ascii="Century" w:hAnsi="Century" w:cs="Times New Roman"/>
          <w:sz w:val="24"/>
          <w:szCs w:val="24"/>
        </w:rPr>
        <w:fldChar w:fldCharType="end"/>
      </w:r>
      <w:r w:rsidR="008579BB">
        <w:rPr>
          <w:rFonts w:ascii="Century" w:hAnsi="Century" w:cs="Times New Roman"/>
          <w:sz w:val="24"/>
          <w:szCs w:val="24"/>
        </w:rPr>
        <w:t xml:space="preserve"> </w:t>
      </w:r>
      <w:r w:rsidRPr="00867BFD">
        <w:rPr>
          <w:rFonts w:ascii="Century" w:hAnsi="Century" w:cs="Times New Roman"/>
          <w:sz w:val="24"/>
          <w:szCs w:val="24"/>
        </w:rPr>
        <w:t>.</w:t>
      </w:r>
    </w:p>
    <w:p w:rsidR="008E4C08" w:rsidRDefault="008E4C08" w:rsidP="00391E01">
      <w:pPr>
        <w:spacing w:after="0" w:line="276" w:lineRule="auto"/>
        <w:contextualSpacing/>
        <w:jc w:val="both"/>
        <w:rPr>
          <w:rFonts w:ascii="Times New Roman" w:hAnsi="Times New Roman" w:cs="Times New Roman"/>
          <w:sz w:val="24"/>
          <w:szCs w:val="24"/>
        </w:rPr>
      </w:pPr>
    </w:p>
    <w:tbl>
      <w:tblPr>
        <w:tblStyle w:val="TableGrid"/>
        <w:tblpPr w:leftFromText="180" w:rightFromText="180" w:vertAnchor="text" w:horzAnchor="margin" w:tblpY="15"/>
        <w:tblW w:w="0" w:type="auto"/>
        <w:tblLook w:val="04A0" w:firstRow="1" w:lastRow="0" w:firstColumn="1" w:lastColumn="0" w:noHBand="0" w:noVBand="1"/>
      </w:tblPr>
      <w:tblGrid>
        <w:gridCol w:w="4296"/>
        <w:gridCol w:w="4026"/>
      </w:tblGrid>
      <w:tr w:rsidR="008E4C08" w:rsidTr="008E4C08">
        <w:tc>
          <w:tcPr>
            <w:tcW w:w="4171" w:type="dxa"/>
          </w:tcPr>
          <w:p w:rsidR="008E4C08" w:rsidRDefault="008E4C08" w:rsidP="008E4C08">
            <w:pPr>
              <w:widowControl w:val="0"/>
              <w:overflowPunct w:val="0"/>
              <w:autoSpaceDE w:val="0"/>
              <w:autoSpaceDN w:val="0"/>
              <w:adjustRightInd w:val="0"/>
              <w:spacing w:line="360" w:lineRule="auto"/>
              <w:rPr>
                <w:rFonts w:eastAsia="Times New Roman" w:cs="Times New Roman"/>
                <w:szCs w:val="24"/>
              </w:rPr>
            </w:pPr>
            <w:r>
              <w:rPr>
                <w:noProof/>
              </w:rPr>
              <w:drawing>
                <wp:inline distT="0" distB="0" distL="0" distR="0" wp14:anchorId="60D3C8FE" wp14:editId="37D2B541">
                  <wp:extent cx="2591134" cy="21621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607671" cy="2175974"/>
                          </a:xfrm>
                          <a:prstGeom prst="rect">
                            <a:avLst/>
                          </a:prstGeom>
                        </pic:spPr>
                      </pic:pic>
                    </a:graphicData>
                  </a:graphic>
                </wp:inline>
              </w:drawing>
            </w:r>
          </w:p>
        </w:tc>
        <w:tc>
          <w:tcPr>
            <w:tcW w:w="4026" w:type="dxa"/>
          </w:tcPr>
          <w:p w:rsidR="008E4C08" w:rsidRDefault="008E4C08" w:rsidP="008E4C08">
            <w:pPr>
              <w:widowControl w:val="0"/>
              <w:overflowPunct w:val="0"/>
              <w:autoSpaceDE w:val="0"/>
              <w:autoSpaceDN w:val="0"/>
              <w:adjustRightInd w:val="0"/>
              <w:spacing w:line="360" w:lineRule="auto"/>
              <w:rPr>
                <w:rFonts w:eastAsia="Times New Roman" w:cs="Times New Roman"/>
                <w:szCs w:val="24"/>
              </w:rPr>
            </w:pPr>
            <w:r>
              <w:rPr>
                <w:noProof/>
              </w:rPr>
              <w:drawing>
                <wp:inline distT="0" distB="0" distL="0" distR="0" wp14:anchorId="3395E379" wp14:editId="18446011">
                  <wp:extent cx="2409825" cy="21621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418374" cy="2169845"/>
                          </a:xfrm>
                          <a:prstGeom prst="rect">
                            <a:avLst/>
                          </a:prstGeom>
                        </pic:spPr>
                      </pic:pic>
                    </a:graphicData>
                  </a:graphic>
                </wp:inline>
              </w:drawing>
            </w:r>
          </w:p>
        </w:tc>
      </w:tr>
      <w:tr w:rsidR="008E4C08" w:rsidTr="008E4C08">
        <w:tc>
          <w:tcPr>
            <w:tcW w:w="8197" w:type="dxa"/>
            <w:gridSpan w:val="2"/>
          </w:tcPr>
          <w:p w:rsidR="008E4C08" w:rsidRDefault="008E4C08" w:rsidP="008E4C08">
            <w:pPr>
              <w:widowControl w:val="0"/>
              <w:overflowPunct w:val="0"/>
              <w:autoSpaceDE w:val="0"/>
              <w:autoSpaceDN w:val="0"/>
              <w:adjustRightInd w:val="0"/>
              <w:spacing w:line="360" w:lineRule="auto"/>
              <w:jc w:val="center"/>
              <w:rPr>
                <w:rFonts w:eastAsia="Times New Roman" w:cs="Times New Roman"/>
                <w:szCs w:val="24"/>
              </w:rPr>
            </w:pPr>
            <w:r>
              <w:rPr>
                <w:rFonts w:eastAsia="Times New Roman" w:cs="Times New Roman"/>
                <w:szCs w:val="24"/>
              </w:rPr>
              <w:t xml:space="preserve">Gambar 2. Pelaksanaan pendampingan dan desain kemasan produk </w:t>
            </w:r>
          </w:p>
        </w:tc>
      </w:tr>
    </w:tbl>
    <w:p w:rsidR="003006DA" w:rsidRDefault="003006DA" w:rsidP="008E4C08">
      <w:pPr>
        <w:spacing w:after="0" w:line="276" w:lineRule="auto"/>
        <w:contextualSpacing/>
        <w:jc w:val="both"/>
        <w:rPr>
          <w:rFonts w:ascii="Times New Roman" w:hAnsi="Times New Roman" w:cs="Times New Roman"/>
          <w:sz w:val="24"/>
          <w:szCs w:val="24"/>
        </w:rPr>
      </w:pPr>
    </w:p>
    <w:p w:rsidR="008E4C08" w:rsidRPr="00867BFD" w:rsidRDefault="008E4C08" w:rsidP="008E4C08">
      <w:pPr>
        <w:spacing w:after="0" w:line="276" w:lineRule="auto"/>
        <w:ind w:firstLine="720"/>
        <w:jc w:val="both"/>
        <w:rPr>
          <w:rFonts w:ascii="Century" w:hAnsi="Century" w:cs="Times New Roman"/>
          <w:sz w:val="24"/>
          <w:szCs w:val="24"/>
        </w:rPr>
      </w:pPr>
      <w:r w:rsidRPr="00867BFD">
        <w:rPr>
          <w:rFonts w:ascii="Century" w:hAnsi="Century" w:cs="Times New Roman"/>
          <w:sz w:val="24"/>
          <w:szCs w:val="24"/>
        </w:rPr>
        <w:t>Hasil program pengabdian masyarakat dengan Kelompok Putri Mawar di desa Clutang diharapkan dapat semakin memperluas akses pasar. Keberlanjutan pemasaran produk merupakan salah satu kunci dalam keberhasilan usaha teh dari petal bunga mawar. Tampilan produk teh untuk pasar regular dikemas dengan plastik transparan. Sedangkan untuk kelas premium dikemas dengan tampilan model tertutup  eksklusif yaitu dengan dibuat menjadi dua jenis ada yang bentuk teh curah dan ada yang dikemas dalam bentuk teh celup. Perbaikan kemasan teh dari petal bunga mawar tersebut dapat dilihat pada Gambar.2.</w:t>
      </w:r>
    </w:p>
    <w:p w:rsidR="008E4C08" w:rsidRPr="00305A9E" w:rsidRDefault="008E4C08" w:rsidP="008E4C08">
      <w:pPr>
        <w:spacing w:after="0" w:line="276" w:lineRule="auto"/>
        <w:ind w:firstLine="720"/>
        <w:jc w:val="both"/>
        <w:rPr>
          <w:rFonts w:ascii="Times New Roman" w:hAnsi="Times New Roman" w:cs="Times New Roman"/>
          <w:sz w:val="24"/>
          <w:szCs w:val="24"/>
        </w:rPr>
      </w:pPr>
    </w:p>
    <w:p w:rsidR="0091522F" w:rsidRPr="00867BFD" w:rsidRDefault="00733CDE" w:rsidP="008E4C08">
      <w:pPr>
        <w:pStyle w:val="ListParagraph"/>
        <w:numPr>
          <w:ilvl w:val="0"/>
          <w:numId w:val="4"/>
        </w:numPr>
        <w:spacing w:after="0" w:line="276" w:lineRule="auto"/>
        <w:ind w:left="360"/>
        <w:rPr>
          <w:rFonts w:ascii="Century" w:hAnsi="Century"/>
          <w:b/>
          <w:szCs w:val="24"/>
        </w:rPr>
      </w:pPr>
      <w:r w:rsidRPr="00867BFD">
        <w:rPr>
          <w:rFonts w:ascii="Century" w:hAnsi="Century"/>
          <w:b/>
          <w:szCs w:val="24"/>
        </w:rPr>
        <w:t>Perijinan P-IRT</w:t>
      </w:r>
    </w:p>
    <w:p w:rsidR="00733CDE" w:rsidRPr="00867BFD" w:rsidRDefault="00733CDE" w:rsidP="00391E01">
      <w:pPr>
        <w:spacing w:after="0" w:line="276" w:lineRule="auto"/>
        <w:contextualSpacing/>
        <w:jc w:val="both"/>
        <w:rPr>
          <w:rFonts w:ascii="Century" w:hAnsi="Century" w:cs="Times New Roman"/>
          <w:sz w:val="24"/>
          <w:szCs w:val="24"/>
        </w:rPr>
      </w:pPr>
      <w:r w:rsidRPr="00867BFD">
        <w:rPr>
          <w:rFonts w:ascii="Century" w:hAnsi="Century" w:cs="Times New Roman"/>
          <w:b/>
          <w:sz w:val="24"/>
          <w:szCs w:val="24"/>
        </w:rPr>
        <w:lastRenderedPageBreak/>
        <w:tab/>
      </w:r>
      <w:r w:rsidRPr="00867BFD">
        <w:rPr>
          <w:rFonts w:ascii="Century" w:hAnsi="Century" w:cs="Times New Roman"/>
          <w:sz w:val="24"/>
          <w:szCs w:val="24"/>
        </w:rPr>
        <w:t>Teh bunga mawar merupakan salah satu produk makanan yang mendapatkan pengawasan dalam pemasaran dari pihak berwenang atau pemangku pemerintah melalui dinas terkait. Produk yang beredar di masyarakat tidak dapat sembarangan dijual kepada konsumen tanpa adanya ijin yang menerangkan bahwa makanan tersebut aman untuk dikonsumsi oleh masyarakat. Selain itu, demikian juga terhadap pembeli, harus lebih selektif dalam memilih mana makanan yang layak untuk dikonsumsi. Oleh karena itu sertifikat P-IRT atau Pangan Industri Rumah Tangga sangat perlu untuk dilakukan. Mengingat ijin P-IRT yang dikeluarkan oleh Dinas Kesehatan kabupaten atau kota bagi produk makanan yang diproduksi oleh usaha kecil sudah melalui beberapa tahapan uji sehingga keamanan produk dapat dipertanggunggjawabkan sebagai produk yang aman untuk dikonsumsi</w:t>
      </w:r>
      <w:r w:rsidR="009B52DB">
        <w:rPr>
          <w:rFonts w:ascii="Century" w:hAnsi="Century" w:cs="Times New Roman"/>
          <w:sz w:val="24"/>
          <w:szCs w:val="24"/>
        </w:rPr>
        <w:t xml:space="preserve"> </w:t>
      </w:r>
      <w:r w:rsidRPr="00867BFD">
        <w:rPr>
          <w:rFonts w:ascii="Century" w:hAnsi="Century" w:cs="Times New Roman"/>
          <w:sz w:val="24"/>
          <w:szCs w:val="24"/>
        </w:rPr>
        <w:t xml:space="preserve"> </w:t>
      </w:r>
      <w:r w:rsidR="00E158A9">
        <w:rPr>
          <w:rFonts w:ascii="Century" w:hAnsi="Century" w:cs="Times New Roman"/>
          <w:sz w:val="24"/>
          <w:szCs w:val="24"/>
        </w:rPr>
        <w:fldChar w:fldCharType="begin" w:fldLock="1"/>
      </w:r>
      <w:r w:rsidR="00E158A9">
        <w:rPr>
          <w:rFonts w:ascii="Century" w:hAnsi="Century" w:cs="Times New Roman"/>
          <w:sz w:val="24"/>
          <w:szCs w:val="24"/>
        </w:rPr>
        <w:instrText>ADDIN CSL_CITATION {"citationItems":[{"id":"ITEM-1","itemData":{"ISSN":"2654-5918","author":[{"dropping-particle":"","family":"Meitridwiastiti","given":"A A Ayu","non-dropping-particle":"","parse-names":false,"suffix":""},{"dropping-particle":"","family":"Viona","given":"Ni Kadek","non-dropping-particle":"","parse-names":false,"suffix":""}],"container-title":"WIDYABHAKTI Jurnal Ilmiah Populer","id":"ITEM-1","issue":"3","issued":{"date-parts":[["2019"]]},"page":"60-66","title":"Penyuluhan Penggunaan Bahasa Pada Kemasan dan Ijin PIRT Pada IRT Saur Bali","type":"article-journal","volume":"1"},"uris":["http://www.mendeley.com/documents/?uuid=584997b9-5186-4e39-9ed7-ef00f47f228b"]}],"mendeley":{"formattedCitation":"(Meitridwiastiti &amp; Viona, 2019)","plainTextFormattedCitation":"(Meitridwiastiti &amp; Viona, 2019)"},"properties":{"noteIndex":0},"schema":"https://github.com/citation-style-language/schema/raw/master/csl-citation.json"}</w:instrText>
      </w:r>
      <w:r w:rsidR="00E158A9">
        <w:rPr>
          <w:rFonts w:ascii="Century" w:hAnsi="Century" w:cs="Times New Roman"/>
          <w:sz w:val="24"/>
          <w:szCs w:val="24"/>
        </w:rPr>
        <w:fldChar w:fldCharType="separate"/>
      </w:r>
      <w:r w:rsidR="00E158A9" w:rsidRPr="00E158A9">
        <w:rPr>
          <w:rFonts w:ascii="Century" w:hAnsi="Century" w:cs="Times New Roman"/>
          <w:noProof/>
          <w:sz w:val="24"/>
          <w:szCs w:val="24"/>
        </w:rPr>
        <w:t>(Meitridwiastiti &amp; Viona, 2019)</w:t>
      </w:r>
      <w:r w:rsidR="00E158A9">
        <w:rPr>
          <w:rFonts w:ascii="Century" w:hAnsi="Century" w:cs="Times New Roman"/>
          <w:sz w:val="24"/>
          <w:szCs w:val="24"/>
        </w:rPr>
        <w:fldChar w:fldCharType="end"/>
      </w:r>
      <w:r w:rsidR="00E158A9">
        <w:rPr>
          <w:rFonts w:ascii="Century" w:hAnsi="Century" w:cs="Times New Roman"/>
          <w:sz w:val="24"/>
          <w:szCs w:val="24"/>
        </w:rPr>
        <w:t>.</w:t>
      </w:r>
    </w:p>
    <w:p w:rsidR="0028420E" w:rsidRDefault="0028420E" w:rsidP="00391E01">
      <w:pPr>
        <w:spacing w:after="0" w:line="276" w:lineRule="auto"/>
        <w:contextualSpacing/>
        <w:jc w:val="both"/>
        <w:rPr>
          <w:rFonts w:ascii="Century" w:hAnsi="Century" w:cs="Times New Roman"/>
          <w:sz w:val="24"/>
          <w:szCs w:val="24"/>
        </w:rPr>
      </w:pPr>
      <w:r w:rsidRPr="00867BFD">
        <w:rPr>
          <w:rFonts w:ascii="Century" w:hAnsi="Century" w:cs="Times New Roman"/>
          <w:sz w:val="24"/>
          <w:szCs w:val="24"/>
        </w:rPr>
        <w:tab/>
        <w:t xml:space="preserve">Teh </w:t>
      </w:r>
      <w:r w:rsidR="006E1278" w:rsidRPr="00867BFD">
        <w:rPr>
          <w:rFonts w:ascii="Century" w:hAnsi="Century" w:cs="Times New Roman"/>
          <w:sz w:val="24"/>
          <w:szCs w:val="24"/>
        </w:rPr>
        <w:t xml:space="preserve">dari petal bunga </w:t>
      </w:r>
      <w:r w:rsidRPr="00867BFD">
        <w:rPr>
          <w:rFonts w:ascii="Century" w:hAnsi="Century" w:cs="Times New Roman"/>
          <w:sz w:val="24"/>
          <w:szCs w:val="24"/>
        </w:rPr>
        <w:t xml:space="preserve">mawar </w:t>
      </w:r>
      <w:r w:rsidR="006E1278" w:rsidRPr="00867BFD">
        <w:rPr>
          <w:rFonts w:ascii="Century" w:hAnsi="Century" w:cs="Times New Roman"/>
          <w:sz w:val="24"/>
          <w:szCs w:val="24"/>
        </w:rPr>
        <w:t xml:space="preserve">merah </w:t>
      </w:r>
      <w:r w:rsidRPr="00867BFD">
        <w:rPr>
          <w:rFonts w:ascii="Century" w:hAnsi="Century" w:cs="Times New Roman"/>
          <w:sz w:val="24"/>
          <w:szCs w:val="24"/>
        </w:rPr>
        <w:t xml:space="preserve">sebagai produk UKM Putri Mawar telah mengajukan P-IRT dan kelompok telah mengikuti serangkaian kegiatan dalam proses pengajuan. sampai dengan disusunnya tulisan ini proses P-IRT dinyatakan bahwa dari segi kondisi produksi dan tempat usaha UKM telah layak mendapatkan sertifikat P-IRT dan tahap proses selanjutnya menunggu visitasi lapangan. </w:t>
      </w:r>
      <w:r w:rsidR="00F531C1" w:rsidRPr="00867BFD">
        <w:rPr>
          <w:rFonts w:ascii="Century" w:hAnsi="Century" w:cs="Times New Roman"/>
          <w:sz w:val="24"/>
          <w:szCs w:val="24"/>
        </w:rPr>
        <w:t>Diharapkan dengan kelengkapan ijin P-IRT untuk produk teh maka pemasaran produk menjadi lebih luas bukan hanya di retail tradisional tetapi juga retail modern.</w:t>
      </w:r>
    </w:p>
    <w:p w:rsidR="00E158A9" w:rsidRPr="00867BFD" w:rsidRDefault="00E158A9" w:rsidP="00391E01">
      <w:pPr>
        <w:spacing w:after="0" w:line="276" w:lineRule="auto"/>
        <w:contextualSpacing/>
        <w:jc w:val="both"/>
        <w:rPr>
          <w:rFonts w:ascii="Century" w:hAnsi="Century" w:cs="Times New Roman"/>
          <w:sz w:val="24"/>
          <w:szCs w:val="24"/>
        </w:rPr>
      </w:pPr>
    </w:p>
    <w:p w:rsidR="0091522F" w:rsidRPr="00867BFD" w:rsidRDefault="0091522F" w:rsidP="00BC3E56">
      <w:pPr>
        <w:pStyle w:val="CM2"/>
        <w:numPr>
          <w:ilvl w:val="0"/>
          <w:numId w:val="3"/>
        </w:numPr>
        <w:spacing w:line="276" w:lineRule="auto"/>
        <w:ind w:left="360"/>
        <w:contextualSpacing/>
        <w:jc w:val="both"/>
        <w:rPr>
          <w:rFonts w:ascii="Century" w:hAnsi="Century"/>
          <w:b/>
          <w:bCs/>
          <w:color w:val="000000"/>
        </w:rPr>
      </w:pPr>
      <w:r w:rsidRPr="00867BFD">
        <w:rPr>
          <w:rFonts w:ascii="Century" w:hAnsi="Century"/>
          <w:b/>
          <w:bCs/>
          <w:color w:val="000000"/>
        </w:rPr>
        <w:t xml:space="preserve">SIMPULAN </w:t>
      </w:r>
      <w:r w:rsidR="00BC3E56" w:rsidRPr="00867BFD">
        <w:rPr>
          <w:rFonts w:ascii="Century" w:hAnsi="Century"/>
          <w:b/>
          <w:bCs/>
          <w:color w:val="000000"/>
        </w:rPr>
        <w:t>DAN SARAN</w:t>
      </w:r>
    </w:p>
    <w:p w:rsidR="00921225" w:rsidRPr="00867BFD" w:rsidRDefault="0091522F" w:rsidP="00391E01">
      <w:pPr>
        <w:pStyle w:val="CM2"/>
        <w:spacing w:line="276" w:lineRule="auto"/>
        <w:ind w:firstLine="720"/>
        <w:contextualSpacing/>
        <w:jc w:val="both"/>
        <w:rPr>
          <w:rFonts w:ascii="Century" w:hAnsi="Century"/>
        </w:rPr>
      </w:pPr>
      <w:r w:rsidRPr="00867BFD">
        <w:rPr>
          <w:rFonts w:ascii="Century" w:hAnsi="Century"/>
        </w:rPr>
        <w:t xml:space="preserve">Produksi teh </w:t>
      </w:r>
      <w:r w:rsidR="006A3C65" w:rsidRPr="00867BFD">
        <w:rPr>
          <w:rFonts w:ascii="Century" w:hAnsi="Century"/>
        </w:rPr>
        <w:t xml:space="preserve">kelopak bunga </w:t>
      </w:r>
      <w:r w:rsidRPr="00867BFD">
        <w:rPr>
          <w:rFonts w:ascii="Century" w:hAnsi="Century"/>
        </w:rPr>
        <w:t xml:space="preserve">mawar </w:t>
      </w:r>
      <w:r w:rsidR="00921225" w:rsidRPr="00867BFD">
        <w:rPr>
          <w:rFonts w:ascii="Century" w:hAnsi="Century"/>
        </w:rPr>
        <w:t xml:space="preserve">merah </w:t>
      </w:r>
      <w:r w:rsidRPr="00867BFD">
        <w:rPr>
          <w:rFonts w:ascii="Century" w:hAnsi="Century"/>
        </w:rPr>
        <w:t xml:space="preserve">di </w:t>
      </w:r>
      <w:r w:rsidR="00921225" w:rsidRPr="00867BFD">
        <w:rPr>
          <w:rFonts w:ascii="Century" w:hAnsi="Century"/>
        </w:rPr>
        <w:t>K</w:t>
      </w:r>
      <w:r w:rsidRPr="00867BFD">
        <w:rPr>
          <w:rFonts w:ascii="Century" w:hAnsi="Century"/>
        </w:rPr>
        <w:t xml:space="preserve">elompok </w:t>
      </w:r>
      <w:r w:rsidR="00921225" w:rsidRPr="00867BFD">
        <w:rPr>
          <w:rFonts w:ascii="Century" w:hAnsi="Century"/>
        </w:rPr>
        <w:t xml:space="preserve">Wanita </w:t>
      </w:r>
      <w:r w:rsidR="006A3C65" w:rsidRPr="00867BFD">
        <w:rPr>
          <w:rFonts w:ascii="Century" w:hAnsi="Century"/>
        </w:rPr>
        <w:t>T</w:t>
      </w:r>
      <w:r w:rsidR="00921225" w:rsidRPr="00867BFD">
        <w:rPr>
          <w:rFonts w:ascii="Century" w:hAnsi="Century"/>
        </w:rPr>
        <w:t>ani</w:t>
      </w:r>
      <w:r w:rsidR="006A3C65" w:rsidRPr="00867BFD">
        <w:rPr>
          <w:rFonts w:ascii="Century" w:hAnsi="Century"/>
        </w:rPr>
        <w:t xml:space="preserve"> </w:t>
      </w:r>
      <w:r w:rsidRPr="00867BFD">
        <w:rPr>
          <w:rFonts w:ascii="Century" w:hAnsi="Century"/>
        </w:rPr>
        <w:t xml:space="preserve"> Putri Mawar</w:t>
      </w:r>
      <w:r w:rsidR="00921225" w:rsidRPr="00867BFD">
        <w:rPr>
          <w:rFonts w:ascii="Century" w:hAnsi="Century"/>
        </w:rPr>
        <w:t xml:space="preserve">  desa Clutang kabupaten Boyolali memiliki potensi</w:t>
      </w:r>
      <w:r w:rsidR="00054B2E" w:rsidRPr="00867BFD">
        <w:rPr>
          <w:rFonts w:ascii="Century" w:hAnsi="Century"/>
        </w:rPr>
        <w:t xml:space="preserve"> </w:t>
      </w:r>
      <w:r w:rsidR="00921225" w:rsidRPr="00867BFD">
        <w:rPr>
          <w:rFonts w:ascii="Century" w:hAnsi="Century"/>
        </w:rPr>
        <w:t xml:space="preserve">untuk dikembangkan </w:t>
      </w:r>
      <w:r w:rsidR="00054B2E" w:rsidRPr="00867BFD">
        <w:rPr>
          <w:rFonts w:ascii="Century" w:hAnsi="Century"/>
        </w:rPr>
        <w:t>lebih lanjut</w:t>
      </w:r>
      <w:r w:rsidR="00054B2E" w:rsidRPr="00867BFD">
        <w:rPr>
          <w:rFonts w:ascii="Century" w:hAnsi="Century"/>
        </w:rPr>
        <w:t xml:space="preserve"> menjadi agroindustri teh mawar </w:t>
      </w:r>
      <w:r w:rsidR="00921225" w:rsidRPr="00867BFD">
        <w:rPr>
          <w:rFonts w:ascii="Century" w:hAnsi="Century"/>
        </w:rPr>
        <w:t xml:space="preserve">karena </w:t>
      </w:r>
      <w:r w:rsidR="00054B2E" w:rsidRPr="00867BFD">
        <w:rPr>
          <w:rFonts w:ascii="Century" w:hAnsi="Century"/>
        </w:rPr>
        <w:t>keberadaan bunga mawar yang melimpah</w:t>
      </w:r>
      <w:r w:rsidR="00054B2E" w:rsidRPr="00867BFD">
        <w:rPr>
          <w:rFonts w:ascii="Century" w:hAnsi="Century"/>
        </w:rPr>
        <w:t xml:space="preserve"> sehingga </w:t>
      </w:r>
      <w:r w:rsidR="00921225" w:rsidRPr="00867BFD">
        <w:rPr>
          <w:rFonts w:ascii="Century" w:hAnsi="Century"/>
        </w:rPr>
        <w:t>kontinuitas baha</w:t>
      </w:r>
      <w:r w:rsidR="00054B2E" w:rsidRPr="00867BFD">
        <w:rPr>
          <w:rFonts w:ascii="Century" w:hAnsi="Century"/>
        </w:rPr>
        <w:t>n</w:t>
      </w:r>
      <w:r w:rsidR="00921225" w:rsidRPr="00867BFD">
        <w:rPr>
          <w:rFonts w:ascii="Century" w:hAnsi="Century"/>
        </w:rPr>
        <w:t xml:space="preserve"> baku dapat terjaga</w:t>
      </w:r>
      <w:r w:rsidR="00054B2E" w:rsidRPr="00867BFD">
        <w:rPr>
          <w:rFonts w:ascii="Century" w:hAnsi="Century"/>
        </w:rPr>
        <w:t>.</w:t>
      </w:r>
    </w:p>
    <w:p w:rsidR="006E1278" w:rsidRPr="00867BFD" w:rsidRDefault="00054B2E" w:rsidP="00391E01">
      <w:pPr>
        <w:pStyle w:val="CM2"/>
        <w:spacing w:line="276" w:lineRule="auto"/>
        <w:ind w:firstLine="720"/>
        <w:contextualSpacing/>
        <w:jc w:val="both"/>
        <w:rPr>
          <w:rFonts w:ascii="Century" w:hAnsi="Century"/>
        </w:rPr>
      </w:pPr>
      <w:r w:rsidRPr="00867BFD">
        <w:rPr>
          <w:rFonts w:ascii="Century" w:hAnsi="Century"/>
        </w:rPr>
        <w:t xml:space="preserve">Teknik pengemasan yang baik dan benar teh dari petal bunga mawar merah bukan hanya dapat menjaga kualitas produk tetapi juga menjadikan produk lebih </w:t>
      </w:r>
      <w:r w:rsidRPr="00867BFD">
        <w:rPr>
          <w:rFonts w:ascii="Century" w:hAnsi="Century"/>
          <w:i/>
        </w:rPr>
        <w:t>m</w:t>
      </w:r>
      <w:r w:rsidR="006E1278" w:rsidRPr="00867BFD">
        <w:rPr>
          <w:rFonts w:ascii="Century" w:hAnsi="Century"/>
          <w:i/>
        </w:rPr>
        <w:t>arketable</w:t>
      </w:r>
      <w:r w:rsidR="006E1278" w:rsidRPr="00867BFD">
        <w:rPr>
          <w:rFonts w:ascii="Century" w:hAnsi="Century"/>
        </w:rPr>
        <w:t xml:space="preserve"> m</w:t>
      </w:r>
      <w:r w:rsidRPr="00867BFD">
        <w:rPr>
          <w:rFonts w:ascii="Century" w:hAnsi="Century"/>
        </w:rPr>
        <w:t xml:space="preserve">ampu bersaing </w:t>
      </w:r>
      <w:r w:rsidR="006E1278" w:rsidRPr="00867BFD">
        <w:rPr>
          <w:rFonts w:ascii="Century" w:hAnsi="Century"/>
        </w:rPr>
        <w:t xml:space="preserve">dengan produk teh lainnya, serta </w:t>
      </w:r>
      <w:r w:rsidRPr="00867BFD">
        <w:rPr>
          <w:rFonts w:ascii="Century" w:hAnsi="Century"/>
        </w:rPr>
        <w:t xml:space="preserve">memiliki </w:t>
      </w:r>
      <w:r w:rsidR="006E1278" w:rsidRPr="00867BFD">
        <w:rPr>
          <w:rFonts w:ascii="Century" w:hAnsi="Century"/>
        </w:rPr>
        <w:t xml:space="preserve">pangsa </w:t>
      </w:r>
      <w:r w:rsidRPr="00867BFD">
        <w:rPr>
          <w:rFonts w:ascii="Century" w:hAnsi="Century"/>
        </w:rPr>
        <w:t xml:space="preserve">pasar yang </w:t>
      </w:r>
      <w:r w:rsidR="006E1278" w:rsidRPr="00867BFD">
        <w:rPr>
          <w:rFonts w:ascii="Century" w:hAnsi="Century"/>
        </w:rPr>
        <w:t xml:space="preserve">lebih </w:t>
      </w:r>
      <w:r w:rsidRPr="00867BFD">
        <w:rPr>
          <w:rFonts w:ascii="Century" w:hAnsi="Century"/>
        </w:rPr>
        <w:t xml:space="preserve">luas bukan hanya di pasar tradisional tetapi juga pasar modern. </w:t>
      </w:r>
    </w:p>
    <w:p w:rsidR="0091522F" w:rsidRPr="00867BFD" w:rsidRDefault="006E1278" w:rsidP="00391E01">
      <w:pPr>
        <w:pStyle w:val="CM2"/>
        <w:spacing w:line="276" w:lineRule="auto"/>
        <w:ind w:firstLine="720"/>
        <w:contextualSpacing/>
        <w:jc w:val="both"/>
        <w:rPr>
          <w:rFonts w:ascii="Century" w:hAnsi="Century"/>
          <w:noProof/>
        </w:rPr>
      </w:pPr>
      <w:r w:rsidRPr="00867BFD">
        <w:rPr>
          <w:rFonts w:ascii="Century" w:hAnsi="Century"/>
        </w:rPr>
        <w:t xml:space="preserve">Potensi teh bunga mawar dengan aroma wangi yang khas </w:t>
      </w:r>
      <w:r w:rsidR="00921225" w:rsidRPr="00867BFD">
        <w:rPr>
          <w:rFonts w:ascii="Century" w:hAnsi="Century"/>
        </w:rPr>
        <w:t xml:space="preserve">dan memiliki </w:t>
      </w:r>
      <w:r w:rsidRPr="00867BFD">
        <w:rPr>
          <w:rFonts w:ascii="Century" w:hAnsi="Century"/>
        </w:rPr>
        <w:t>daya</w:t>
      </w:r>
      <w:r w:rsidR="00921225" w:rsidRPr="00867BFD">
        <w:rPr>
          <w:rFonts w:ascii="Century" w:hAnsi="Century"/>
          <w:noProof/>
        </w:rPr>
        <w:t xml:space="preserve"> aktivitas antioksidan yang tinggi (</w:t>
      </w:r>
      <w:r w:rsidR="00921225" w:rsidRPr="00867BFD">
        <w:rPr>
          <w:rFonts w:ascii="Century" w:hAnsi="Century"/>
        </w:rPr>
        <w:t>73,96±0,93)%</w:t>
      </w:r>
      <w:r w:rsidRPr="00867BFD">
        <w:rPr>
          <w:rFonts w:ascii="Century" w:hAnsi="Century"/>
        </w:rPr>
        <w:t xml:space="preserve"> maka lebih lanjut perlu dikembangkan dalam pendampingan kepada masyarakat untuk inovasi produk makanan ataupun minuman dengan bahan baku dari teh bunga mawar merah sehingga keberadaan</w:t>
      </w:r>
      <w:r w:rsidR="00921225" w:rsidRPr="00867BFD">
        <w:rPr>
          <w:rFonts w:ascii="Century" w:hAnsi="Century"/>
        </w:rPr>
        <w:t xml:space="preserve"> </w:t>
      </w:r>
      <w:r w:rsidR="0091522F" w:rsidRPr="00867BFD">
        <w:rPr>
          <w:rFonts w:ascii="Century" w:hAnsi="Century"/>
          <w:noProof/>
        </w:rPr>
        <w:t xml:space="preserve">sifat fungsional teh mawar </w:t>
      </w:r>
      <w:r w:rsidRPr="00867BFD">
        <w:rPr>
          <w:rFonts w:ascii="Century" w:hAnsi="Century"/>
          <w:noProof/>
        </w:rPr>
        <w:t>dapat dioptimalkan.</w:t>
      </w:r>
    </w:p>
    <w:p w:rsidR="0091522F" w:rsidRPr="00867BFD" w:rsidRDefault="0091522F" w:rsidP="00391E01">
      <w:pPr>
        <w:pStyle w:val="CM2"/>
        <w:spacing w:line="276" w:lineRule="auto"/>
        <w:contextualSpacing/>
        <w:jc w:val="both"/>
        <w:rPr>
          <w:rFonts w:ascii="Century" w:hAnsi="Century"/>
        </w:rPr>
      </w:pPr>
    </w:p>
    <w:p w:rsidR="0091522F" w:rsidRPr="00867BFD" w:rsidRDefault="0091522F" w:rsidP="00391E01">
      <w:pPr>
        <w:pStyle w:val="CM2"/>
        <w:spacing w:line="276" w:lineRule="auto"/>
        <w:contextualSpacing/>
        <w:jc w:val="both"/>
        <w:rPr>
          <w:rFonts w:ascii="Century" w:hAnsi="Century"/>
          <w:b/>
          <w:bCs/>
          <w:color w:val="000000"/>
        </w:rPr>
      </w:pPr>
      <w:r w:rsidRPr="00867BFD">
        <w:rPr>
          <w:rFonts w:ascii="Century" w:hAnsi="Century"/>
          <w:b/>
          <w:bCs/>
          <w:color w:val="000000"/>
        </w:rPr>
        <w:t>UCAPAN TERIMA KASIH</w:t>
      </w:r>
    </w:p>
    <w:p w:rsidR="0091522F" w:rsidRPr="00867BFD" w:rsidRDefault="0091522F" w:rsidP="00391E01">
      <w:pPr>
        <w:pStyle w:val="CM5"/>
        <w:spacing w:after="0" w:line="276" w:lineRule="auto"/>
        <w:contextualSpacing/>
        <w:jc w:val="both"/>
        <w:rPr>
          <w:rFonts w:ascii="Century" w:hAnsi="Century"/>
          <w:color w:val="000000"/>
        </w:rPr>
      </w:pPr>
      <w:r w:rsidRPr="00867BFD">
        <w:rPr>
          <w:rFonts w:ascii="Century" w:hAnsi="Century"/>
          <w:color w:val="000000"/>
        </w:rPr>
        <w:t>Ucapan Terimakasih kepada LPPM U</w:t>
      </w:r>
      <w:r w:rsidR="00E158A9">
        <w:rPr>
          <w:rFonts w:ascii="Century" w:hAnsi="Century"/>
          <w:color w:val="000000"/>
        </w:rPr>
        <w:t xml:space="preserve">niversitas Slamet Riyadi </w:t>
      </w:r>
      <w:r w:rsidRPr="00867BFD">
        <w:rPr>
          <w:rFonts w:ascii="Century" w:hAnsi="Century"/>
          <w:color w:val="000000"/>
        </w:rPr>
        <w:t xml:space="preserve">yang telah menfasilitasi dalam pelaksanaan Program kegiatan Pengabdian </w:t>
      </w:r>
      <w:r w:rsidR="00E158A9">
        <w:rPr>
          <w:rFonts w:ascii="Century" w:hAnsi="Century"/>
          <w:color w:val="000000"/>
        </w:rPr>
        <w:t xml:space="preserve">kepada </w:t>
      </w:r>
      <w:r w:rsidRPr="00867BFD">
        <w:rPr>
          <w:rFonts w:ascii="Century" w:hAnsi="Century"/>
          <w:color w:val="000000"/>
        </w:rPr>
        <w:lastRenderedPageBreak/>
        <w:t xml:space="preserve">Masyarakat </w:t>
      </w:r>
      <w:r w:rsidR="00E158A9">
        <w:rPr>
          <w:rFonts w:ascii="Century" w:hAnsi="Century"/>
          <w:color w:val="000000"/>
        </w:rPr>
        <w:t xml:space="preserve">melalui Program Kerja LPPM </w:t>
      </w:r>
      <w:r w:rsidRPr="00867BFD">
        <w:rPr>
          <w:rFonts w:ascii="Century" w:hAnsi="Century"/>
          <w:color w:val="000000"/>
        </w:rPr>
        <w:t>pada tahun A</w:t>
      </w:r>
      <w:r w:rsidR="0093294B" w:rsidRPr="00867BFD">
        <w:rPr>
          <w:rFonts w:ascii="Century" w:hAnsi="Century"/>
          <w:color w:val="000000"/>
        </w:rPr>
        <w:t>kademik 2019 dengan nomor 13/S9/AK/2019.</w:t>
      </w:r>
    </w:p>
    <w:p w:rsidR="0091522F" w:rsidRPr="00305A9E" w:rsidRDefault="0091522F" w:rsidP="00391E01">
      <w:pPr>
        <w:pStyle w:val="Default"/>
        <w:spacing w:line="276" w:lineRule="auto"/>
      </w:pPr>
      <w:bookmarkStart w:id="0" w:name="_GoBack"/>
      <w:bookmarkEnd w:id="0"/>
    </w:p>
    <w:p w:rsidR="000B086F" w:rsidRPr="00C4735F" w:rsidRDefault="000B086F" w:rsidP="00327253">
      <w:pPr>
        <w:rPr>
          <w:rFonts w:ascii="Century" w:hAnsi="Century" w:cs="Times New Roman"/>
          <w:b/>
          <w:sz w:val="24"/>
          <w:szCs w:val="24"/>
        </w:rPr>
      </w:pPr>
      <w:r w:rsidRPr="00C4735F">
        <w:rPr>
          <w:rFonts w:ascii="Century" w:hAnsi="Century" w:cs="Times New Roman"/>
          <w:b/>
          <w:sz w:val="24"/>
          <w:szCs w:val="24"/>
        </w:rPr>
        <w:t>DAFTAR RUJUKAN</w:t>
      </w:r>
    </w:p>
    <w:p w:rsidR="005F68F0" w:rsidRPr="00E14E06" w:rsidRDefault="005F68F0" w:rsidP="005F68F0">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noProof/>
          <w:sz w:val="24"/>
          <w:szCs w:val="24"/>
        </w:rPr>
        <w:t>Anasrulloh, M. &amp; Baisron</w:t>
      </w:r>
      <w:r w:rsidRPr="00E14E06">
        <w:rPr>
          <w:rFonts w:ascii="Times New Roman" w:hAnsi="Times New Roman" w:cs="Times New Roman"/>
          <w:noProof/>
          <w:sz w:val="24"/>
          <w:szCs w:val="24"/>
        </w:rPr>
        <w:t xml:space="preserve">. (2018). Pelatihan Pembuatan Kemasan (Packaging) Untuk Meningkatkan Pemasaran Produk Olahan Kue Kacang Emping Melinjo, </w:t>
      </w:r>
      <w:r w:rsidRPr="00E14E06">
        <w:rPr>
          <w:rFonts w:ascii="Times New Roman" w:hAnsi="Times New Roman" w:cs="Times New Roman"/>
          <w:i/>
          <w:iCs/>
          <w:noProof/>
          <w:sz w:val="24"/>
          <w:szCs w:val="24"/>
        </w:rPr>
        <w:t>5</w:t>
      </w:r>
      <w:r w:rsidRPr="00E14E06">
        <w:rPr>
          <w:rFonts w:ascii="Times New Roman" w:hAnsi="Times New Roman" w:cs="Times New Roman"/>
          <w:noProof/>
          <w:sz w:val="24"/>
          <w:szCs w:val="24"/>
        </w:rPr>
        <w:t>, 26–30. https://doi.org/10.31227/osf.io/7nbkr</w:t>
      </w:r>
    </w:p>
    <w:p w:rsidR="00E158A9" w:rsidRPr="00E158A9" w:rsidRDefault="000B086F" w:rsidP="00E158A9">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E158A9" w:rsidRPr="00E158A9">
        <w:rPr>
          <w:rFonts w:ascii="Times New Roman" w:hAnsi="Times New Roman" w:cs="Times New Roman"/>
          <w:noProof/>
          <w:sz w:val="24"/>
          <w:szCs w:val="24"/>
        </w:rPr>
        <w:t xml:space="preserve">Anggraito, Y.U., Susanti, R., Iswari,R.S., Yuniastuti, A., Lisdiana, Bintari, H. . (2018). </w:t>
      </w:r>
      <w:r w:rsidR="00E158A9" w:rsidRPr="00E158A9">
        <w:rPr>
          <w:rFonts w:ascii="Times New Roman" w:hAnsi="Times New Roman" w:cs="Times New Roman"/>
          <w:i/>
          <w:iCs/>
          <w:noProof/>
          <w:sz w:val="24"/>
          <w:szCs w:val="24"/>
        </w:rPr>
        <w:t>Metabolit Sekunder Dari Tanaman :</w:t>
      </w:r>
    </w:p>
    <w:p w:rsidR="00E158A9" w:rsidRPr="00E158A9" w:rsidRDefault="00E158A9" w:rsidP="00E158A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158A9">
        <w:rPr>
          <w:rFonts w:ascii="Times New Roman" w:hAnsi="Times New Roman" w:cs="Times New Roman"/>
          <w:noProof/>
          <w:sz w:val="24"/>
          <w:szCs w:val="24"/>
        </w:rPr>
        <w:t xml:space="preserve">ANIS SAATI, E., RRD, T., &amp; BW. AULANNI’AM, S. (2012). Optimalisasi Fungsi Pigmen Bunga Mawar Sortiran Sebagai Zat Pewarna Alami Dan Bioaktif Pada Produk Industri. </w:t>
      </w:r>
      <w:r w:rsidRPr="00E158A9">
        <w:rPr>
          <w:rFonts w:ascii="Times New Roman" w:hAnsi="Times New Roman" w:cs="Times New Roman"/>
          <w:i/>
          <w:iCs/>
          <w:noProof/>
          <w:sz w:val="24"/>
          <w:szCs w:val="24"/>
        </w:rPr>
        <w:t>Jurnal Teknik Industri</w:t>
      </w:r>
      <w:r w:rsidRPr="00E158A9">
        <w:rPr>
          <w:rFonts w:ascii="Times New Roman" w:hAnsi="Times New Roman" w:cs="Times New Roman"/>
          <w:noProof/>
          <w:sz w:val="24"/>
          <w:szCs w:val="24"/>
        </w:rPr>
        <w:t xml:space="preserve">, </w:t>
      </w:r>
      <w:r w:rsidRPr="00E158A9">
        <w:rPr>
          <w:rFonts w:ascii="Times New Roman" w:hAnsi="Times New Roman" w:cs="Times New Roman"/>
          <w:i/>
          <w:iCs/>
          <w:noProof/>
          <w:sz w:val="24"/>
          <w:szCs w:val="24"/>
        </w:rPr>
        <w:t>12</w:t>
      </w:r>
      <w:r w:rsidRPr="00E158A9">
        <w:rPr>
          <w:rFonts w:ascii="Times New Roman" w:hAnsi="Times New Roman" w:cs="Times New Roman"/>
          <w:noProof/>
          <w:sz w:val="24"/>
          <w:szCs w:val="24"/>
        </w:rPr>
        <w:t>(2), 133. https://doi.org/10.22219/jtiumm.vol12.no2.133-140</w:t>
      </w:r>
    </w:p>
    <w:p w:rsidR="00E158A9" w:rsidRPr="00E158A9" w:rsidRDefault="00E158A9" w:rsidP="00E158A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158A9">
        <w:rPr>
          <w:rFonts w:ascii="Times New Roman" w:hAnsi="Times New Roman" w:cs="Times New Roman"/>
          <w:noProof/>
          <w:sz w:val="24"/>
          <w:szCs w:val="24"/>
        </w:rPr>
        <w:t xml:space="preserve">Astrilia Damayanti dan Endah Ayu Fitriana. (2015). Jurnal Bahan Alam Terbarukan. </w:t>
      </w:r>
      <w:r w:rsidRPr="00E158A9">
        <w:rPr>
          <w:rFonts w:ascii="Times New Roman" w:hAnsi="Times New Roman" w:cs="Times New Roman"/>
          <w:i/>
          <w:iCs/>
          <w:noProof/>
          <w:sz w:val="24"/>
          <w:szCs w:val="24"/>
        </w:rPr>
        <w:t>Jurnal Bahan Alam Terbarukan</w:t>
      </w:r>
      <w:r w:rsidRPr="00E158A9">
        <w:rPr>
          <w:rFonts w:ascii="Times New Roman" w:hAnsi="Times New Roman" w:cs="Times New Roman"/>
          <w:noProof/>
          <w:sz w:val="24"/>
          <w:szCs w:val="24"/>
        </w:rPr>
        <w:t xml:space="preserve">, </w:t>
      </w:r>
      <w:r w:rsidRPr="00E158A9">
        <w:rPr>
          <w:rFonts w:ascii="Times New Roman" w:hAnsi="Times New Roman" w:cs="Times New Roman"/>
          <w:i/>
          <w:iCs/>
          <w:noProof/>
          <w:sz w:val="24"/>
          <w:szCs w:val="24"/>
        </w:rPr>
        <w:t>4</w:t>
      </w:r>
      <w:r w:rsidRPr="00E158A9">
        <w:rPr>
          <w:rFonts w:ascii="Times New Roman" w:hAnsi="Times New Roman" w:cs="Times New Roman"/>
          <w:noProof/>
          <w:sz w:val="24"/>
          <w:szCs w:val="24"/>
        </w:rPr>
        <w:t>(1), 14–20. https://doi.org/10.15294/jbat.v4i1.3769</w:t>
      </w:r>
    </w:p>
    <w:p w:rsidR="00E158A9" w:rsidRPr="00E158A9" w:rsidRDefault="00E158A9" w:rsidP="00E158A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158A9">
        <w:rPr>
          <w:rFonts w:ascii="Times New Roman" w:hAnsi="Times New Roman" w:cs="Times New Roman"/>
          <w:noProof/>
          <w:sz w:val="24"/>
          <w:szCs w:val="24"/>
        </w:rPr>
        <w:t xml:space="preserve">Dami, T. R. R. (2020). STUDI PEMBUATAN TABLET EFFERVESCENT DENGAN EKSTRAK BUNGA MAWAR MERAH (Rosa sp.) PADA PASCA POTONG BUNGA MAWAR DAN JENIS FILLER (NaHCO3, KHCO3, CaCO3). </w:t>
      </w:r>
      <w:r w:rsidRPr="00E158A9">
        <w:rPr>
          <w:rFonts w:ascii="Times New Roman" w:hAnsi="Times New Roman" w:cs="Times New Roman"/>
          <w:i/>
          <w:iCs/>
          <w:noProof/>
          <w:sz w:val="24"/>
          <w:szCs w:val="24"/>
        </w:rPr>
        <w:t>AGRICA</w:t>
      </w:r>
      <w:r w:rsidRPr="00E158A9">
        <w:rPr>
          <w:rFonts w:ascii="Times New Roman" w:hAnsi="Times New Roman" w:cs="Times New Roman"/>
          <w:noProof/>
          <w:sz w:val="24"/>
          <w:szCs w:val="24"/>
        </w:rPr>
        <w:t>. https://doi.org/10.37478/agr.v4i1.464</w:t>
      </w:r>
    </w:p>
    <w:p w:rsidR="00E158A9" w:rsidRPr="00E158A9" w:rsidRDefault="00E158A9" w:rsidP="00E158A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158A9">
        <w:rPr>
          <w:rFonts w:ascii="Times New Roman" w:hAnsi="Times New Roman" w:cs="Times New Roman"/>
          <w:noProof/>
          <w:sz w:val="24"/>
          <w:szCs w:val="24"/>
        </w:rPr>
        <w:t xml:space="preserve">Febianti, E., &amp; Umyati, A. (2019). PELATIHAN TEKNIK PENGEMASAN PRODUK PANGAN UNGGULAN, </w:t>
      </w:r>
      <w:r w:rsidRPr="00E158A9">
        <w:rPr>
          <w:rFonts w:ascii="Times New Roman" w:hAnsi="Times New Roman" w:cs="Times New Roman"/>
          <w:i/>
          <w:iCs/>
          <w:noProof/>
          <w:sz w:val="24"/>
          <w:szCs w:val="24"/>
        </w:rPr>
        <w:t>1</w:t>
      </w:r>
      <w:r w:rsidRPr="00E158A9">
        <w:rPr>
          <w:rFonts w:ascii="Times New Roman" w:hAnsi="Times New Roman" w:cs="Times New Roman"/>
          <w:noProof/>
          <w:sz w:val="24"/>
          <w:szCs w:val="24"/>
        </w:rPr>
        <w:t>, 70–74.</w:t>
      </w:r>
    </w:p>
    <w:p w:rsidR="00E158A9" w:rsidRPr="00E158A9" w:rsidRDefault="00E158A9" w:rsidP="00E158A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158A9">
        <w:rPr>
          <w:rFonts w:ascii="Times New Roman" w:hAnsi="Times New Roman" w:cs="Times New Roman"/>
          <w:noProof/>
          <w:sz w:val="24"/>
          <w:szCs w:val="24"/>
        </w:rPr>
        <w:t xml:space="preserve">Lopes-Lutz, D., Dettmann, J., Nimalaratne, C., &amp; Schieber, A. (2010). Characterization and quantification of polyphenols in amazon grape (Pourouma cecropiifolia martius). </w:t>
      </w:r>
      <w:r w:rsidRPr="00E158A9">
        <w:rPr>
          <w:rFonts w:ascii="Times New Roman" w:hAnsi="Times New Roman" w:cs="Times New Roman"/>
          <w:i/>
          <w:iCs/>
          <w:noProof/>
          <w:sz w:val="24"/>
          <w:szCs w:val="24"/>
        </w:rPr>
        <w:t>Molecules</w:t>
      </w:r>
      <w:r w:rsidRPr="00E158A9">
        <w:rPr>
          <w:rFonts w:ascii="Times New Roman" w:hAnsi="Times New Roman" w:cs="Times New Roman"/>
          <w:noProof/>
          <w:sz w:val="24"/>
          <w:szCs w:val="24"/>
        </w:rPr>
        <w:t xml:space="preserve">, </w:t>
      </w:r>
      <w:r w:rsidRPr="00E158A9">
        <w:rPr>
          <w:rFonts w:ascii="Times New Roman" w:hAnsi="Times New Roman" w:cs="Times New Roman"/>
          <w:i/>
          <w:iCs/>
          <w:noProof/>
          <w:sz w:val="24"/>
          <w:szCs w:val="24"/>
        </w:rPr>
        <w:t>15</w:t>
      </w:r>
      <w:r w:rsidRPr="00E158A9">
        <w:rPr>
          <w:rFonts w:ascii="Times New Roman" w:hAnsi="Times New Roman" w:cs="Times New Roman"/>
          <w:noProof/>
          <w:sz w:val="24"/>
          <w:szCs w:val="24"/>
        </w:rPr>
        <w:t>(12), 8543–8552. https://doi.org/10.3390/molecules15128543</w:t>
      </w:r>
    </w:p>
    <w:p w:rsidR="00E158A9" w:rsidRPr="00E158A9" w:rsidRDefault="00E158A9" w:rsidP="00E158A9">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E158A9">
        <w:rPr>
          <w:rFonts w:ascii="Times New Roman" w:hAnsi="Times New Roman" w:cs="Times New Roman"/>
          <w:noProof/>
          <w:sz w:val="24"/>
          <w:szCs w:val="24"/>
        </w:rPr>
        <w:t xml:space="preserve">Mambula, C. (2002). Perceptions of SME growth constraints in Nigeria. </w:t>
      </w:r>
      <w:r w:rsidRPr="00E158A9">
        <w:rPr>
          <w:rFonts w:ascii="Times New Roman" w:hAnsi="Times New Roman" w:cs="Times New Roman"/>
          <w:i/>
          <w:iCs/>
          <w:noProof/>
          <w:sz w:val="24"/>
          <w:szCs w:val="24"/>
        </w:rPr>
        <w:t>Journal of Small Business Management</w:t>
      </w:r>
      <w:r w:rsidRPr="00E158A9">
        <w:rPr>
          <w:rFonts w:ascii="Times New Roman" w:hAnsi="Times New Roman" w:cs="Times New Roman"/>
          <w:noProof/>
          <w:sz w:val="24"/>
          <w:szCs w:val="24"/>
        </w:rPr>
        <w:t xml:space="preserve">, </w:t>
      </w:r>
      <w:r w:rsidRPr="00E158A9">
        <w:rPr>
          <w:rFonts w:ascii="Times New Roman" w:hAnsi="Times New Roman" w:cs="Times New Roman"/>
          <w:i/>
          <w:iCs/>
          <w:noProof/>
          <w:sz w:val="24"/>
          <w:szCs w:val="24"/>
        </w:rPr>
        <w:t>40</w:t>
      </w:r>
      <w:r w:rsidRPr="00E158A9">
        <w:rPr>
          <w:rFonts w:ascii="Times New Roman" w:hAnsi="Times New Roman" w:cs="Times New Roman"/>
          <w:noProof/>
          <w:sz w:val="24"/>
          <w:szCs w:val="24"/>
        </w:rPr>
        <w:t>(1), 58–65. https://doi.org/10.1111/1540-627x.00039</w:t>
      </w:r>
    </w:p>
    <w:p w:rsidR="00E158A9" w:rsidRPr="00E158A9" w:rsidRDefault="00E158A9" w:rsidP="00E158A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158A9">
        <w:rPr>
          <w:rFonts w:ascii="Times New Roman" w:hAnsi="Times New Roman" w:cs="Times New Roman"/>
          <w:noProof/>
          <w:sz w:val="24"/>
          <w:szCs w:val="24"/>
        </w:rPr>
        <w:t xml:space="preserve">Meitridwiastiti, A. A. A., &amp; Viona, N. K. (2019). Penyuluhan Penggunaan Bahasa Pada Kemasan dan Ijin PIRT Pada IRT Saur Bali. </w:t>
      </w:r>
      <w:r w:rsidRPr="00E158A9">
        <w:rPr>
          <w:rFonts w:ascii="Times New Roman" w:hAnsi="Times New Roman" w:cs="Times New Roman"/>
          <w:i/>
          <w:iCs/>
          <w:noProof/>
          <w:sz w:val="24"/>
          <w:szCs w:val="24"/>
        </w:rPr>
        <w:t>WIDYABHAKTI Jurnal Ilmiah Populer</w:t>
      </w:r>
      <w:r w:rsidRPr="00E158A9">
        <w:rPr>
          <w:rFonts w:ascii="Times New Roman" w:hAnsi="Times New Roman" w:cs="Times New Roman"/>
          <w:noProof/>
          <w:sz w:val="24"/>
          <w:szCs w:val="24"/>
        </w:rPr>
        <w:t xml:space="preserve">, </w:t>
      </w:r>
      <w:r w:rsidRPr="00E158A9">
        <w:rPr>
          <w:rFonts w:ascii="Times New Roman" w:hAnsi="Times New Roman" w:cs="Times New Roman"/>
          <w:i/>
          <w:iCs/>
          <w:noProof/>
          <w:sz w:val="24"/>
          <w:szCs w:val="24"/>
        </w:rPr>
        <w:t>1</w:t>
      </w:r>
      <w:r w:rsidRPr="00E158A9">
        <w:rPr>
          <w:rFonts w:ascii="Times New Roman" w:hAnsi="Times New Roman" w:cs="Times New Roman"/>
          <w:noProof/>
          <w:sz w:val="24"/>
          <w:szCs w:val="24"/>
        </w:rPr>
        <w:t>(3), 60–66.</w:t>
      </w:r>
    </w:p>
    <w:p w:rsidR="00E158A9" w:rsidRPr="00E158A9" w:rsidRDefault="00E158A9" w:rsidP="00E158A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158A9">
        <w:rPr>
          <w:rFonts w:ascii="Times New Roman" w:hAnsi="Times New Roman" w:cs="Times New Roman"/>
          <w:noProof/>
          <w:sz w:val="24"/>
          <w:szCs w:val="24"/>
        </w:rPr>
        <w:t xml:space="preserve">Ramadlon, S., &amp; Kristiana, N. (2013). Perancangan Desain Kemasan Makanan Ringan Produksi Karang Taruna Jiwo Suto Ujung Pangkah Gresik. </w:t>
      </w:r>
      <w:r w:rsidRPr="00E158A9">
        <w:rPr>
          <w:rFonts w:ascii="Times New Roman" w:hAnsi="Times New Roman" w:cs="Times New Roman"/>
          <w:i/>
          <w:iCs/>
          <w:noProof/>
          <w:sz w:val="24"/>
          <w:szCs w:val="24"/>
        </w:rPr>
        <w:t>Journal of Chemical Information and Modeling</w:t>
      </w:r>
      <w:r w:rsidRPr="00E158A9">
        <w:rPr>
          <w:rFonts w:ascii="Times New Roman" w:hAnsi="Times New Roman" w:cs="Times New Roman"/>
          <w:noProof/>
          <w:sz w:val="24"/>
          <w:szCs w:val="24"/>
        </w:rPr>
        <w:t xml:space="preserve">, </w:t>
      </w:r>
      <w:r w:rsidRPr="00E158A9">
        <w:rPr>
          <w:rFonts w:ascii="Times New Roman" w:hAnsi="Times New Roman" w:cs="Times New Roman"/>
          <w:i/>
          <w:iCs/>
          <w:noProof/>
          <w:sz w:val="24"/>
          <w:szCs w:val="24"/>
        </w:rPr>
        <w:t>53</w:t>
      </w:r>
      <w:r w:rsidRPr="00E158A9">
        <w:rPr>
          <w:rFonts w:ascii="Times New Roman" w:hAnsi="Times New Roman" w:cs="Times New Roman"/>
          <w:noProof/>
          <w:sz w:val="24"/>
          <w:szCs w:val="24"/>
        </w:rPr>
        <w:t>(9), 1689–1699. https://doi.org/10.1017/CBO9781107415324.004</w:t>
      </w:r>
    </w:p>
    <w:p w:rsidR="00E158A9" w:rsidRPr="00E158A9" w:rsidRDefault="00E158A9" w:rsidP="00E158A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158A9">
        <w:rPr>
          <w:rFonts w:ascii="Times New Roman" w:hAnsi="Times New Roman" w:cs="Times New Roman"/>
          <w:noProof/>
          <w:sz w:val="24"/>
          <w:szCs w:val="24"/>
        </w:rPr>
        <w:t xml:space="preserve">Saati, E. A. (2014). Eksplorasi Pigmen Antosianin Bahan Hayati Lokal Pengganti Rodhamin B dan Uji Efektivitasnya Pada Beberapa Produk Industri/Pangan. </w:t>
      </w:r>
      <w:r w:rsidRPr="00E158A9">
        <w:rPr>
          <w:rFonts w:ascii="Times New Roman" w:hAnsi="Times New Roman" w:cs="Times New Roman"/>
          <w:i/>
          <w:iCs/>
          <w:noProof/>
          <w:sz w:val="24"/>
          <w:szCs w:val="24"/>
        </w:rPr>
        <w:t>Jurnal Gamma</w:t>
      </w:r>
      <w:r w:rsidRPr="00E158A9">
        <w:rPr>
          <w:rFonts w:ascii="Times New Roman" w:hAnsi="Times New Roman" w:cs="Times New Roman"/>
          <w:noProof/>
          <w:sz w:val="24"/>
          <w:szCs w:val="24"/>
        </w:rPr>
        <w:t>.</w:t>
      </w:r>
    </w:p>
    <w:p w:rsidR="00E158A9" w:rsidRPr="00E158A9" w:rsidRDefault="00E158A9" w:rsidP="00E158A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158A9">
        <w:rPr>
          <w:rFonts w:ascii="Times New Roman" w:hAnsi="Times New Roman" w:cs="Times New Roman"/>
          <w:noProof/>
          <w:sz w:val="24"/>
          <w:szCs w:val="24"/>
        </w:rPr>
        <w:t xml:space="preserve">Suhaemi, E., Basuki, E., &amp; Prarudiyanto, A. (2018). PENGARUH KOMBINASI JENIS DAN TEKNIK PENGEMASAN TERHADAP SIFAT KIMIA, MIKROBIOLOGI DAN ORGANOLEPTIK BUMBU AYAM TALIWANG KHAS LOMBOK SELAMA PENYIMPANAN. </w:t>
      </w:r>
      <w:r w:rsidRPr="00E158A9">
        <w:rPr>
          <w:rFonts w:ascii="Times New Roman" w:hAnsi="Times New Roman" w:cs="Times New Roman"/>
          <w:i/>
          <w:iCs/>
          <w:noProof/>
          <w:sz w:val="24"/>
          <w:szCs w:val="24"/>
        </w:rPr>
        <w:t>Jurnal Teknologi Pangan</w:t>
      </w:r>
      <w:r w:rsidRPr="00E158A9">
        <w:rPr>
          <w:rFonts w:ascii="Times New Roman" w:hAnsi="Times New Roman" w:cs="Times New Roman"/>
          <w:noProof/>
          <w:sz w:val="24"/>
          <w:szCs w:val="24"/>
        </w:rPr>
        <w:t>. https://doi.org/10.33005/jtp.v11i2.897</w:t>
      </w:r>
    </w:p>
    <w:p w:rsidR="00E158A9" w:rsidRPr="00E158A9" w:rsidRDefault="00E158A9" w:rsidP="00E158A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158A9">
        <w:rPr>
          <w:rFonts w:ascii="Times New Roman" w:hAnsi="Times New Roman" w:cs="Times New Roman"/>
          <w:noProof/>
          <w:sz w:val="24"/>
          <w:szCs w:val="24"/>
        </w:rPr>
        <w:t xml:space="preserve">Tulus Tambunan. (2008). in ASEAN with Reference to Indonesia and Thailand 53, </w:t>
      </w:r>
      <w:r w:rsidRPr="00E158A9">
        <w:rPr>
          <w:rFonts w:ascii="Times New Roman" w:hAnsi="Times New Roman" w:cs="Times New Roman"/>
          <w:i/>
          <w:iCs/>
          <w:noProof/>
          <w:sz w:val="24"/>
          <w:szCs w:val="24"/>
        </w:rPr>
        <w:t>20</w:t>
      </w:r>
      <w:r w:rsidRPr="00E158A9">
        <w:rPr>
          <w:rFonts w:ascii="Times New Roman" w:hAnsi="Times New Roman" w:cs="Times New Roman"/>
          <w:noProof/>
          <w:sz w:val="24"/>
          <w:szCs w:val="24"/>
        </w:rPr>
        <w:t>(1), 53–83.</w:t>
      </w:r>
    </w:p>
    <w:p w:rsidR="00E158A9" w:rsidRPr="00E158A9" w:rsidRDefault="00E158A9" w:rsidP="00E158A9">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158A9">
        <w:rPr>
          <w:rFonts w:ascii="Times New Roman" w:hAnsi="Times New Roman" w:cs="Times New Roman"/>
          <w:noProof/>
          <w:sz w:val="24"/>
          <w:szCs w:val="24"/>
        </w:rPr>
        <w:t xml:space="preserve">Wulandari, Ratna., Krisno, Moch. Agus., dan Waluyo, L. (2016). Pengaruh Berbagai Konsentrasi Ekstrak Bunga Mawar Merah (Rosa Damascena Mill) Terhadap Stabilitas Warna Antosianin Agar-Agar Sebagai Sumber Belajar Biologi. </w:t>
      </w:r>
      <w:r w:rsidRPr="00E158A9">
        <w:rPr>
          <w:rFonts w:ascii="Times New Roman" w:hAnsi="Times New Roman" w:cs="Times New Roman"/>
          <w:i/>
          <w:iCs/>
          <w:noProof/>
          <w:sz w:val="24"/>
          <w:szCs w:val="24"/>
        </w:rPr>
        <w:t>Jurnal Pendidikan Biologi Indonesia</w:t>
      </w:r>
      <w:r w:rsidRPr="00E158A9">
        <w:rPr>
          <w:rFonts w:ascii="Times New Roman" w:hAnsi="Times New Roman" w:cs="Times New Roman"/>
          <w:noProof/>
          <w:sz w:val="24"/>
          <w:szCs w:val="24"/>
        </w:rPr>
        <w:t>.</w:t>
      </w:r>
    </w:p>
    <w:p w:rsidR="00E158A9" w:rsidRPr="00E158A9" w:rsidRDefault="00E158A9" w:rsidP="00E158A9">
      <w:pPr>
        <w:widowControl w:val="0"/>
        <w:autoSpaceDE w:val="0"/>
        <w:autoSpaceDN w:val="0"/>
        <w:adjustRightInd w:val="0"/>
        <w:spacing w:after="0" w:line="240" w:lineRule="auto"/>
        <w:ind w:left="480" w:hanging="480"/>
        <w:rPr>
          <w:rFonts w:ascii="Times New Roman" w:hAnsi="Times New Roman" w:cs="Times New Roman"/>
          <w:noProof/>
          <w:sz w:val="24"/>
        </w:rPr>
      </w:pPr>
      <w:r w:rsidRPr="00E158A9">
        <w:rPr>
          <w:rFonts w:ascii="Times New Roman" w:hAnsi="Times New Roman" w:cs="Times New Roman"/>
          <w:noProof/>
          <w:sz w:val="24"/>
          <w:szCs w:val="24"/>
        </w:rPr>
        <w:lastRenderedPageBreak/>
        <w:t xml:space="preserve">Yustina Wuri Wulandari, Vivi Nuraini, M. D. R. (2019). Analisis Kelayakan Usaha Teh Mawar Pada Ukm Didesaclutang-Boyolali. </w:t>
      </w:r>
      <w:r w:rsidRPr="00E158A9">
        <w:rPr>
          <w:rFonts w:ascii="Times New Roman" w:hAnsi="Times New Roman" w:cs="Times New Roman"/>
          <w:i/>
          <w:iCs/>
          <w:noProof/>
          <w:sz w:val="24"/>
          <w:szCs w:val="24"/>
        </w:rPr>
        <w:t>Sustainablecompetitiveadvantage-9(Sca-9)</w:t>
      </w:r>
      <w:r w:rsidRPr="00E158A9">
        <w:rPr>
          <w:rFonts w:ascii="Times New Roman" w:hAnsi="Times New Roman" w:cs="Times New Roman"/>
          <w:noProof/>
          <w:sz w:val="24"/>
          <w:szCs w:val="24"/>
        </w:rPr>
        <w:t xml:space="preserve">, </w:t>
      </w:r>
      <w:r w:rsidRPr="00E158A9">
        <w:rPr>
          <w:rFonts w:ascii="Times New Roman" w:hAnsi="Times New Roman" w:cs="Times New Roman"/>
          <w:i/>
          <w:iCs/>
          <w:noProof/>
          <w:sz w:val="24"/>
          <w:szCs w:val="24"/>
        </w:rPr>
        <w:t>9</w:t>
      </w:r>
      <w:r w:rsidRPr="00E158A9">
        <w:rPr>
          <w:rFonts w:ascii="Times New Roman" w:hAnsi="Times New Roman" w:cs="Times New Roman"/>
          <w:noProof/>
          <w:sz w:val="24"/>
          <w:szCs w:val="24"/>
        </w:rPr>
        <w:t>(77), 77–84.</w:t>
      </w:r>
    </w:p>
    <w:p w:rsidR="000B086F" w:rsidRDefault="000B086F" w:rsidP="00327253">
      <w:pPr>
        <w:rPr>
          <w:rFonts w:ascii="Times New Roman" w:hAnsi="Times New Roman" w:cs="Times New Roman"/>
          <w:sz w:val="24"/>
          <w:szCs w:val="24"/>
        </w:rPr>
      </w:pPr>
      <w:r>
        <w:rPr>
          <w:rFonts w:ascii="Times New Roman" w:hAnsi="Times New Roman" w:cs="Times New Roman"/>
          <w:sz w:val="24"/>
          <w:szCs w:val="24"/>
        </w:rPr>
        <w:fldChar w:fldCharType="end"/>
      </w:r>
    </w:p>
    <w:sectPr w:rsidR="000B086F" w:rsidSect="00327253">
      <w:type w:val="continuous"/>
      <w:pgSz w:w="12240" w:h="15840"/>
      <w:pgMar w:top="1134" w:right="1701" w:bottom="1134" w:left="1701"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011B6" w:rsidRDefault="00B011B6" w:rsidP="00305A9E">
      <w:pPr>
        <w:spacing w:after="0" w:line="240" w:lineRule="auto"/>
      </w:pPr>
      <w:r>
        <w:separator/>
      </w:r>
    </w:p>
  </w:endnote>
  <w:endnote w:type="continuationSeparator" w:id="0">
    <w:p w:rsidR="00B011B6" w:rsidRDefault="00B011B6" w:rsidP="00305A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011B6" w:rsidRDefault="00B011B6" w:rsidP="00305A9E">
      <w:pPr>
        <w:spacing w:after="0" w:line="240" w:lineRule="auto"/>
      </w:pPr>
      <w:r>
        <w:separator/>
      </w:r>
    </w:p>
  </w:footnote>
  <w:footnote w:type="continuationSeparator" w:id="0">
    <w:p w:rsidR="00B011B6" w:rsidRDefault="00B011B6" w:rsidP="00305A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312F8"/>
    <w:multiLevelType w:val="hybridMultilevel"/>
    <w:tmpl w:val="DF6007D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F75D7"/>
    <w:multiLevelType w:val="multilevel"/>
    <w:tmpl w:val="65DC294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C752865"/>
    <w:multiLevelType w:val="hybridMultilevel"/>
    <w:tmpl w:val="731EA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902855"/>
    <w:multiLevelType w:val="hybridMultilevel"/>
    <w:tmpl w:val="6C2EA4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461B74"/>
    <w:multiLevelType w:val="hybridMultilevel"/>
    <w:tmpl w:val="7FBE3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B51D01"/>
    <w:multiLevelType w:val="hybridMultilevel"/>
    <w:tmpl w:val="2D267D56"/>
    <w:lvl w:ilvl="0" w:tplc="A5565ACE">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4BC4B93"/>
    <w:multiLevelType w:val="hybridMultilevel"/>
    <w:tmpl w:val="A3E875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F9E5395"/>
    <w:multiLevelType w:val="hybridMultilevel"/>
    <w:tmpl w:val="77E037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5"/>
  </w:num>
  <w:num w:numId="4">
    <w:abstractNumId w:val="4"/>
  </w:num>
  <w:num w:numId="5">
    <w:abstractNumId w:val="0"/>
  </w:num>
  <w:num w:numId="6">
    <w:abstractNumId w:val="1"/>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522F"/>
    <w:rsid w:val="0000481B"/>
    <w:rsid w:val="00054B2E"/>
    <w:rsid w:val="00073BA6"/>
    <w:rsid w:val="000B086F"/>
    <w:rsid w:val="001A346F"/>
    <w:rsid w:val="001B5888"/>
    <w:rsid w:val="001F3AA0"/>
    <w:rsid w:val="00212BA4"/>
    <w:rsid w:val="0028420E"/>
    <w:rsid w:val="002B48CD"/>
    <w:rsid w:val="002C16C7"/>
    <w:rsid w:val="003006DA"/>
    <w:rsid w:val="003012DA"/>
    <w:rsid w:val="00305A9E"/>
    <w:rsid w:val="00327253"/>
    <w:rsid w:val="00334625"/>
    <w:rsid w:val="0035776E"/>
    <w:rsid w:val="003810D5"/>
    <w:rsid w:val="00391E01"/>
    <w:rsid w:val="003B17F9"/>
    <w:rsid w:val="00452531"/>
    <w:rsid w:val="00491F76"/>
    <w:rsid w:val="00515B7E"/>
    <w:rsid w:val="005666D4"/>
    <w:rsid w:val="005E181A"/>
    <w:rsid w:val="005F68F0"/>
    <w:rsid w:val="006611DF"/>
    <w:rsid w:val="0067180A"/>
    <w:rsid w:val="006A3C65"/>
    <w:rsid w:val="006B3A52"/>
    <w:rsid w:val="006B6E75"/>
    <w:rsid w:val="006C1C7F"/>
    <w:rsid w:val="006E1278"/>
    <w:rsid w:val="006F2156"/>
    <w:rsid w:val="006F7DAE"/>
    <w:rsid w:val="00733CDE"/>
    <w:rsid w:val="0073592C"/>
    <w:rsid w:val="007A5F88"/>
    <w:rsid w:val="007E17C2"/>
    <w:rsid w:val="00807084"/>
    <w:rsid w:val="008579BB"/>
    <w:rsid w:val="00867BFD"/>
    <w:rsid w:val="00892F01"/>
    <w:rsid w:val="008A12BB"/>
    <w:rsid w:val="008B44AB"/>
    <w:rsid w:val="008E4C08"/>
    <w:rsid w:val="008E5E7A"/>
    <w:rsid w:val="0091522F"/>
    <w:rsid w:val="00921225"/>
    <w:rsid w:val="0093294B"/>
    <w:rsid w:val="00955056"/>
    <w:rsid w:val="0096546F"/>
    <w:rsid w:val="009B52DB"/>
    <w:rsid w:val="00A101FE"/>
    <w:rsid w:val="00AA4C11"/>
    <w:rsid w:val="00AB3AA9"/>
    <w:rsid w:val="00AF572F"/>
    <w:rsid w:val="00B011B6"/>
    <w:rsid w:val="00B45C11"/>
    <w:rsid w:val="00B67A40"/>
    <w:rsid w:val="00B967DC"/>
    <w:rsid w:val="00BC3E56"/>
    <w:rsid w:val="00BD41F0"/>
    <w:rsid w:val="00C4735F"/>
    <w:rsid w:val="00C61329"/>
    <w:rsid w:val="00D242D4"/>
    <w:rsid w:val="00D54E03"/>
    <w:rsid w:val="00D70A0F"/>
    <w:rsid w:val="00D74A7E"/>
    <w:rsid w:val="00E14E06"/>
    <w:rsid w:val="00E158A9"/>
    <w:rsid w:val="00E166E4"/>
    <w:rsid w:val="00E36E81"/>
    <w:rsid w:val="00E3726A"/>
    <w:rsid w:val="00E64119"/>
    <w:rsid w:val="00E860C0"/>
    <w:rsid w:val="00EC63BB"/>
    <w:rsid w:val="00EC7477"/>
    <w:rsid w:val="00EE6FA1"/>
    <w:rsid w:val="00F2719E"/>
    <w:rsid w:val="00F40E0D"/>
    <w:rsid w:val="00F531C1"/>
    <w:rsid w:val="00F83084"/>
    <w:rsid w:val="00FA78DA"/>
    <w:rsid w:val="00FE4AFE"/>
    <w:rsid w:val="00FE60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FCAEF61-874C-4C50-A417-A4810E67D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1522F"/>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Hyperlink">
    <w:name w:val="Hyperlink"/>
    <w:rsid w:val="0091522F"/>
    <w:rPr>
      <w:color w:val="0000FF"/>
      <w:u w:val="single"/>
    </w:rPr>
  </w:style>
  <w:style w:type="character" w:customStyle="1" w:styleId="FooterChar">
    <w:name w:val="Footer Char"/>
    <w:link w:val="Footer"/>
    <w:uiPriority w:val="99"/>
    <w:rsid w:val="0091522F"/>
  </w:style>
  <w:style w:type="paragraph" w:styleId="Footer">
    <w:name w:val="footer"/>
    <w:basedOn w:val="Normal"/>
    <w:link w:val="FooterChar"/>
    <w:uiPriority w:val="99"/>
    <w:unhideWhenUsed/>
    <w:rsid w:val="0091522F"/>
    <w:pPr>
      <w:tabs>
        <w:tab w:val="center" w:pos="4680"/>
        <w:tab w:val="right" w:pos="9360"/>
      </w:tabs>
      <w:spacing w:after="200" w:line="276" w:lineRule="auto"/>
    </w:pPr>
  </w:style>
  <w:style w:type="character" w:customStyle="1" w:styleId="FooterChar1">
    <w:name w:val="Footer Char1"/>
    <w:basedOn w:val="DefaultParagraphFont"/>
    <w:uiPriority w:val="99"/>
    <w:semiHidden/>
    <w:rsid w:val="0091522F"/>
  </w:style>
  <w:style w:type="paragraph" w:customStyle="1" w:styleId="CM2">
    <w:name w:val="CM2"/>
    <w:basedOn w:val="Default"/>
    <w:next w:val="Default"/>
    <w:uiPriority w:val="99"/>
    <w:rsid w:val="0091522F"/>
    <w:pPr>
      <w:spacing w:line="236" w:lineRule="atLeast"/>
    </w:pPr>
    <w:rPr>
      <w:color w:val="auto"/>
    </w:rPr>
  </w:style>
  <w:style w:type="paragraph" w:customStyle="1" w:styleId="CM5">
    <w:name w:val="CM5"/>
    <w:basedOn w:val="Default"/>
    <w:next w:val="Default"/>
    <w:uiPriority w:val="99"/>
    <w:rsid w:val="0091522F"/>
    <w:pPr>
      <w:spacing w:after="228"/>
    </w:pPr>
    <w:rPr>
      <w:color w:val="auto"/>
    </w:rPr>
  </w:style>
  <w:style w:type="paragraph" w:customStyle="1" w:styleId="CM6">
    <w:name w:val="CM6"/>
    <w:basedOn w:val="Default"/>
    <w:next w:val="Default"/>
    <w:uiPriority w:val="99"/>
    <w:rsid w:val="0091522F"/>
    <w:pPr>
      <w:spacing w:after="445"/>
    </w:pPr>
    <w:rPr>
      <w:color w:val="auto"/>
    </w:rPr>
  </w:style>
  <w:style w:type="paragraph" w:styleId="ListParagraph">
    <w:name w:val="List Paragraph"/>
    <w:basedOn w:val="Normal"/>
    <w:uiPriority w:val="34"/>
    <w:qFormat/>
    <w:rsid w:val="0091522F"/>
    <w:pPr>
      <w:ind w:left="720"/>
      <w:contextualSpacing/>
      <w:jc w:val="both"/>
    </w:pPr>
    <w:rPr>
      <w:rFonts w:ascii="Times New Roman" w:eastAsia="Calibri" w:hAnsi="Times New Roman" w:cs="Times New Roman"/>
      <w:sz w:val="24"/>
    </w:rPr>
  </w:style>
  <w:style w:type="paragraph" w:styleId="Header">
    <w:name w:val="header"/>
    <w:basedOn w:val="Normal"/>
    <w:link w:val="HeaderChar"/>
    <w:uiPriority w:val="99"/>
    <w:unhideWhenUsed/>
    <w:rsid w:val="00305A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5A9E"/>
  </w:style>
  <w:style w:type="paragraph" w:styleId="HTMLPreformatted">
    <w:name w:val="HTML Preformatted"/>
    <w:basedOn w:val="Normal"/>
    <w:link w:val="HTMLPreformattedChar"/>
    <w:uiPriority w:val="99"/>
    <w:unhideWhenUsed/>
    <w:rsid w:val="001B58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B5888"/>
    <w:rPr>
      <w:rFonts w:ascii="Courier New" w:eastAsia="Times New Roman" w:hAnsi="Courier New" w:cs="Courier New"/>
      <w:sz w:val="20"/>
      <w:szCs w:val="20"/>
    </w:rPr>
  </w:style>
  <w:style w:type="character" w:customStyle="1" w:styleId="tlid-translation">
    <w:name w:val="tlid-translation"/>
    <w:basedOn w:val="DefaultParagraphFont"/>
    <w:rsid w:val="00BC3E56"/>
  </w:style>
  <w:style w:type="table" w:styleId="TableGrid">
    <w:name w:val="Table Grid"/>
    <w:basedOn w:val="TableNormal"/>
    <w:uiPriority w:val="59"/>
    <w:rsid w:val="008E4C08"/>
    <w:pPr>
      <w:spacing w:after="0" w:line="240" w:lineRule="auto"/>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4491530">
      <w:bodyDiv w:val="1"/>
      <w:marLeft w:val="0"/>
      <w:marRight w:val="0"/>
      <w:marTop w:val="0"/>
      <w:marBottom w:val="0"/>
      <w:divBdr>
        <w:top w:val="none" w:sz="0" w:space="0" w:color="auto"/>
        <w:left w:val="none" w:sz="0" w:space="0" w:color="auto"/>
        <w:bottom w:val="none" w:sz="0" w:space="0" w:color="auto"/>
        <w:right w:val="none" w:sz="0" w:space="0" w:color="auto"/>
      </w:divBdr>
      <w:divsChild>
        <w:div w:id="736174388">
          <w:marLeft w:val="0"/>
          <w:marRight w:val="0"/>
          <w:marTop w:val="0"/>
          <w:marBottom w:val="0"/>
          <w:divBdr>
            <w:top w:val="none" w:sz="0" w:space="0" w:color="auto"/>
            <w:left w:val="none" w:sz="0" w:space="0" w:color="auto"/>
            <w:bottom w:val="none" w:sz="0" w:space="0" w:color="auto"/>
            <w:right w:val="none" w:sz="0" w:space="0" w:color="auto"/>
          </w:divBdr>
        </w:div>
        <w:div w:id="1428965487">
          <w:marLeft w:val="0"/>
          <w:marRight w:val="0"/>
          <w:marTop w:val="0"/>
          <w:marBottom w:val="0"/>
          <w:divBdr>
            <w:top w:val="none" w:sz="0" w:space="0" w:color="auto"/>
            <w:left w:val="none" w:sz="0" w:space="0" w:color="auto"/>
            <w:bottom w:val="none" w:sz="0" w:space="0" w:color="auto"/>
            <w:right w:val="none" w:sz="0" w:space="0" w:color="auto"/>
          </w:divBdr>
        </w:div>
        <w:div w:id="1765177164">
          <w:marLeft w:val="0"/>
          <w:marRight w:val="0"/>
          <w:marTop w:val="0"/>
          <w:marBottom w:val="0"/>
          <w:divBdr>
            <w:top w:val="none" w:sz="0" w:space="0" w:color="auto"/>
            <w:left w:val="none" w:sz="0" w:space="0" w:color="auto"/>
            <w:bottom w:val="none" w:sz="0" w:space="0" w:color="auto"/>
            <w:right w:val="none" w:sz="0" w:space="0" w:color="auto"/>
          </w:divBdr>
        </w:div>
      </w:divsChild>
    </w:div>
    <w:div w:id="1965770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d.wikipedia.org/wiki/Udara"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d.wikipedia.org/w/index.php?title=Isolator&amp;action=edit&amp;redlink=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d.wikipedia.org/w/index.php?title=Kedap_air&amp;action=edit&amp;redlink=1"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http://id.wikipedia.org/wiki/Reaksi_kimia" TargetMode="External"/><Relationship Id="rId4" Type="http://schemas.openxmlformats.org/officeDocument/2006/relationships/settings" Target="settings.xml"/><Relationship Id="rId9" Type="http://schemas.openxmlformats.org/officeDocument/2006/relationships/hyperlink" Target="http://id.wikipedia.org/w/index.php?title=Non-toksik&amp;action=edit&amp;redlink=1"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8E9F75-9718-4E3F-8B83-7C31ED32C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1195</TotalTime>
  <Pages>10</Pages>
  <Words>7993</Words>
  <Characters>45563</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WURI</dc:creator>
  <cp:keywords/>
  <dc:description/>
  <cp:lastModifiedBy>WURI</cp:lastModifiedBy>
  <cp:revision>5</cp:revision>
  <dcterms:created xsi:type="dcterms:W3CDTF">2019-10-01T03:01:00Z</dcterms:created>
  <dcterms:modified xsi:type="dcterms:W3CDTF">2020-09-30T14:53:00Z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55e6ba37-3b48-3463-8bfc-14f87d465fa6</vt:lpwstr>
  </property>
  <property fmtid="{D5CDD505-2E9C-101B-9397-08002B2CF9AE}" pid="24" name="Mendeley Citation Style_1">
    <vt:lpwstr>http://www.zotero.org/styles/apa</vt:lpwstr>
  </property>
</Properties>
</file>