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31D9B" w14:textId="77777777" w:rsidR="00BF5282" w:rsidRDefault="00BF5282" w:rsidP="00BF5282">
      <w:pPr>
        <w:pStyle w:val="IEEETitle"/>
        <w:tabs>
          <w:tab w:val="left" w:pos="1014"/>
          <w:tab w:val="center" w:pos="5017"/>
        </w:tabs>
        <w:rPr>
          <w:rStyle w:val="shorttext"/>
          <w:rFonts w:ascii="Century Gothic" w:hAnsi="Century Gothic"/>
          <w:b/>
          <w:sz w:val="32"/>
          <w:szCs w:val="32"/>
          <w:shd w:val="clear" w:color="auto" w:fill="FFFFFF"/>
          <w:lang w:val="id-ID"/>
        </w:rPr>
      </w:pPr>
    </w:p>
    <w:p w14:paraId="12F38792" w14:textId="77777777" w:rsidR="00052A93" w:rsidRPr="00052A93" w:rsidRDefault="00052A93" w:rsidP="00052A93">
      <w:pPr>
        <w:jc w:val="center"/>
        <w:rPr>
          <w:rFonts w:ascii="Century Gothic" w:hAnsi="Century Gothic"/>
          <w:b/>
          <w:iCs/>
          <w:sz w:val="28"/>
          <w:szCs w:val="28"/>
          <w:lang w:val="en-ID"/>
        </w:rPr>
      </w:pPr>
      <w:r w:rsidRPr="00052A93">
        <w:rPr>
          <w:rFonts w:ascii="Century Gothic" w:hAnsi="Century Gothic"/>
          <w:b/>
          <w:iCs/>
          <w:sz w:val="28"/>
          <w:szCs w:val="28"/>
          <w:lang w:val="en-ID"/>
        </w:rPr>
        <w:t xml:space="preserve">PEMBERDAYAAN RELAWAN DALAM ANTISIPASI KEKERASAN </w:t>
      </w:r>
    </w:p>
    <w:p w14:paraId="23A4B1B9" w14:textId="77777777" w:rsidR="00052A93" w:rsidRPr="00052A93" w:rsidRDefault="00052A93" w:rsidP="00052A93">
      <w:pPr>
        <w:jc w:val="center"/>
        <w:rPr>
          <w:rFonts w:ascii="Century Gothic" w:hAnsi="Century Gothic"/>
          <w:b/>
          <w:noProof/>
          <w:sz w:val="28"/>
          <w:szCs w:val="28"/>
        </w:rPr>
      </w:pPr>
      <w:r w:rsidRPr="00052A93">
        <w:rPr>
          <w:rFonts w:ascii="Century Gothic" w:hAnsi="Century Gothic"/>
          <w:b/>
          <w:iCs/>
          <w:sz w:val="28"/>
          <w:szCs w:val="28"/>
          <w:lang w:val="en-ID"/>
        </w:rPr>
        <w:t>PADA PEREMPUAN DAN ANAK</w:t>
      </w:r>
    </w:p>
    <w:p w14:paraId="0042DD34" w14:textId="77777777" w:rsidR="00B96636" w:rsidRPr="00B96636" w:rsidRDefault="00B96636" w:rsidP="00B96636">
      <w:pPr>
        <w:rPr>
          <w:lang w:val="id-ID"/>
        </w:rPr>
      </w:pPr>
    </w:p>
    <w:p w14:paraId="202CC2F3" w14:textId="77777777" w:rsidR="005B3934" w:rsidRPr="00922A80" w:rsidRDefault="00052A93" w:rsidP="005B3934">
      <w:pPr>
        <w:jc w:val="center"/>
        <w:rPr>
          <w:rFonts w:ascii="Trebuchet MS" w:hAnsi="Trebuchet MS"/>
          <w:b/>
          <w:bCs/>
          <w:sz w:val="22"/>
          <w:szCs w:val="22"/>
        </w:rPr>
      </w:pPr>
      <w:r>
        <w:rPr>
          <w:rFonts w:ascii="Trebuchet MS" w:hAnsi="Trebuchet MS"/>
          <w:b/>
          <w:bCs/>
          <w:sz w:val="22"/>
          <w:szCs w:val="22"/>
          <w:lang w:val="en-US"/>
        </w:rPr>
        <w:t>Novi Andayani Praptiningsih</w:t>
      </w:r>
      <w:r w:rsidR="00AB2575" w:rsidRPr="00922A80">
        <w:rPr>
          <w:rFonts w:ascii="Trebuchet MS" w:hAnsi="Trebuchet MS"/>
          <w:b/>
          <w:bCs/>
          <w:sz w:val="22"/>
          <w:szCs w:val="22"/>
          <w:vertAlign w:val="superscript"/>
          <w:lang w:val="en-US"/>
        </w:rPr>
        <w:t>1</w:t>
      </w:r>
      <w:r w:rsidR="00922A80">
        <w:rPr>
          <w:rFonts w:ascii="Trebuchet MS" w:hAnsi="Trebuchet MS"/>
          <w:b/>
          <w:bCs/>
          <w:sz w:val="22"/>
          <w:szCs w:val="22"/>
          <w:vertAlign w:val="superscript"/>
          <w:lang w:val="en-US"/>
        </w:rPr>
        <w:t>*</w:t>
      </w:r>
      <w:r w:rsidR="005B3934" w:rsidRPr="00922A80">
        <w:rPr>
          <w:rFonts w:ascii="Trebuchet MS" w:hAnsi="Trebuchet MS"/>
          <w:b/>
          <w:bCs/>
          <w:sz w:val="22"/>
          <w:szCs w:val="22"/>
          <w:lang w:val="id-ID"/>
        </w:rPr>
        <w:t xml:space="preserve">, </w:t>
      </w:r>
      <w:r>
        <w:rPr>
          <w:rFonts w:ascii="Trebuchet MS" w:hAnsi="Trebuchet MS"/>
          <w:b/>
          <w:bCs/>
          <w:sz w:val="22"/>
          <w:szCs w:val="22"/>
          <w:lang w:val="en-US"/>
        </w:rPr>
        <w:t>Wini Tarmini</w:t>
      </w:r>
      <w:r w:rsidR="00AB2575" w:rsidRPr="00922A80">
        <w:rPr>
          <w:rFonts w:ascii="Trebuchet MS" w:hAnsi="Trebuchet MS"/>
          <w:b/>
          <w:bCs/>
          <w:sz w:val="22"/>
          <w:szCs w:val="22"/>
          <w:vertAlign w:val="superscript"/>
          <w:lang w:val="en-US"/>
        </w:rPr>
        <w:t>2</w:t>
      </w:r>
    </w:p>
    <w:p w14:paraId="703F9A73" w14:textId="77777777" w:rsidR="00772C88" w:rsidRDefault="00A04DC8" w:rsidP="005B3934">
      <w:pPr>
        <w:jc w:val="center"/>
        <w:rPr>
          <w:rFonts w:ascii="Trebuchet MS" w:hAnsi="Trebuchet MS" w:cstheme="minorHAnsi"/>
          <w:sz w:val="18"/>
          <w:szCs w:val="18"/>
        </w:rPr>
      </w:pPr>
      <w:r w:rsidRPr="00BF5282">
        <w:rPr>
          <w:rFonts w:ascii="Trebuchet MS" w:hAnsi="Trebuchet MS" w:cstheme="minorHAnsi"/>
          <w:sz w:val="18"/>
          <w:szCs w:val="18"/>
          <w:vertAlign w:val="superscript"/>
        </w:rPr>
        <w:t>1</w:t>
      </w:r>
      <w:r w:rsidR="00052A93">
        <w:rPr>
          <w:rFonts w:ascii="Trebuchet MS" w:hAnsi="Trebuchet MS" w:cstheme="minorHAnsi"/>
          <w:sz w:val="18"/>
          <w:szCs w:val="18"/>
        </w:rPr>
        <w:t>Ilmu Komunikasi</w:t>
      </w:r>
      <w:r w:rsidR="005B3934" w:rsidRPr="00BF5282">
        <w:rPr>
          <w:rFonts w:ascii="Trebuchet MS" w:hAnsi="Trebuchet MS" w:cstheme="minorHAnsi"/>
          <w:sz w:val="18"/>
          <w:szCs w:val="18"/>
        </w:rPr>
        <w:t xml:space="preserve">, </w:t>
      </w:r>
      <w:r w:rsidR="00AB2575" w:rsidRPr="00BF5282">
        <w:rPr>
          <w:rFonts w:ascii="Trebuchet MS" w:hAnsi="Trebuchet MS" w:cstheme="minorHAnsi"/>
          <w:sz w:val="18"/>
          <w:szCs w:val="18"/>
        </w:rPr>
        <w:t xml:space="preserve">Universitas </w:t>
      </w:r>
      <w:r w:rsidR="00052A93">
        <w:rPr>
          <w:rFonts w:ascii="Trebuchet MS" w:hAnsi="Trebuchet MS" w:cstheme="minorHAnsi"/>
          <w:sz w:val="18"/>
          <w:szCs w:val="18"/>
        </w:rPr>
        <w:t>Muhammadiyah Prof. Dr. HAMKA Jakarta</w:t>
      </w:r>
      <w:r w:rsidR="0026094F" w:rsidRPr="00BF5282">
        <w:rPr>
          <w:rFonts w:ascii="Trebuchet MS" w:hAnsi="Trebuchet MS" w:cstheme="minorHAnsi"/>
          <w:sz w:val="18"/>
          <w:szCs w:val="18"/>
        </w:rPr>
        <w:t xml:space="preserve">, </w:t>
      </w:r>
      <w:r w:rsidR="00772C88">
        <w:rPr>
          <w:rFonts w:ascii="Trebuchet MS" w:hAnsi="Trebuchet MS" w:cstheme="minorHAnsi"/>
          <w:sz w:val="18"/>
          <w:szCs w:val="18"/>
        </w:rPr>
        <w:t>Indonesia</w:t>
      </w:r>
    </w:p>
    <w:p w14:paraId="53152284" w14:textId="77777777" w:rsidR="00052A93" w:rsidRDefault="00052A93" w:rsidP="00052A93">
      <w:pPr>
        <w:jc w:val="center"/>
        <w:rPr>
          <w:rFonts w:ascii="Trebuchet MS" w:hAnsi="Trebuchet MS" w:cstheme="minorHAnsi"/>
          <w:sz w:val="18"/>
          <w:szCs w:val="18"/>
        </w:rPr>
      </w:pPr>
      <w:r w:rsidRPr="00052A93">
        <w:rPr>
          <w:rFonts w:ascii="Trebuchet MS" w:hAnsi="Trebuchet MS" w:cstheme="minorHAnsi"/>
          <w:sz w:val="18"/>
          <w:szCs w:val="18"/>
          <w:vertAlign w:val="superscript"/>
        </w:rPr>
        <w:t>2</w:t>
      </w:r>
      <w:r>
        <w:rPr>
          <w:rFonts w:ascii="Trebuchet MS" w:hAnsi="Trebuchet MS" w:cstheme="minorHAnsi"/>
          <w:sz w:val="18"/>
          <w:szCs w:val="18"/>
        </w:rPr>
        <w:t>Pendidikan Bahasa &amp; Sastra Indonesia</w:t>
      </w:r>
      <w:r w:rsidRPr="00BF5282">
        <w:rPr>
          <w:rFonts w:ascii="Trebuchet MS" w:hAnsi="Trebuchet MS" w:cstheme="minorHAnsi"/>
          <w:sz w:val="18"/>
          <w:szCs w:val="18"/>
        </w:rPr>
        <w:t xml:space="preserve">, Universitas </w:t>
      </w:r>
      <w:r>
        <w:rPr>
          <w:rFonts w:ascii="Trebuchet MS" w:hAnsi="Trebuchet MS" w:cstheme="minorHAnsi"/>
          <w:sz w:val="18"/>
          <w:szCs w:val="18"/>
        </w:rPr>
        <w:t>Muhammadiyah Prof. Dr. HAMKA Jakarta</w:t>
      </w:r>
      <w:r w:rsidRPr="00BF5282">
        <w:rPr>
          <w:rFonts w:ascii="Trebuchet MS" w:hAnsi="Trebuchet MS" w:cstheme="minorHAnsi"/>
          <w:sz w:val="18"/>
          <w:szCs w:val="18"/>
        </w:rPr>
        <w:t xml:space="preserve">, </w:t>
      </w:r>
      <w:r>
        <w:rPr>
          <w:rFonts w:ascii="Trebuchet MS" w:hAnsi="Trebuchet MS" w:cstheme="minorHAnsi"/>
          <w:sz w:val="18"/>
          <w:szCs w:val="18"/>
        </w:rPr>
        <w:t>Indonesia</w:t>
      </w:r>
    </w:p>
    <w:p w14:paraId="6CD9FBCA" w14:textId="77777777" w:rsidR="00052A93" w:rsidRDefault="00052A93" w:rsidP="005B3934">
      <w:pPr>
        <w:jc w:val="center"/>
        <w:rPr>
          <w:rFonts w:ascii="Trebuchet MS" w:hAnsi="Trebuchet MS" w:cstheme="minorHAnsi"/>
          <w:sz w:val="18"/>
          <w:szCs w:val="18"/>
        </w:rPr>
      </w:pPr>
    </w:p>
    <w:p w14:paraId="019D6C6C" w14:textId="77777777" w:rsidR="00052A93" w:rsidRPr="00317086" w:rsidRDefault="00052A93" w:rsidP="00317086">
      <w:pPr>
        <w:jc w:val="center"/>
        <w:rPr>
          <w:rFonts w:ascii="Trebuchet MS" w:hAnsi="Trebuchet MS" w:cstheme="minorHAnsi"/>
          <w:sz w:val="18"/>
          <w:szCs w:val="18"/>
        </w:rPr>
        <w:sectPr w:rsidR="00052A93" w:rsidRPr="00317086" w:rsidSect="0038106C">
          <w:headerReference w:type="even" r:id="rId8"/>
          <w:headerReference w:type="default" r:id="rId9"/>
          <w:headerReference w:type="first" r:id="rId10"/>
          <w:footerReference w:type="first" r:id="rId11"/>
          <w:pgSz w:w="11906" w:h="16838" w:code="9"/>
          <w:pgMar w:top="1134" w:right="1701" w:bottom="1134" w:left="1701" w:header="567" w:footer="431" w:gutter="0"/>
          <w:cols w:space="708"/>
          <w:titlePg/>
          <w:docGrid w:linePitch="360"/>
        </w:sectPr>
      </w:pPr>
      <w:r w:rsidRPr="00052A93">
        <w:rPr>
          <w:rFonts w:ascii="Trebuchet MS" w:hAnsi="Trebuchet MS" w:cstheme="minorHAnsi"/>
          <w:sz w:val="18"/>
          <w:szCs w:val="18"/>
        </w:rPr>
        <w:t>novi.ap@uhamka</w:t>
      </w:r>
      <w:r w:rsidR="00317086">
        <w:rPr>
          <w:rFonts w:ascii="Trebuchet MS" w:hAnsi="Trebuchet MS" w:cstheme="minorHAnsi"/>
          <w:sz w:val="18"/>
          <w:szCs w:val="18"/>
        </w:rPr>
        <w:t>.ac.id</w:t>
      </w:r>
    </w:p>
    <w:p w14:paraId="0F551E6A" w14:textId="77777777" w:rsidR="009D3C51" w:rsidRPr="00B3521D" w:rsidRDefault="009D3C51" w:rsidP="007E34AA">
      <w:pPr>
        <w:pStyle w:val="IEEEAbtract"/>
        <w:ind w:left="1985" w:right="1779"/>
        <w:rPr>
          <w:rFonts w:ascii="Century Gothic" w:hAnsi="Century Gothic"/>
          <w:lang w:val="id-ID"/>
        </w:rPr>
      </w:pPr>
    </w:p>
    <w:tbl>
      <w:tblPr>
        <w:tblStyle w:val="TableGrid"/>
        <w:tblW w:w="8459" w:type="dxa"/>
        <w:jc w:val="center"/>
        <w:tblLook w:val="04A0" w:firstRow="1" w:lastRow="0" w:firstColumn="1" w:lastColumn="0" w:noHBand="0" w:noVBand="1"/>
      </w:tblPr>
      <w:tblGrid>
        <w:gridCol w:w="1243"/>
        <w:gridCol w:w="3033"/>
        <w:gridCol w:w="4161"/>
        <w:gridCol w:w="22"/>
      </w:tblGrid>
      <w:tr w:rsidR="00BF5282" w:rsidRPr="00922A80" w14:paraId="76066BB5" w14:textId="77777777" w:rsidTr="00005CE1">
        <w:trPr>
          <w:gridAfter w:val="1"/>
          <w:wAfter w:w="22" w:type="dxa"/>
          <w:trHeight w:val="135"/>
          <w:jc w:val="center"/>
        </w:trPr>
        <w:tc>
          <w:tcPr>
            <w:tcW w:w="8437" w:type="dxa"/>
            <w:gridSpan w:val="3"/>
            <w:tcBorders>
              <w:top w:val="double" w:sz="4" w:space="0" w:color="auto"/>
              <w:left w:val="nil"/>
              <w:bottom w:val="single" w:sz="4" w:space="0" w:color="auto"/>
              <w:right w:val="nil"/>
            </w:tcBorders>
            <w:vAlign w:val="center"/>
          </w:tcPr>
          <w:p w14:paraId="4F7C7E4F" w14:textId="77777777" w:rsidR="00BF5282" w:rsidRPr="00922A80" w:rsidRDefault="00BF5282" w:rsidP="00521ED0">
            <w:pPr>
              <w:spacing w:before="120"/>
              <w:jc w:val="center"/>
              <w:rPr>
                <w:rFonts w:ascii="Century Gothic" w:hAnsi="Century Gothic"/>
                <w:color w:val="000000"/>
                <w:sz w:val="20"/>
                <w:szCs w:val="20"/>
              </w:rPr>
            </w:pPr>
            <w:r w:rsidRPr="00922A80">
              <w:rPr>
                <w:rFonts w:ascii="Century Gothic" w:hAnsi="Century Gothic"/>
                <w:b/>
                <w:bCs/>
                <w:iCs/>
                <w:color w:val="000000"/>
                <w:sz w:val="20"/>
                <w:szCs w:val="20"/>
              </w:rPr>
              <w:t>ABSTRAK</w:t>
            </w:r>
          </w:p>
        </w:tc>
      </w:tr>
      <w:tr w:rsidR="00BF5282" w:rsidRPr="00922A80" w14:paraId="7D0D4319" w14:textId="77777777" w:rsidTr="00005CE1">
        <w:trPr>
          <w:gridAfter w:val="1"/>
          <w:wAfter w:w="22" w:type="dxa"/>
          <w:trHeight w:val="1268"/>
          <w:jc w:val="center"/>
        </w:trPr>
        <w:tc>
          <w:tcPr>
            <w:tcW w:w="8437" w:type="dxa"/>
            <w:gridSpan w:val="3"/>
            <w:vMerge w:val="restart"/>
            <w:tcBorders>
              <w:top w:val="single" w:sz="4" w:space="0" w:color="auto"/>
              <w:left w:val="nil"/>
              <w:right w:val="nil"/>
            </w:tcBorders>
          </w:tcPr>
          <w:p w14:paraId="2AA42BF6" w14:textId="6CBA5F83" w:rsidR="00E26614" w:rsidRPr="00C12FD4" w:rsidRDefault="00BF5282" w:rsidP="00C12FD4">
            <w:pPr>
              <w:pStyle w:val="NormalWeb"/>
              <w:tabs>
                <w:tab w:val="left" w:pos="5670"/>
              </w:tabs>
              <w:spacing w:before="0" w:beforeAutospacing="0" w:after="0" w:afterAutospacing="0"/>
              <w:jc w:val="both"/>
              <w:rPr>
                <w:rStyle w:val="longtext"/>
                <w:rFonts w:ascii="Century" w:hAnsi="Century"/>
                <w:bCs/>
                <w:color w:val="000000" w:themeColor="text1"/>
                <w:sz w:val="20"/>
                <w:szCs w:val="20"/>
              </w:rPr>
            </w:pPr>
            <w:r w:rsidRPr="00E26614">
              <w:rPr>
                <w:rFonts w:ascii="Century" w:hAnsi="Century"/>
                <w:b/>
                <w:i/>
                <w:iCs/>
                <w:sz w:val="20"/>
                <w:szCs w:val="20"/>
                <w:lang w:val="id-ID"/>
              </w:rPr>
              <w:t>Abstrak</w:t>
            </w:r>
            <w:r w:rsidR="00C12FD4">
              <w:rPr>
                <w:rFonts w:ascii="Century" w:hAnsi="Century"/>
                <w:b/>
                <w:i/>
                <w:iCs/>
                <w:sz w:val="20"/>
                <w:szCs w:val="20"/>
                <w:lang w:val="en-ID"/>
              </w:rPr>
              <w:t>:</w:t>
            </w:r>
            <w:r w:rsidR="00C12FD4">
              <w:rPr>
                <w:rFonts w:ascii="Century" w:hAnsi="Century"/>
                <w:color w:val="000000" w:themeColor="text1"/>
                <w:sz w:val="20"/>
                <w:szCs w:val="20"/>
                <w:lang w:val="en-ID"/>
              </w:rPr>
              <w:t xml:space="preserve"> Kekerasan pada perempuan dan anak tidak bisa dipisahkan, karena dua permasalahan tersebut harus dipecahkan secara integratif dengan memberikan perlindungan pada kedua korban, yakni perempuan dan anak. Kegiatan ini ber</w:t>
            </w:r>
            <w:r w:rsidR="00C12FD4">
              <w:rPr>
                <w:rFonts w:ascii="Century" w:hAnsi="Century"/>
                <w:bCs/>
                <w:color w:val="000000" w:themeColor="text1"/>
                <w:sz w:val="20"/>
                <w:szCs w:val="20"/>
              </w:rPr>
              <w:t xml:space="preserve">tujuan (1) memberikan pemahaman dan memperkaya pengetahuan </w:t>
            </w:r>
            <w:r w:rsidR="00C12FD4">
              <w:rPr>
                <w:rFonts w:ascii="Century" w:hAnsi="Century"/>
                <w:bCs/>
                <w:color w:val="000000" w:themeColor="text1"/>
                <w:sz w:val="20"/>
                <w:szCs w:val="20"/>
                <w:lang w:val="en-ID"/>
              </w:rPr>
              <w:t xml:space="preserve">relawan terkait </w:t>
            </w:r>
            <w:r w:rsidR="00C12FD4">
              <w:rPr>
                <w:rFonts w:ascii="Century" w:hAnsi="Century"/>
                <w:bCs/>
                <w:color w:val="000000" w:themeColor="text1"/>
                <w:sz w:val="20"/>
                <w:szCs w:val="20"/>
              </w:rPr>
              <w:t>bentuk, penyebab, dampak kekerasan yang banyak dialami oleh perempuan</w:t>
            </w:r>
            <w:r w:rsidR="00C12FD4">
              <w:rPr>
                <w:rFonts w:ascii="Century" w:hAnsi="Century"/>
                <w:bCs/>
                <w:color w:val="000000" w:themeColor="text1"/>
                <w:sz w:val="20"/>
                <w:szCs w:val="20"/>
                <w:lang w:val="en-ID"/>
              </w:rPr>
              <w:t xml:space="preserve"> dan anak; (2) m</w:t>
            </w:r>
            <w:r w:rsidR="00C12FD4">
              <w:rPr>
                <w:rFonts w:ascii="Century" w:hAnsi="Century"/>
                <w:sz w:val="20"/>
                <w:szCs w:val="20"/>
                <w:lang w:val="en-ID"/>
              </w:rPr>
              <w:t>emberi</w:t>
            </w:r>
            <w:r w:rsidR="00C12FD4">
              <w:rPr>
                <w:rFonts w:ascii="Century" w:hAnsi="Century"/>
                <w:sz w:val="20"/>
                <w:szCs w:val="20"/>
              </w:rPr>
              <w:t xml:space="preserve"> edukasi tentang Undang-undang penghapusan </w:t>
            </w:r>
            <w:r w:rsidR="00C12FD4">
              <w:rPr>
                <w:rFonts w:ascii="Century" w:hAnsi="Century"/>
                <w:iCs/>
                <w:sz w:val="20"/>
                <w:szCs w:val="20"/>
                <w:lang w:val="en-ID"/>
              </w:rPr>
              <w:t>kekerasan pada perempuan d</w:t>
            </w:r>
            <w:r w:rsidR="00312856">
              <w:rPr>
                <w:rFonts w:ascii="Century" w:hAnsi="Century"/>
                <w:iCs/>
                <w:sz w:val="20"/>
                <w:szCs w:val="20"/>
                <w:lang w:val="en-ID"/>
              </w:rPr>
              <w:t xml:space="preserve">an pada anak; (3) </w:t>
            </w:r>
            <w:r w:rsidR="00C12FD4">
              <w:rPr>
                <w:rFonts w:ascii="Century" w:hAnsi="Century"/>
                <w:iCs/>
                <w:sz w:val="20"/>
                <w:szCs w:val="20"/>
                <w:lang w:val="en-ID"/>
              </w:rPr>
              <w:t xml:space="preserve">pendampingan dan antisipasi kekerasan pada perempuan dan anak. Kegiatan pengabdian ini dilakukan selama 5 bulan di kecamatan Pamulang, Kota Tangerang Selatan. </w:t>
            </w:r>
            <w:r w:rsidR="00C12FD4">
              <w:rPr>
                <w:rFonts w:ascii="Century" w:hAnsi="Century"/>
                <w:bCs/>
                <w:color w:val="000000" w:themeColor="text1"/>
                <w:sz w:val="20"/>
                <w:szCs w:val="20"/>
                <w:lang w:val="en-ID"/>
              </w:rPr>
              <w:t xml:space="preserve"> Metode yang digunakan adalah </w:t>
            </w:r>
            <w:r w:rsidR="00C12FD4">
              <w:rPr>
                <w:rFonts w:ascii="Century" w:hAnsi="Century"/>
                <w:bCs/>
                <w:i/>
                <w:color w:val="000000" w:themeColor="text1"/>
                <w:sz w:val="20"/>
                <w:szCs w:val="20"/>
                <w:lang w:val="en-ID"/>
              </w:rPr>
              <w:t>partisipatif</w:t>
            </w:r>
            <w:r w:rsidR="00C12FD4">
              <w:rPr>
                <w:rFonts w:ascii="Century" w:hAnsi="Century"/>
                <w:bCs/>
                <w:color w:val="000000" w:themeColor="text1"/>
                <w:sz w:val="20"/>
                <w:szCs w:val="20"/>
                <w:lang w:val="en-ID"/>
              </w:rPr>
              <w:t xml:space="preserve">, dimana anggota sasaran dilibatkan secara aktif mulai dari perencanaan, monitoring, dan evaluasi kegiatan. Proses pemberdayaan relawan </w:t>
            </w:r>
            <w:proofErr w:type="gramStart"/>
            <w:r w:rsidR="00C12FD4">
              <w:rPr>
                <w:rFonts w:ascii="Century" w:hAnsi="Century"/>
                <w:bCs/>
                <w:color w:val="000000" w:themeColor="text1"/>
                <w:sz w:val="20"/>
                <w:szCs w:val="20"/>
                <w:lang w:val="en-ID"/>
              </w:rPr>
              <w:t>meliputi :</w:t>
            </w:r>
            <w:proofErr w:type="gramEnd"/>
            <w:r w:rsidR="00C12FD4">
              <w:rPr>
                <w:rFonts w:ascii="Century" w:hAnsi="Century"/>
                <w:bCs/>
                <w:color w:val="000000" w:themeColor="text1"/>
                <w:sz w:val="20"/>
                <w:szCs w:val="20"/>
                <w:lang w:val="en-ID"/>
              </w:rPr>
              <w:t xml:space="preserve"> (1) presentasi dan  ceramah, (2) praktek  </w:t>
            </w:r>
            <w:r w:rsidR="00C12FD4">
              <w:rPr>
                <w:rFonts w:ascii="Century" w:hAnsi="Century"/>
                <w:bCs/>
                <w:color w:val="000000" w:themeColor="text1"/>
                <w:sz w:val="20"/>
                <w:szCs w:val="20"/>
              </w:rPr>
              <w:t xml:space="preserve">edukasi dan sosialisasi Undang-undang </w:t>
            </w:r>
            <w:r w:rsidR="00C12FD4">
              <w:rPr>
                <w:rFonts w:ascii="Century" w:hAnsi="Century"/>
                <w:bCs/>
                <w:color w:val="000000" w:themeColor="text1"/>
                <w:sz w:val="20"/>
                <w:szCs w:val="20"/>
                <w:lang w:val="en-ID"/>
              </w:rPr>
              <w:t xml:space="preserve">penghapusan </w:t>
            </w:r>
            <w:r w:rsidR="00C12FD4">
              <w:rPr>
                <w:rFonts w:ascii="Century" w:hAnsi="Century"/>
                <w:bCs/>
                <w:color w:val="000000" w:themeColor="text1"/>
                <w:sz w:val="20"/>
                <w:szCs w:val="20"/>
              </w:rPr>
              <w:t xml:space="preserve">kekerasan pada perempuan dan anak, (3) </w:t>
            </w:r>
            <w:r w:rsidR="00C12FD4">
              <w:rPr>
                <w:rFonts w:ascii="Century" w:hAnsi="Century"/>
                <w:bCs/>
                <w:color w:val="000000" w:themeColor="text1"/>
                <w:sz w:val="20"/>
                <w:szCs w:val="20"/>
                <w:lang w:val="en-ID"/>
              </w:rPr>
              <w:t xml:space="preserve"> praktek </w:t>
            </w:r>
            <w:r w:rsidR="00C12FD4">
              <w:rPr>
                <w:rFonts w:ascii="Century" w:hAnsi="Century"/>
                <w:bCs/>
                <w:color w:val="000000" w:themeColor="text1"/>
                <w:sz w:val="20"/>
                <w:szCs w:val="20"/>
              </w:rPr>
              <w:t xml:space="preserve">presentasi bagi </w:t>
            </w:r>
            <w:r w:rsidR="00C12FD4">
              <w:rPr>
                <w:rFonts w:ascii="Century" w:hAnsi="Century"/>
                <w:bCs/>
                <w:color w:val="000000" w:themeColor="text1"/>
                <w:sz w:val="20"/>
                <w:szCs w:val="20"/>
                <w:lang w:val="en-ID"/>
              </w:rPr>
              <w:t xml:space="preserve">relawan sebagai </w:t>
            </w:r>
            <w:r w:rsidR="00C12FD4">
              <w:rPr>
                <w:rFonts w:ascii="Century" w:hAnsi="Century"/>
                <w:bCs/>
                <w:color w:val="000000" w:themeColor="text1"/>
                <w:sz w:val="20"/>
                <w:szCs w:val="20"/>
              </w:rPr>
              <w:t xml:space="preserve">agen komunikasi untuk mengidentifikasi dan mengantisipasi tindak kekerasan, serta panduan pendampingan korban. </w:t>
            </w:r>
            <w:r w:rsidR="00C12FD4">
              <w:rPr>
                <w:rFonts w:ascii="Century" w:hAnsi="Century"/>
                <w:color w:val="000000" w:themeColor="text1"/>
                <w:sz w:val="20"/>
                <w:szCs w:val="20"/>
                <w:lang w:val="id-ID"/>
              </w:rPr>
              <w:t xml:space="preserve">Hasil pelaksanaan </w:t>
            </w:r>
            <w:r w:rsidR="00C12FD4">
              <w:rPr>
                <w:rFonts w:ascii="Century" w:hAnsi="Century"/>
                <w:color w:val="000000" w:themeColor="text1"/>
                <w:sz w:val="20"/>
                <w:szCs w:val="20"/>
                <w:lang w:val="en-ID"/>
              </w:rPr>
              <w:t xml:space="preserve">kegiatan pengabdian </w:t>
            </w:r>
            <w:r w:rsidR="00C12FD4">
              <w:rPr>
                <w:rFonts w:ascii="Century" w:hAnsi="Century"/>
                <w:color w:val="000000" w:themeColor="text1"/>
                <w:sz w:val="20"/>
                <w:szCs w:val="20"/>
                <w:lang w:val="id-ID"/>
              </w:rPr>
              <w:t>ini</w:t>
            </w:r>
            <w:r w:rsidR="00C12FD4">
              <w:rPr>
                <w:rFonts w:ascii="Century" w:hAnsi="Century"/>
                <w:color w:val="000000" w:themeColor="text1"/>
                <w:sz w:val="20"/>
                <w:szCs w:val="20"/>
                <w:lang w:val="en-ID"/>
              </w:rPr>
              <w:t xml:space="preserve"> mendapatkan respon positif dari peserta dan penguasaan peserta  yang cukup baik terhadap materi pemberdayaan relawan dilihat meningkatkannya ketrampilan relawan dalam mengidentifikasi bentuk kekerasan dan</w:t>
            </w:r>
            <w:r w:rsidR="00C12FD4">
              <w:rPr>
                <w:rFonts w:ascii="Century" w:hAnsi="Century"/>
                <w:color w:val="000000" w:themeColor="text1"/>
                <w:sz w:val="20"/>
                <w:szCs w:val="20"/>
                <w:lang w:val="id-ID"/>
              </w:rPr>
              <w:t xml:space="preserve"> telah menunjukkan perubahan positif </w:t>
            </w:r>
            <w:r w:rsidR="00C12FD4">
              <w:rPr>
                <w:rFonts w:ascii="Century" w:hAnsi="Century"/>
                <w:color w:val="000000" w:themeColor="text1"/>
                <w:sz w:val="20"/>
                <w:szCs w:val="20"/>
                <w:lang w:val="en-ID"/>
              </w:rPr>
              <w:t xml:space="preserve">dimana para para relawan </w:t>
            </w:r>
            <w:r w:rsidR="00C12FD4">
              <w:rPr>
                <w:rFonts w:ascii="Century" w:hAnsi="Century"/>
                <w:bCs/>
                <w:color w:val="000000" w:themeColor="text1"/>
                <w:sz w:val="20"/>
                <w:szCs w:val="20"/>
              </w:rPr>
              <w:t>mampu proaktif dan reaktif meminimalisir bahkan mengeliminir kategorisasi kekerasan pada perempuan dan anak</w:t>
            </w:r>
            <w:r w:rsidR="00C12FD4">
              <w:rPr>
                <w:rFonts w:ascii="Century" w:hAnsi="Century"/>
                <w:color w:val="000000" w:themeColor="text1"/>
                <w:sz w:val="20"/>
                <w:szCs w:val="20"/>
                <w:lang w:val="en-ID"/>
              </w:rPr>
              <w:t>.</w:t>
            </w:r>
          </w:p>
          <w:p w14:paraId="77374C03" w14:textId="7D830A87" w:rsidR="00BF5282" w:rsidRPr="00225D60" w:rsidRDefault="00BF5282" w:rsidP="00E26614">
            <w:pPr>
              <w:jc w:val="both"/>
              <w:rPr>
                <w:rStyle w:val="longtext"/>
                <w:rFonts w:ascii="Century" w:hAnsi="Century"/>
                <w:sz w:val="20"/>
                <w:szCs w:val="20"/>
                <w:shd w:val="clear" w:color="auto" w:fill="FFFFFF"/>
                <w:lang w:val="sv-SE"/>
              </w:rPr>
            </w:pPr>
            <w:r w:rsidRPr="00225D60">
              <w:rPr>
                <w:rStyle w:val="longtext"/>
                <w:rFonts w:ascii="Century" w:hAnsi="Century"/>
                <w:b/>
                <w:sz w:val="20"/>
                <w:szCs w:val="20"/>
                <w:shd w:val="clear" w:color="auto" w:fill="FFFFFF"/>
                <w:lang w:val="sv-SE"/>
              </w:rPr>
              <w:t>Kata Kunci</w:t>
            </w:r>
            <w:r w:rsidR="00225D60">
              <w:rPr>
                <w:rStyle w:val="longtext"/>
                <w:rFonts w:ascii="Century" w:hAnsi="Century"/>
                <w:b/>
                <w:sz w:val="20"/>
                <w:szCs w:val="20"/>
                <w:shd w:val="clear" w:color="auto" w:fill="FFFFFF"/>
                <w:lang w:val="sv-SE"/>
              </w:rPr>
              <w:t xml:space="preserve"> </w:t>
            </w:r>
            <w:r w:rsidRPr="00225D60">
              <w:rPr>
                <w:rStyle w:val="longtext"/>
                <w:rFonts w:ascii="Century" w:hAnsi="Century"/>
                <w:b/>
                <w:sz w:val="20"/>
                <w:szCs w:val="20"/>
                <w:shd w:val="clear" w:color="auto" w:fill="FFFFFF"/>
                <w:lang w:val="sv-SE"/>
              </w:rPr>
              <w:t xml:space="preserve">: </w:t>
            </w:r>
            <w:r w:rsidR="00225D60">
              <w:rPr>
                <w:rStyle w:val="longtext"/>
                <w:rFonts w:ascii="Century" w:hAnsi="Century"/>
                <w:sz w:val="20"/>
                <w:szCs w:val="20"/>
                <w:shd w:val="clear" w:color="auto" w:fill="FFFFFF"/>
                <w:lang w:val="sv-SE"/>
              </w:rPr>
              <w:t>Pemberdayaan; Relawan; Antisipasi; Kekerasan; Perempuan; A</w:t>
            </w:r>
            <w:r w:rsidR="00052A93" w:rsidRPr="00225D60">
              <w:rPr>
                <w:rStyle w:val="longtext"/>
                <w:rFonts w:ascii="Century" w:hAnsi="Century"/>
                <w:sz w:val="20"/>
                <w:szCs w:val="20"/>
                <w:shd w:val="clear" w:color="auto" w:fill="FFFFFF"/>
                <w:lang w:val="sv-SE"/>
              </w:rPr>
              <w:t>nak</w:t>
            </w:r>
            <w:r w:rsidR="00225D60">
              <w:rPr>
                <w:rStyle w:val="longtext"/>
                <w:rFonts w:ascii="Century" w:hAnsi="Century"/>
                <w:sz w:val="20"/>
                <w:szCs w:val="20"/>
                <w:shd w:val="clear" w:color="auto" w:fill="FFFFFF"/>
                <w:lang w:val="sv-SE"/>
              </w:rPr>
              <w:t>.</w:t>
            </w:r>
          </w:p>
          <w:p w14:paraId="1F6C1284" w14:textId="77777777" w:rsidR="00E26614" w:rsidRPr="00E26614" w:rsidRDefault="00E26614" w:rsidP="00E26614">
            <w:pPr>
              <w:jc w:val="both"/>
              <w:rPr>
                <w:rFonts w:ascii="Century" w:hAnsi="Century"/>
                <w:i/>
                <w:sz w:val="20"/>
                <w:szCs w:val="20"/>
                <w:shd w:val="clear" w:color="auto" w:fill="FFFFFF"/>
                <w:lang w:val="sv-SE"/>
              </w:rPr>
            </w:pPr>
          </w:p>
          <w:p w14:paraId="686B6C90" w14:textId="770854A6" w:rsidR="00E26614" w:rsidRPr="00C12FD4" w:rsidRDefault="00BF5282" w:rsidP="00E26614">
            <w:pPr>
              <w:jc w:val="both"/>
              <w:rPr>
                <w:rFonts w:ascii="Century" w:hAnsi="Century"/>
                <w:sz w:val="20"/>
                <w:szCs w:val="20"/>
                <w:lang w:val="en-US" w:eastAsia="en-US"/>
              </w:rPr>
            </w:pPr>
            <w:r w:rsidRPr="00E26614">
              <w:rPr>
                <w:rFonts w:ascii="Century" w:hAnsi="Century"/>
                <w:b/>
                <w:i/>
                <w:sz w:val="20"/>
                <w:szCs w:val="20"/>
                <w:lang w:val="en-US"/>
              </w:rPr>
              <w:t>Abstract</w:t>
            </w:r>
            <w:r w:rsidR="00C12FD4" w:rsidRPr="00C12FD4">
              <w:rPr>
                <w:rFonts w:ascii="Century" w:hAnsi="Century"/>
                <w:b/>
                <w:i/>
                <w:sz w:val="20"/>
                <w:szCs w:val="20"/>
                <w:lang w:val="en-US"/>
              </w:rPr>
              <w:t>:</w:t>
            </w:r>
            <w:r w:rsidR="00E26614" w:rsidRPr="00C12FD4">
              <w:rPr>
                <w:rFonts w:ascii="Century" w:hAnsi="Century"/>
                <w:i/>
                <w:sz w:val="20"/>
                <w:szCs w:val="20"/>
                <w:lang w:val="en-US"/>
              </w:rPr>
              <w:t xml:space="preserve"> </w:t>
            </w:r>
            <w:r w:rsidR="00C12FD4" w:rsidRPr="00C12FD4">
              <w:rPr>
                <w:rFonts w:ascii="Century" w:hAnsi="Century"/>
                <w:i/>
                <w:sz w:val="20"/>
                <w:szCs w:val="20"/>
              </w:rPr>
              <w:t>Violence against women and children cannot be separated, because these two problems must be solved in an integrative way by providing protection for both victims, namely women and children. This activity aims to (1) provide understanding and enrich the knowledge of volunteers regarding the forms, causes, and impacts of violence experienced by many women and children; (2) provide education on the law on the elimination of violence against w</w:t>
            </w:r>
            <w:r w:rsidR="00312856">
              <w:rPr>
                <w:rFonts w:ascii="Century" w:hAnsi="Century"/>
                <w:i/>
                <w:sz w:val="20"/>
                <w:szCs w:val="20"/>
              </w:rPr>
              <w:t xml:space="preserve">omen and children; (3) </w:t>
            </w:r>
            <w:r w:rsidR="00C12FD4" w:rsidRPr="00C12FD4">
              <w:rPr>
                <w:rFonts w:ascii="Century" w:hAnsi="Century"/>
                <w:i/>
                <w:sz w:val="20"/>
                <w:szCs w:val="20"/>
              </w:rPr>
              <w:t xml:space="preserve">assistance and anticipation of violence against women and children. The method used is participatory, where target members are actively involved starting from planning, monitoring, and evaluating activities. The process of empowering volunteers includes: (1) presentations (2) educational practices and socialization of the law on the elimination of violence against women and children, (3) presentation practices for volunteers as communication agents to identify and anticipate acts of violence. The results of the implementation of this activity received a positive response from the participants and the participants' mastery of the volunteer empowerment material was quite good, it was seen that the volunteer's skills in identifying forms of violence had increased and had shown positive changes where the volunteers were able to be proactive and reactive to minimize and even eliminate the categorization of violence against women and children. </w:t>
            </w:r>
          </w:p>
          <w:p w14:paraId="7C30C533" w14:textId="6CF463AA" w:rsidR="00BF5282" w:rsidRPr="00E26614" w:rsidRDefault="00BF5282" w:rsidP="00E26614">
            <w:pPr>
              <w:jc w:val="both"/>
              <w:rPr>
                <w:rFonts w:ascii="Century" w:eastAsia="Times New Roman" w:hAnsi="Century"/>
                <w:i/>
                <w:sz w:val="20"/>
                <w:szCs w:val="20"/>
              </w:rPr>
            </w:pPr>
            <w:r w:rsidRPr="00E26614">
              <w:rPr>
                <w:rFonts w:ascii="Century" w:hAnsi="Century"/>
                <w:b/>
                <w:i/>
                <w:sz w:val="20"/>
                <w:szCs w:val="20"/>
                <w:lang w:val="en-US"/>
              </w:rPr>
              <w:t>Keywords:</w:t>
            </w:r>
            <w:r w:rsidR="00420C35" w:rsidRPr="00E26614">
              <w:rPr>
                <w:rFonts w:ascii="Century" w:hAnsi="Century"/>
                <w:b/>
                <w:i/>
                <w:sz w:val="20"/>
                <w:szCs w:val="20"/>
                <w:lang w:val="en-US"/>
              </w:rPr>
              <w:t xml:space="preserve"> </w:t>
            </w:r>
            <w:r w:rsidR="00225D60">
              <w:rPr>
                <w:rFonts w:ascii="Century" w:eastAsia="Times New Roman" w:hAnsi="Century"/>
                <w:i/>
                <w:sz w:val="20"/>
                <w:szCs w:val="20"/>
              </w:rPr>
              <w:t>Empowerment; Volunteers; Anticipation; V</w:t>
            </w:r>
            <w:r w:rsidR="00E26614" w:rsidRPr="00E26614">
              <w:rPr>
                <w:rFonts w:ascii="Century" w:eastAsia="Times New Roman" w:hAnsi="Century"/>
                <w:i/>
                <w:sz w:val="20"/>
                <w:szCs w:val="20"/>
              </w:rPr>
              <w:t>iolence</w:t>
            </w:r>
            <w:r w:rsidR="00225D60">
              <w:rPr>
                <w:rFonts w:ascii="Century" w:eastAsia="Times New Roman" w:hAnsi="Century"/>
                <w:i/>
                <w:sz w:val="20"/>
                <w:szCs w:val="20"/>
              </w:rPr>
              <w:t>; A</w:t>
            </w:r>
            <w:r w:rsidR="00E26614" w:rsidRPr="00E26614">
              <w:rPr>
                <w:rFonts w:ascii="Century" w:eastAsia="Times New Roman" w:hAnsi="Century"/>
                <w:i/>
                <w:sz w:val="20"/>
                <w:szCs w:val="20"/>
              </w:rPr>
              <w:t>gainst</w:t>
            </w:r>
            <w:r w:rsidR="00225D60">
              <w:rPr>
                <w:rFonts w:ascii="Century" w:eastAsia="Times New Roman" w:hAnsi="Century"/>
                <w:i/>
                <w:sz w:val="20"/>
                <w:szCs w:val="20"/>
              </w:rPr>
              <w:t>; Women; C</w:t>
            </w:r>
            <w:r w:rsidR="00E26614" w:rsidRPr="00E26614">
              <w:rPr>
                <w:rFonts w:ascii="Century" w:eastAsia="Times New Roman" w:hAnsi="Century"/>
                <w:i/>
                <w:sz w:val="20"/>
                <w:szCs w:val="20"/>
              </w:rPr>
              <w:t>hildren</w:t>
            </w:r>
            <w:r w:rsidR="00225D60">
              <w:rPr>
                <w:rFonts w:ascii="Century" w:eastAsia="Times New Roman" w:hAnsi="Century"/>
                <w:i/>
                <w:sz w:val="20"/>
                <w:szCs w:val="20"/>
              </w:rPr>
              <w:t>.</w:t>
            </w:r>
          </w:p>
          <w:p w14:paraId="760A1D26" w14:textId="77777777" w:rsidR="00E26614" w:rsidRPr="00E26614" w:rsidRDefault="00E26614" w:rsidP="00E26614">
            <w:pPr>
              <w:jc w:val="both"/>
              <w:rPr>
                <w:rFonts w:ascii="Century" w:hAnsi="Century"/>
                <w:b/>
                <w:i/>
                <w:sz w:val="20"/>
                <w:szCs w:val="20"/>
                <w:lang w:val="en-US"/>
              </w:rPr>
            </w:pPr>
          </w:p>
        </w:tc>
      </w:tr>
      <w:tr w:rsidR="00BF5282" w:rsidRPr="00922A80" w14:paraId="5FFDE794" w14:textId="77777777" w:rsidTr="00005CE1">
        <w:trPr>
          <w:gridAfter w:val="1"/>
          <w:wAfter w:w="22" w:type="dxa"/>
          <w:trHeight w:val="1482"/>
          <w:jc w:val="center"/>
        </w:trPr>
        <w:tc>
          <w:tcPr>
            <w:tcW w:w="8437" w:type="dxa"/>
            <w:gridSpan w:val="3"/>
            <w:vMerge/>
            <w:tcBorders>
              <w:left w:val="nil"/>
              <w:bottom w:val="single" w:sz="4" w:space="0" w:color="auto"/>
              <w:right w:val="nil"/>
            </w:tcBorders>
          </w:tcPr>
          <w:p w14:paraId="00D3FF83" w14:textId="77777777" w:rsidR="00BF5282" w:rsidRPr="00922A80" w:rsidRDefault="00BF5282" w:rsidP="001139F6">
            <w:pPr>
              <w:spacing w:before="120"/>
              <w:jc w:val="both"/>
              <w:rPr>
                <w:rFonts w:ascii="Century Gothic" w:hAnsi="Century Gothic"/>
                <w:iCs/>
                <w:color w:val="000000"/>
                <w:sz w:val="20"/>
                <w:szCs w:val="20"/>
              </w:rPr>
            </w:pPr>
          </w:p>
        </w:tc>
      </w:tr>
      <w:tr w:rsidR="00005CE1" w:rsidRPr="00A231E7" w14:paraId="0690F5ED" w14:textId="77777777" w:rsidTr="00005CE1">
        <w:trPr>
          <w:trHeight w:val="866"/>
          <w:jc w:val="center"/>
        </w:trPr>
        <w:tc>
          <w:tcPr>
            <w:tcW w:w="1243" w:type="dxa"/>
            <w:tcBorders>
              <w:top w:val="single" w:sz="4" w:space="0" w:color="auto"/>
              <w:left w:val="nil"/>
              <w:bottom w:val="single" w:sz="4" w:space="0" w:color="auto"/>
              <w:right w:val="nil"/>
            </w:tcBorders>
          </w:tcPr>
          <w:p w14:paraId="2AAA124D" w14:textId="77777777" w:rsidR="00005CE1" w:rsidRPr="00922A80" w:rsidRDefault="00005CE1" w:rsidP="001139F6">
            <w:pPr>
              <w:spacing w:before="120"/>
              <w:jc w:val="both"/>
              <w:rPr>
                <w:rFonts w:ascii="Century Gothic" w:hAnsi="Century Gothic"/>
                <w:iCs/>
                <w:color w:val="000000"/>
                <w:sz w:val="20"/>
                <w:szCs w:val="20"/>
              </w:rPr>
            </w:pPr>
            <w:r>
              <w:rPr>
                <w:rFonts w:ascii="Century Gothic" w:hAnsi="Century Gothic"/>
                <w:b/>
                <w:noProof/>
                <w:sz w:val="22"/>
                <w:szCs w:val="16"/>
                <w:lang w:val="en-US" w:eastAsia="en-US"/>
              </w:rPr>
              <w:lastRenderedPageBreak/>
              <w:drawing>
                <wp:anchor distT="0" distB="0" distL="114300" distR="114300" simplePos="0" relativeHeight="251659264" behindDoc="0" locked="0" layoutInCell="1" allowOverlap="1" wp14:anchorId="5EEB367A" wp14:editId="0095D358">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33" w:type="dxa"/>
            <w:tcBorders>
              <w:top w:val="single" w:sz="4" w:space="0" w:color="auto"/>
              <w:left w:val="nil"/>
              <w:bottom w:val="single" w:sz="4" w:space="0" w:color="auto"/>
              <w:right w:val="nil"/>
            </w:tcBorders>
          </w:tcPr>
          <w:p w14:paraId="598CEABD" w14:textId="77777777" w:rsidR="00005CE1" w:rsidRPr="00A231E7" w:rsidRDefault="00005CE1" w:rsidP="001139F6">
            <w:pPr>
              <w:jc w:val="both"/>
              <w:rPr>
                <w:rFonts w:ascii="Century" w:hAnsi="Century"/>
                <w:b/>
                <w:sz w:val="18"/>
                <w:szCs w:val="18"/>
              </w:rPr>
            </w:pPr>
            <w:r w:rsidRPr="00A231E7">
              <w:rPr>
                <w:rFonts w:ascii="Century" w:hAnsi="Century"/>
                <w:b/>
                <w:sz w:val="18"/>
                <w:szCs w:val="18"/>
              </w:rPr>
              <w:t>A</w:t>
            </w:r>
            <w:r>
              <w:rPr>
                <w:rFonts w:ascii="Century" w:hAnsi="Century"/>
                <w:b/>
                <w:sz w:val="18"/>
                <w:szCs w:val="18"/>
              </w:rPr>
              <w:t>rt</w:t>
            </w:r>
            <w:r w:rsidRPr="00A231E7">
              <w:rPr>
                <w:rFonts w:ascii="Century" w:hAnsi="Century"/>
                <w:b/>
                <w:sz w:val="18"/>
                <w:szCs w:val="18"/>
              </w:rPr>
              <w:t>icle History:</w:t>
            </w:r>
          </w:p>
          <w:p w14:paraId="0E163B8A" w14:textId="77777777" w:rsidR="00005CE1" w:rsidRPr="00A231E7" w:rsidRDefault="00005CE1" w:rsidP="001139F6">
            <w:pPr>
              <w:jc w:val="both"/>
              <w:rPr>
                <w:rFonts w:ascii="Century" w:hAnsi="Century"/>
                <w:sz w:val="18"/>
                <w:szCs w:val="18"/>
              </w:rPr>
            </w:pPr>
            <w:r w:rsidRPr="00A231E7">
              <w:rPr>
                <w:rFonts w:ascii="Century" w:hAnsi="Century"/>
                <w:sz w:val="18"/>
                <w:szCs w:val="18"/>
              </w:rPr>
              <w:t xml:space="preserve">Received: </w:t>
            </w:r>
            <w:r>
              <w:rPr>
                <w:rFonts w:ascii="Century" w:hAnsi="Century"/>
                <w:sz w:val="18"/>
                <w:szCs w:val="18"/>
              </w:rPr>
              <w:t>DD-MM-20XX</w:t>
            </w:r>
          </w:p>
          <w:p w14:paraId="05F6DFAC" w14:textId="77777777" w:rsidR="00005CE1" w:rsidRPr="00A231E7" w:rsidRDefault="00005CE1" w:rsidP="001139F6">
            <w:pPr>
              <w:jc w:val="both"/>
              <w:rPr>
                <w:rFonts w:ascii="Century" w:hAnsi="Century"/>
                <w:sz w:val="18"/>
                <w:szCs w:val="18"/>
              </w:rPr>
            </w:pPr>
            <w:r w:rsidRPr="00A231E7">
              <w:rPr>
                <w:rFonts w:ascii="Century" w:hAnsi="Century"/>
                <w:sz w:val="18"/>
                <w:szCs w:val="18"/>
              </w:rPr>
              <w:t>Revised</w:t>
            </w:r>
            <w:r>
              <w:rPr>
                <w:rFonts w:ascii="Century" w:hAnsi="Century"/>
                <w:sz w:val="18"/>
                <w:szCs w:val="18"/>
              </w:rPr>
              <w:t xml:space="preserve">  </w:t>
            </w:r>
            <w:r w:rsidRPr="00A231E7">
              <w:rPr>
                <w:rFonts w:ascii="Century" w:hAnsi="Century"/>
                <w:sz w:val="18"/>
                <w:szCs w:val="18"/>
              </w:rPr>
              <w:t xml:space="preserve">: </w:t>
            </w:r>
            <w:r>
              <w:rPr>
                <w:rFonts w:ascii="Century" w:hAnsi="Century"/>
                <w:sz w:val="18"/>
                <w:szCs w:val="18"/>
              </w:rPr>
              <w:t>DD-MM-20XX</w:t>
            </w:r>
          </w:p>
          <w:p w14:paraId="6AEF8859" w14:textId="77777777" w:rsidR="00005CE1" w:rsidRDefault="00005CE1" w:rsidP="001139F6">
            <w:pPr>
              <w:jc w:val="both"/>
              <w:rPr>
                <w:rFonts w:ascii="Century" w:hAnsi="Century"/>
                <w:sz w:val="18"/>
                <w:szCs w:val="18"/>
              </w:rPr>
            </w:pPr>
            <w:r w:rsidRPr="00A231E7">
              <w:rPr>
                <w:rFonts w:ascii="Century" w:hAnsi="Century"/>
                <w:sz w:val="18"/>
                <w:szCs w:val="18"/>
              </w:rPr>
              <w:t>Accepted:</w:t>
            </w:r>
            <w:r>
              <w:rPr>
                <w:rFonts w:ascii="Century" w:hAnsi="Century"/>
                <w:sz w:val="18"/>
                <w:szCs w:val="18"/>
              </w:rPr>
              <w:t xml:space="preserve"> DD-MM-20XX</w:t>
            </w:r>
          </w:p>
          <w:p w14:paraId="024EA763" w14:textId="77777777" w:rsidR="00005CE1" w:rsidRPr="00A231E7" w:rsidRDefault="00005CE1" w:rsidP="001139F6">
            <w:pPr>
              <w:jc w:val="both"/>
              <w:rPr>
                <w:rFonts w:ascii="Century" w:hAnsi="Century"/>
                <w:iCs/>
                <w:color w:val="000000"/>
                <w:sz w:val="20"/>
                <w:szCs w:val="20"/>
              </w:rPr>
            </w:pPr>
            <w:r>
              <w:rPr>
                <w:rFonts w:ascii="Century" w:hAnsi="Century"/>
                <w:sz w:val="18"/>
                <w:szCs w:val="18"/>
              </w:rPr>
              <w:t>Online    : DD-MM-20XX</w:t>
            </w:r>
          </w:p>
        </w:tc>
        <w:tc>
          <w:tcPr>
            <w:tcW w:w="4183" w:type="dxa"/>
            <w:gridSpan w:val="2"/>
            <w:tcBorders>
              <w:top w:val="single" w:sz="4" w:space="0" w:color="auto"/>
              <w:left w:val="nil"/>
              <w:bottom w:val="single" w:sz="4" w:space="0" w:color="auto"/>
              <w:right w:val="nil"/>
            </w:tcBorders>
          </w:tcPr>
          <w:p w14:paraId="1E78278E" w14:textId="77777777" w:rsidR="00005CE1" w:rsidRPr="00FF704D" w:rsidRDefault="00005CE1" w:rsidP="001139F6">
            <w:pPr>
              <w:ind w:right="-13"/>
              <w:jc w:val="right"/>
              <w:rPr>
                <w:rFonts w:ascii="Century" w:hAnsi="Century"/>
                <w:i/>
                <w:iCs/>
                <w:color w:val="000000"/>
                <w:sz w:val="6"/>
                <w:szCs w:val="18"/>
              </w:rPr>
            </w:pPr>
          </w:p>
          <w:p w14:paraId="02923AF9" w14:textId="77777777" w:rsidR="00005CE1" w:rsidRPr="00A231E7" w:rsidRDefault="00005CE1" w:rsidP="001139F6">
            <w:pPr>
              <w:ind w:right="-13"/>
              <w:jc w:val="right"/>
              <w:rPr>
                <w:rFonts w:ascii="Century" w:hAnsi="Century"/>
                <w:i/>
                <w:iCs/>
                <w:color w:val="000000"/>
                <w:sz w:val="18"/>
                <w:szCs w:val="18"/>
              </w:rPr>
            </w:pPr>
            <w:r w:rsidRPr="00A231E7">
              <w:rPr>
                <w:rFonts w:ascii="Century" w:hAnsi="Century"/>
                <w:iCs/>
                <w:noProof/>
                <w:color w:val="000000"/>
                <w:sz w:val="18"/>
                <w:szCs w:val="18"/>
                <w:lang w:val="en-US" w:eastAsia="en-US"/>
              </w:rPr>
              <w:drawing>
                <wp:inline distT="0" distB="0" distL="0" distR="0" wp14:anchorId="0ED99576" wp14:editId="4C479613">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3EED1868" w14:textId="77777777" w:rsidR="00005CE1" w:rsidRPr="00A231E7" w:rsidRDefault="00005CE1" w:rsidP="001139F6">
            <w:pPr>
              <w:ind w:right="-13"/>
              <w:jc w:val="right"/>
              <w:rPr>
                <w:rFonts w:ascii="Century" w:hAnsi="Century"/>
                <w:i/>
                <w:iCs/>
                <w:color w:val="000000"/>
                <w:sz w:val="18"/>
                <w:szCs w:val="18"/>
              </w:rPr>
            </w:pPr>
            <w:r w:rsidRPr="00A231E7">
              <w:rPr>
                <w:rFonts w:ascii="Century" w:hAnsi="Century"/>
                <w:i/>
                <w:iCs/>
                <w:color w:val="000000"/>
                <w:sz w:val="18"/>
                <w:szCs w:val="18"/>
              </w:rPr>
              <w:t>This is an open access a</w:t>
            </w:r>
            <w:r>
              <w:rPr>
                <w:rFonts w:ascii="Century" w:hAnsi="Century"/>
                <w:i/>
                <w:iCs/>
                <w:color w:val="000000"/>
                <w:sz w:val="18"/>
                <w:szCs w:val="18"/>
              </w:rPr>
              <w:t>rt</w:t>
            </w:r>
            <w:r w:rsidRPr="00A231E7">
              <w:rPr>
                <w:rFonts w:ascii="Century" w:hAnsi="Century"/>
                <w:i/>
                <w:iCs/>
                <w:color w:val="000000"/>
                <w:sz w:val="18"/>
                <w:szCs w:val="18"/>
              </w:rPr>
              <w:t xml:space="preserve">icle under the </w:t>
            </w:r>
          </w:p>
          <w:p w14:paraId="28CE1F3B" w14:textId="77777777" w:rsidR="00005CE1" w:rsidRPr="00A231E7" w:rsidRDefault="00005CE1" w:rsidP="001139F6">
            <w:pPr>
              <w:ind w:right="-13"/>
              <w:jc w:val="right"/>
              <w:rPr>
                <w:rFonts w:ascii="Century" w:hAnsi="Century"/>
                <w:sz w:val="18"/>
                <w:szCs w:val="18"/>
              </w:rPr>
            </w:pPr>
            <w:r w:rsidRPr="00A231E7">
              <w:rPr>
                <w:rFonts w:ascii="Century" w:hAnsi="Century"/>
                <w:b/>
                <w:i/>
                <w:iCs/>
                <w:color w:val="4F81BD" w:themeColor="accent1"/>
                <w:sz w:val="18"/>
                <w:szCs w:val="18"/>
              </w:rPr>
              <w:t>CC–BY-SA</w:t>
            </w:r>
            <w:r w:rsidRPr="00A231E7">
              <w:rPr>
                <w:rFonts w:ascii="Century" w:hAnsi="Century"/>
                <w:i/>
                <w:iCs/>
                <w:color w:val="000000"/>
                <w:sz w:val="18"/>
                <w:szCs w:val="18"/>
              </w:rPr>
              <w:t xml:space="preserve"> license</w:t>
            </w:r>
          </w:p>
        </w:tc>
      </w:tr>
    </w:tbl>
    <w:p w14:paraId="02373043" w14:textId="77777777" w:rsidR="00922A80" w:rsidRPr="00922A80" w:rsidRDefault="00922A80" w:rsidP="00922A80">
      <w:pPr>
        <w:rPr>
          <w:lang w:val="en-US" w:eastAsia="en-US"/>
        </w:rPr>
      </w:pPr>
    </w:p>
    <w:p w14:paraId="1A431F6F" w14:textId="77777777" w:rsidR="00B3521D" w:rsidRPr="00B3521D" w:rsidRDefault="00B3521D" w:rsidP="00B3521D">
      <w:pPr>
        <w:rPr>
          <w:sz w:val="14"/>
          <w:lang w:val="en-US" w:eastAsia="en-US"/>
        </w:rPr>
      </w:pPr>
    </w:p>
    <w:p w14:paraId="1C19956F" w14:textId="77777777" w:rsidR="00B3521D" w:rsidRPr="006A3AE1" w:rsidRDefault="00B3521D" w:rsidP="006A3AE1">
      <w:pPr>
        <w:pStyle w:val="IEEEHeading1"/>
        <w:numPr>
          <w:ilvl w:val="0"/>
          <w:numId w:val="0"/>
        </w:numPr>
        <w:ind w:left="360"/>
        <w:jc w:val="left"/>
        <w:rPr>
          <w:b/>
          <w:iCs/>
          <w:sz w:val="26"/>
          <w:szCs w:val="20"/>
          <w:lang w:val="id-ID"/>
        </w:rPr>
        <w:sectPr w:rsidR="00B3521D" w:rsidRPr="006A3AE1" w:rsidSect="00B47460">
          <w:type w:val="continuous"/>
          <w:pgSz w:w="11906" w:h="16838" w:code="9"/>
          <w:pgMar w:top="1134" w:right="1701" w:bottom="1134" w:left="1701" w:header="709" w:footer="709" w:gutter="0"/>
          <w:cols w:space="238"/>
          <w:docGrid w:linePitch="360"/>
        </w:sectPr>
      </w:pPr>
    </w:p>
    <w:p w14:paraId="6EC1BA0C" w14:textId="0037F83C" w:rsidR="0006679E" w:rsidRPr="006A0797" w:rsidRDefault="00AE1477" w:rsidP="006A0797">
      <w:pPr>
        <w:pStyle w:val="IEEEHeading1"/>
        <w:numPr>
          <w:ilvl w:val="0"/>
          <w:numId w:val="11"/>
        </w:numPr>
        <w:spacing w:before="0" w:after="0" w:line="276" w:lineRule="auto"/>
        <w:jc w:val="left"/>
        <w:rPr>
          <w:rFonts w:ascii="Century" w:hAnsi="Century"/>
          <w:b/>
          <w:iCs/>
          <w:sz w:val="25"/>
          <w:szCs w:val="25"/>
          <w:lang w:val="id-ID"/>
        </w:rPr>
      </w:pPr>
      <w:r w:rsidRPr="00922A80">
        <w:rPr>
          <w:rFonts w:ascii="Century" w:hAnsi="Century"/>
          <w:b/>
          <w:iCs/>
          <w:sz w:val="25"/>
          <w:szCs w:val="25"/>
          <w:lang w:val="id-ID"/>
        </w:rPr>
        <w:t>LATAR BELAKANG</w:t>
      </w:r>
    </w:p>
    <w:p w14:paraId="190B42EA" w14:textId="230036F8" w:rsidR="00733DE4" w:rsidRDefault="008141BC" w:rsidP="004F7DD9">
      <w:pPr>
        <w:shd w:val="clear" w:color="auto" w:fill="FFFFFF"/>
        <w:spacing w:line="276" w:lineRule="auto"/>
        <w:ind w:firstLine="720"/>
        <w:jc w:val="both"/>
        <w:rPr>
          <w:rFonts w:ascii="Century" w:eastAsia="Times New Roman" w:hAnsi="Century" w:cs="Segoe UI Historic"/>
          <w:lang w:val="en-US"/>
        </w:rPr>
      </w:pPr>
      <w:r w:rsidRPr="00830464">
        <w:rPr>
          <w:rFonts w:ascii="Century" w:hAnsi="Century"/>
        </w:rPr>
        <w:t>Kekerasan terus menjadi masalah yang mendapat banyak perhatian masyarakat kontemporer</w:t>
      </w:r>
      <w:r w:rsidRPr="00830464">
        <w:rPr>
          <w:rFonts w:ascii="Century" w:hAnsi="Century"/>
          <w:lang w:val="en-ID"/>
        </w:rPr>
        <w:t xml:space="preserve">. Para mahasiswa menjadi relawan dan diberi pelatihan pencegahan kekerasan </w:t>
      </w:r>
      <w:r w:rsidR="00A13C91">
        <w:rPr>
          <w:rFonts w:ascii="Century" w:hAnsi="Century"/>
          <w:lang w:val="en-ID"/>
        </w:rPr>
        <w:fldChar w:fldCharType="begin" w:fldLock="1"/>
      </w:r>
      <w:r w:rsidR="00A13C91">
        <w:rPr>
          <w:rFonts w:ascii="Century" w:hAnsi="Century"/>
          <w:lang w:val="en-ID"/>
        </w:rPr>
        <w:instrText>ADDIN CSL_CITATION {"citationItems":[{"id":"ITEM-1","itemData":{"author":[{"dropping-particle":"","family":"Taylor","given":"D","non-dropping-particle":"","parse-names":false,"suffix":""}],"id":"ITEM-1","issued":{"date-parts":[["2014"]]},"publisher":"New York University Press","publisher-place":"New York","title":"Toxic communities","type":"book"},"uris":["http://www.mendeley.com/documents/?uuid=02d5f7e7-ef1b-38ff-a5bd-1a452ea1e48f"]}],"mendeley":{"formattedCitation":"(Taylor, 2014)","plainTextFormattedCitation":"(Taylor, 2014)","previouslyFormattedCitation":"(Taylor, 2014)"},"properties":{"noteIndex":0},"schema":"https://github.com/citation-style-language/schema/raw/master/csl-citation.json"}</w:instrText>
      </w:r>
      <w:r w:rsidR="00A13C91">
        <w:rPr>
          <w:rFonts w:ascii="Century" w:hAnsi="Century"/>
          <w:lang w:val="en-ID"/>
        </w:rPr>
        <w:fldChar w:fldCharType="separate"/>
      </w:r>
      <w:r w:rsidR="00A13C91" w:rsidRPr="00A13C91">
        <w:rPr>
          <w:rFonts w:ascii="Century" w:hAnsi="Century"/>
          <w:noProof/>
          <w:lang w:val="en-ID"/>
        </w:rPr>
        <w:t>(Taylor, 2014)</w:t>
      </w:r>
      <w:r w:rsidR="00A13C91">
        <w:rPr>
          <w:rFonts w:ascii="Century" w:hAnsi="Century"/>
          <w:lang w:val="en-ID"/>
        </w:rPr>
        <w:fldChar w:fldCharType="end"/>
      </w:r>
      <w:r w:rsidRPr="00830464">
        <w:rPr>
          <w:rFonts w:ascii="Century" w:hAnsi="Century"/>
          <w:lang w:val="en-ID"/>
        </w:rPr>
        <w:t xml:space="preserve">. </w:t>
      </w:r>
      <w:r w:rsidRPr="00017F4A">
        <w:rPr>
          <w:rFonts w:ascii="Century" w:eastAsia="Times New Roman" w:hAnsi="Century" w:cs="Segoe UI Historic"/>
          <w:color w:val="050505"/>
        </w:rPr>
        <w:t xml:space="preserve">Women’s Global Leadership Institute menggagas kampanye Anti Kekerasan terhadap Perempuan selama 16 hari setiap tanggal 25 November hingga 10 Desember </w:t>
      </w:r>
      <w:r w:rsidR="00F148CD">
        <w:rPr>
          <w:rStyle w:val="Hyperlink"/>
          <w:rFonts w:ascii="Century" w:eastAsia="Times New Roman" w:hAnsi="Century" w:cs="Segoe UI Historic"/>
          <w:color w:val="auto"/>
          <w:bdr w:val="none" w:sz="0" w:space="0" w:color="auto" w:frame="1"/>
        </w:rPr>
        <w:fldChar w:fldCharType="begin" w:fldLock="1"/>
      </w:r>
      <w:r w:rsidR="00F148CD">
        <w:rPr>
          <w:rStyle w:val="Hyperlink"/>
          <w:rFonts w:ascii="Century" w:eastAsia="Times New Roman" w:hAnsi="Century" w:cs="Segoe UI Historic"/>
          <w:color w:val="auto"/>
          <w:bdr w:val="none" w:sz="0" w:space="0" w:color="auto" w:frame="1"/>
        </w:rPr>
        <w:instrText>ADDIN CSL_CITATION {"citationItems":[{"id":"ITEM-1","itemData":{"author":[{"dropping-particle":"","family":"komnasperempuan.go.id","given":"","non-dropping-particle":"","parse-names":false,"suffix":""}],"container-title":"komnasperempuan.go.id","id":"ITEM-1","issued":{"date-parts":[["2020"]]},"title":"kampanye Anti Kekerasan terhadap Perempuan","type":"webpage"},"uris":["http://www.mendeley.com/documents/?uuid=0b67f348-b98c-43f7-8995-606a10bb6c54"]}],"mendeley":{"formattedCitation":"(komnasperempuan.go.id, 2020)","plainTextFormattedCitation":"(komnasperempuan.go.id, 2020)","previouslyFormattedCitation":"(komnasperempuan.go.id, 2020)"},"properties":{"noteIndex":0},"schema":"https://github.com/citation-style-language/schema/raw/master/csl-citation.json"}</w:instrText>
      </w:r>
      <w:r w:rsidR="00F148CD">
        <w:rPr>
          <w:rStyle w:val="Hyperlink"/>
          <w:rFonts w:ascii="Century" w:eastAsia="Times New Roman" w:hAnsi="Century" w:cs="Segoe UI Historic"/>
          <w:color w:val="auto"/>
          <w:bdr w:val="none" w:sz="0" w:space="0" w:color="auto" w:frame="1"/>
        </w:rPr>
        <w:fldChar w:fldCharType="separate"/>
      </w:r>
      <w:r w:rsidR="00F148CD" w:rsidRPr="00F148CD">
        <w:rPr>
          <w:rStyle w:val="Hyperlink"/>
          <w:rFonts w:ascii="Century" w:eastAsia="Times New Roman" w:hAnsi="Century" w:cs="Segoe UI Historic"/>
          <w:noProof/>
          <w:color w:val="auto"/>
          <w:u w:val="none"/>
          <w:bdr w:val="none" w:sz="0" w:space="0" w:color="auto" w:frame="1"/>
        </w:rPr>
        <w:t>(komnasperempuan.go.id, 2020)</w:t>
      </w:r>
      <w:r w:rsidR="00F148CD">
        <w:rPr>
          <w:rStyle w:val="Hyperlink"/>
          <w:rFonts w:ascii="Century" w:eastAsia="Times New Roman" w:hAnsi="Century" w:cs="Segoe UI Historic"/>
          <w:color w:val="auto"/>
          <w:bdr w:val="none" w:sz="0" w:space="0" w:color="auto" w:frame="1"/>
        </w:rPr>
        <w:fldChar w:fldCharType="end"/>
      </w:r>
      <w:r w:rsidR="00B72332" w:rsidRPr="00733DE4">
        <w:rPr>
          <w:rFonts w:ascii="Century" w:eastAsia="Times New Roman" w:hAnsi="Century" w:cs="Segoe UI Historic"/>
          <w:bdr w:val="none" w:sz="0" w:space="0" w:color="auto" w:frame="1"/>
        </w:rPr>
        <w:t>.</w:t>
      </w:r>
    </w:p>
    <w:p w14:paraId="6012DBDB" w14:textId="7CBF22C0" w:rsidR="00733DE4" w:rsidRDefault="008141BC" w:rsidP="004F7DD9">
      <w:pPr>
        <w:shd w:val="clear" w:color="auto" w:fill="FFFFFF"/>
        <w:spacing w:line="276" w:lineRule="auto"/>
        <w:ind w:firstLine="720"/>
        <w:jc w:val="both"/>
        <w:rPr>
          <w:rFonts w:ascii="Century" w:hAnsi="Century"/>
          <w:w w:val="90"/>
        </w:rPr>
      </w:pPr>
      <w:r w:rsidRPr="00830464">
        <w:rPr>
          <w:rFonts w:ascii="Century" w:hAnsi="Century"/>
          <w:lang w:val="en-ID"/>
        </w:rPr>
        <w:t>Kekerasan terjadi karena kepercayaan yang sudah mengakar bahwa istri adalah benda penuh milik suami sehingga suami bisa melakukan apa saja atas istrinya</w:t>
      </w:r>
      <w:r w:rsidR="00F148CD">
        <w:rPr>
          <w:rFonts w:ascii="Century" w:hAnsi="Century"/>
          <w:lang w:val="en-ID"/>
        </w:rPr>
        <w:t xml:space="preserve"> </w:t>
      </w:r>
      <w:r w:rsidR="00F148CD">
        <w:rPr>
          <w:rFonts w:ascii="Century" w:hAnsi="Century"/>
          <w:lang w:val="en-ID"/>
        </w:rPr>
        <w:fldChar w:fldCharType="begin" w:fldLock="1"/>
      </w:r>
      <w:r w:rsidR="00F148CD">
        <w:rPr>
          <w:rFonts w:ascii="Century" w:hAnsi="Century"/>
          <w:lang w:val="en-ID"/>
        </w:rPr>
        <w:instrText>ADDIN CSL_CITATION {"citationItems":[{"id":"ITEM-1","itemData":{"author":[{"dropping-particle":"","family":"Melliza","given":"Selviana","non-dropping-particle":"","parse-names":false,"suffix":""}],"container-title":"Jurnal Psikologi","id":"ITEM-1","issue":"1","issued":{"date-parts":[["2010"]]},"title":"Sikap Istri terhadap Kekerasan Dalam RT","type":"article-journal","volume":"8"},"uris":["http://www.mendeley.com/documents/?uuid=5b259e6d-5878-4200-a34f-249e35d8dd1c"]}],"mendeley":{"formattedCitation":"(Melliza, 2010)","plainTextFormattedCitation":"(Melliza, 2010)","previouslyFormattedCitation":"(Melliza, 2010)"},"properties":{"noteIndex":0},"schema":"https://github.com/citation-style-language/schema/raw/master/csl-citation.json"}</w:instrText>
      </w:r>
      <w:r w:rsidR="00F148CD">
        <w:rPr>
          <w:rFonts w:ascii="Century" w:hAnsi="Century"/>
          <w:lang w:val="en-ID"/>
        </w:rPr>
        <w:fldChar w:fldCharType="separate"/>
      </w:r>
      <w:r w:rsidR="00F148CD" w:rsidRPr="00F148CD">
        <w:rPr>
          <w:rFonts w:ascii="Century" w:hAnsi="Century"/>
          <w:noProof/>
          <w:lang w:val="en-ID"/>
        </w:rPr>
        <w:t>(Melliza, 2010)</w:t>
      </w:r>
      <w:r w:rsidR="00F148CD">
        <w:rPr>
          <w:rFonts w:ascii="Century" w:hAnsi="Century"/>
          <w:lang w:val="en-ID"/>
        </w:rPr>
        <w:fldChar w:fldCharType="end"/>
      </w:r>
      <w:r w:rsidRPr="00830464">
        <w:rPr>
          <w:rFonts w:ascii="Century" w:hAnsi="Century"/>
          <w:lang w:val="en-ID"/>
        </w:rPr>
        <w:t xml:space="preserve">. </w:t>
      </w:r>
      <w:r w:rsidRPr="00830464">
        <w:rPr>
          <w:rFonts w:ascii="Century" w:hAnsi="Century"/>
          <w:lang w:val="sv-SE"/>
        </w:rPr>
        <w:t>Cara dan gaya kekerasan bisa berbeda, namun pada dasarnya semua penindas memiliki sifat yang sama, yaitu  bahagia melihat korbannya tersakiti</w:t>
      </w:r>
      <w:r w:rsidR="00F148CD">
        <w:rPr>
          <w:rFonts w:ascii="Century" w:hAnsi="Century"/>
          <w:lang w:val="sv-SE"/>
        </w:rPr>
        <w:t xml:space="preserve"> </w:t>
      </w:r>
      <w:r w:rsidR="00F148CD">
        <w:rPr>
          <w:rFonts w:ascii="Century" w:hAnsi="Century"/>
          <w:lang w:val="sv-SE"/>
        </w:rPr>
        <w:fldChar w:fldCharType="begin" w:fldLock="1"/>
      </w:r>
      <w:r w:rsidR="00F148CD">
        <w:rPr>
          <w:rFonts w:ascii="Century" w:hAnsi="Century"/>
          <w:lang w:val="sv-SE"/>
        </w:rPr>
        <w:instrText>ADDIN CSL_CITATION {"citationItems":[{"id":"ITEM-1","itemData":{"author":[{"dropping-particle":"","family":"Coloroso","given":"Barbara","non-dropping-particle":"","parse-names":false,"suffix":""}],"id":"ITEM-1","issued":{"date-parts":[["2017"]]},"publisher":"Harper Collins Publishers","publisher-place":"New York","title":"The Bully, The Bullied, and The Bystander","type":"book"},"uris":["http://www.mendeley.com/documents/?uuid=937da767-a735-4d5a-969b-4e00118f1e51"]}],"mendeley":{"formattedCitation":"(Coloroso, 2017)","plainTextFormattedCitation":"(Coloroso, 2017)","previouslyFormattedCitation":"(Coloroso, 2017)"},"properties":{"noteIndex":0},"schema":"https://github.com/citation-style-language/schema/raw/master/csl-citation.json"}</w:instrText>
      </w:r>
      <w:r w:rsidR="00F148CD">
        <w:rPr>
          <w:rFonts w:ascii="Century" w:hAnsi="Century"/>
          <w:lang w:val="sv-SE"/>
        </w:rPr>
        <w:fldChar w:fldCharType="separate"/>
      </w:r>
      <w:r w:rsidR="00F148CD" w:rsidRPr="00F148CD">
        <w:rPr>
          <w:rFonts w:ascii="Century" w:hAnsi="Century"/>
          <w:noProof/>
          <w:lang w:val="sv-SE"/>
        </w:rPr>
        <w:t>(Coloroso, 2017)</w:t>
      </w:r>
      <w:r w:rsidR="00F148CD">
        <w:rPr>
          <w:rFonts w:ascii="Century" w:hAnsi="Century"/>
          <w:lang w:val="sv-SE"/>
        </w:rPr>
        <w:fldChar w:fldCharType="end"/>
      </w:r>
      <w:r w:rsidRPr="00830464">
        <w:rPr>
          <w:rFonts w:ascii="Century" w:hAnsi="Century"/>
          <w:lang w:val="sv-SE"/>
        </w:rPr>
        <w:t>.</w:t>
      </w:r>
      <w:r w:rsidRPr="00830464">
        <w:rPr>
          <w:rFonts w:ascii="Century" w:hAnsi="Century"/>
          <w:lang w:val="en-ID"/>
        </w:rPr>
        <w:t xml:space="preserve"> Perlu adanya </w:t>
      </w:r>
      <w:r w:rsidRPr="00830464">
        <w:rPr>
          <w:rFonts w:ascii="Century" w:hAnsi="Century"/>
          <w:bCs/>
          <w:lang w:val="en-ID"/>
        </w:rPr>
        <w:t xml:space="preserve">program pencegahan kekerasan berfokus pada keluarga </w:t>
      </w:r>
      <w:r w:rsidR="00F148CD">
        <w:rPr>
          <w:rFonts w:ascii="Century" w:hAnsi="Century"/>
          <w:bCs/>
          <w:lang w:val="en-ID"/>
        </w:rPr>
        <w:fldChar w:fldCharType="begin" w:fldLock="1"/>
      </w:r>
      <w:r w:rsidR="00F148CD">
        <w:rPr>
          <w:rFonts w:ascii="Century" w:hAnsi="Century"/>
          <w:bCs/>
          <w:lang w:val="en-ID"/>
        </w:rPr>
        <w:instrText>ADDIN CSL_CITATION {"citationItems":[{"id":"ITEM-1","itemData":{"DOI":"10.1080/19325037.2002.10604759","ISSN":"21683751","abstract":"This study was undertaken to answer the following questions: (1) What are preservice teachers’ beliefs regarding school violence prevention and intervention approaches? (2) What are preservice teachers’ beliefs regarding the effect of violence prevention training on the school environment? (3) Do preservice teachers’ beliefs regarding school violence differ based on background and demographic variables (i.e., gender, age, race, education level, area of certification, and student teaching school location [urban vs. suburban vs. rural])? More than 800 undergraduate and graduate students from selected universities across the state of Ohio participated in this study. Data were collected during the 1998/1999 academic year. Significant differences in preservice teachers’ beliefs regarding school violence were found based on sex, area of certification, and level of violence prevention training received. This study suggests that violence prevention training should be offered through teacher preparation programs. © 2002 Taylor &amp; Francis Group, LLC.","author":[{"dropping-particle":"","family":"Kandakai","given":"Tina L.","non-dropping-particle":"","parse-names":false,"suffix":""},{"dropping-particle":"","family":"King","given":"Keith A.","non-dropping-particle":"","parse-names":false,"suffix":""}],"container-title":"American Journal of Health Education","id":"ITEM-1","issue":"6","issued":{"date-parts":[["2002"]]},"page":"350-356","title":"Preservice teachers’ beliefs regarding school violence prevention training","type":"article-journal","volume":"33"},"uris":["http://www.mendeley.com/documents/?uuid=2350d318-8732-475a-b154-c30e699c44ab"]}],"mendeley":{"formattedCitation":"(Kandakai &amp; King, 2002)","plainTextFormattedCitation":"(Kandakai &amp; King, 2002)","previouslyFormattedCitation":"(Kandakai &amp; King, 2002)"},"properties":{"noteIndex":0},"schema":"https://github.com/citation-style-language/schema/raw/master/csl-citation.json"}</w:instrText>
      </w:r>
      <w:r w:rsidR="00F148CD">
        <w:rPr>
          <w:rFonts w:ascii="Century" w:hAnsi="Century"/>
          <w:bCs/>
          <w:lang w:val="en-ID"/>
        </w:rPr>
        <w:fldChar w:fldCharType="separate"/>
      </w:r>
      <w:r w:rsidR="00F148CD" w:rsidRPr="00F148CD">
        <w:rPr>
          <w:rFonts w:ascii="Century" w:hAnsi="Century"/>
          <w:bCs/>
          <w:noProof/>
          <w:lang w:val="en-ID"/>
        </w:rPr>
        <w:t>(Kandakai &amp; King, 2002)</w:t>
      </w:r>
      <w:r w:rsidR="00F148CD">
        <w:rPr>
          <w:rFonts w:ascii="Century" w:hAnsi="Century"/>
          <w:bCs/>
          <w:lang w:val="en-ID"/>
        </w:rPr>
        <w:fldChar w:fldCharType="end"/>
      </w:r>
      <w:r w:rsidRPr="00830464">
        <w:rPr>
          <w:rFonts w:ascii="Century" w:hAnsi="Century"/>
          <w:bCs/>
          <w:lang w:val="en-ID"/>
        </w:rPr>
        <w:t xml:space="preserve">. Keterlibatan </w:t>
      </w:r>
      <w:r w:rsidRPr="00830464">
        <w:rPr>
          <w:rFonts w:ascii="Century" w:hAnsi="Century"/>
          <w:bCs/>
          <w:i/>
          <w:lang w:val="en-ID"/>
        </w:rPr>
        <w:t>parenting</w:t>
      </w:r>
      <w:r w:rsidRPr="00830464">
        <w:rPr>
          <w:rFonts w:ascii="Century" w:hAnsi="Century"/>
          <w:bCs/>
          <w:lang w:val="en-ID"/>
        </w:rPr>
        <w:t xml:space="preserve"> yang menerapkan pola asuh yang bijak dapat mencegah tindak kekerasan</w:t>
      </w:r>
      <w:r w:rsidR="00F148CD">
        <w:rPr>
          <w:rFonts w:ascii="Century" w:hAnsi="Century"/>
          <w:bCs/>
          <w:lang w:val="en-ID"/>
        </w:rPr>
        <w:t xml:space="preserve"> </w:t>
      </w:r>
      <w:r w:rsidR="00F148CD">
        <w:rPr>
          <w:rFonts w:ascii="Century" w:hAnsi="Century"/>
          <w:lang w:val="en-ID"/>
        </w:rPr>
        <w:fldChar w:fldCharType="begin" w:fldLock="1"/>
      </w:r>
      <w:r w:rsidR="00F148CD">
        <w:rPr>
          <w:rFonts w:ascii="Century" w:hAnsi="Century"/>
          <w:lang w:val="en-ID"/>
        </w:rPr>
        <w:instrText>ADDIN CSL_CITATION {"citationItems":[{"id":"ITEM-1","itemData":{"DOI":"10.1080/08946566.2020.1819926","ISSN":"15404129","PMID":"32957832","abstract":"Abuse and neglect among older adults impact everyone and are recognized internationally as significant and growing public health issues. A systematic review of reviews was conducted to identify effective strategies and approaches for preventing abuse and neglect among older adults. Eligible reviews were systematic or meta-analyses; focused on the older population as reported in the publications; reviewed prevention interventions; included relevant violence and abuse outcomes; written in English; and published in a peer-reviewed journal between January 2000 and May 2020. Eleven unique reviews (12 publications) met the eligibility criteria, including one meta-analysis. Included reviews mainly focused on general abuse directed toward older adults; and educational interventions for professional and paraprofessional caregivers, multidisciplinary teams of health care and legal professionals, and families. Interventions were implemented in a variety of community and institutional settings and addressed primary, secondary, and tertiary prevention. The reviews indicated weak or insufficient evidence of effectiveness in preventing or reducing abuse, yet several promising practices were identified. Future research is needed to evaluate emerging and promising strategies and approaches to prevent abuse among older adults. Effective interventions are also needed to prevent or reduce abuse and neglect among older adults.","author":[{"dropping-particle":"","family":"Marshall","given":"Khiya","non-dropping-particle":"","parse-names":false,"suffix":""},{"dropping-particle":"","family":"Herbst","given":"Jeffrey","non-dropping-particle":"","parse-names":false,"suffix":""},{"dropping-particle":"","family":"Girod","given":"Candace","non-dropping-particle":"","parse-names":false,"suffix":""},{"dropping-particle":"","family":"Annor","given":"Francis","non-dropping-particle":"","parse-names":false,"suffix":""}],"container-title":"Journal of Elder Abuse and Neglect","id":"ITEM-1","issue":"00","issued":{"date-parts":[["2020"]]},"page":"1-25","publisher":"Routledge","title":"Do interventions to prevent or stop abuse and neglect among older adults work? A systematic review of reviews","type":"article-journal","volume":"00"},"uris":["http://www.mendeley.com/documents/?uuid=de0c14c4-82a4-4268-973c-df70479644bb"]}],"mendeley":{"formattedCitation":"(Marshall et al., 2020)","plainTextFormattedCitation":"(Marshall et al., 2020)","previouslyFormattedCitation":"(Marshall et al., 2020)"},"properties":{"noteIndex":0},"schema":"https://github.com/citation-style-language/schema/raw/master/csl-citation.json"}</w:instrText>
      </w:r>
      <w:r w:rsidR="00F148CD">
        <w:rPr>
          <w:rFonts w:ascii="Century" w:hAnsi="Century"/>
          <w:lang w:val="en-ID"/>
        </w:rPr>
        <w:fldChar w:fldCharType="separate"/>
      </w:r>
      <w:r w:rsidR="00F148CD" w:rsidRPr="00F148CD">
        <w:rPr>
          <w:rFonts w:ascii="Century" w:hAnsi="Century"/>
          <w:noProof/>
          <w:lang w:val="en-ID"/>
        </w:rPr>
        <w:t>(Marshall et al., 2020)</w:t>
      </w:r>
      <w:r w:rsidR="00F148CD">
        <w:rPr>
          <w:rFonts w:ascii="Century" w:hAnsi="Century"/>
          <w:lang w:val="en-ID"/>
        </w:rPr>
        <w:fldChar w:fldCharType="end"/>
      </w:r>
      <w:r>
        <w:rPr>
          <w:rFonts w:ascii="Century" w:hAnsi="Century"/>
          <w:bCs/>
          <w:lang w:val="en-ID"/>
        </w:rPr>
        <w:t xml:space="preserve">. </w:t>
      </w:r>
      <w:r w:rsidRPr="00830464">
        <w:rPr>
          <w:rFonts w:ascii="Century" w:hAnsi="Century"/>
          <w:lang w:val="en-ID"/>
        </w:rPr>
        <w:t>P</w:t>
      </w:r>
      <w:r w:rsidRPr="00830464">
        <w:rPr>
          <w:rFonts w:ascii="Century" w:hAnsi="Century"/>
          <w:lang w:val="id-ID"/>
        </w:rPr>
        <w:t xml:space="preserve">erempuan yang tinggal di daerah perkotaan </w:t>
      </w:r>
      <w:r w:rsidRPr="00830464">
        <w:rPr>
          <w:rFonts w:ascii="Century" w:hAnsi="Century"/>
          <w:lang w:val="en-ID"/>
        </w:rPr>
        <w:t xml:space="preserve">lebih banyak </w:t>
      </w:r>
      <w:r w:rsidRPr="00830464">
        <w:rPr>
          <w:rFonts w:ascii="Century" w:hAnsi="Century"/>
          <w:lang w:val="id-ID"/>
        </w:rPr>
        <w:t>terpapar</w:t>
      </w:r>
      <w:r w:rsidRPr="00830464">
        <w:rPr>
          <w:rFonts w:ascii="Century" w:hAnsi="Century"/>
          <w:lang w:val="en-ID"/>
        </w:rPr>
        <w:t xml:space="preserve"> hampir semua jenis</w:t>
      </w:r>
      <w:r w:rsidRPr="00830464">
        <w:rPr>
          <w:rFonts w:ascii="Century" w:hAnsi="Century"/>
          <w:lang w:val="id-ID"/>
        </w:rPr>
        <w:t xml:space="preserve"> kekerasan </w:t>
      </w:r>
      <w:r w:rsidRPr="00830464">
        <w:rPr>
          <w:rFonts w:ascii="Century" w:hAnsi="Century"/>
          <w:lang w:val="en-ID"/>
        </w:rPr>
        <w:t xml:space="preserve">dibanding </w:t>
      </w:r>
      <w:r w:rsidRPr="00830464">
        <w:rPr>
          <w:rFonts w:ascii="Century" w:hAnsi="Century"/>
          <w:lang w:val="id-ID"/>
        </w:rPr>
        <w:t>mereka yang tinggal di daerah pedesaan</w:t>
      </w:r>
      <w:r w:rsidRPr="00830464">
        <w:rPr>
          <w:rFonts w:ascii="Century" w:hAnsi="Century"/>
          <w:lang w:val="en-ID"/>
        </w:rPr>
        <w:t xml:space="preserve"> akibat</w:t>
      </w:r>
      <w:r w:rsidRPr="00830464">
        <w:rPr>
          <w:rFonts w:ascii="Century" w:hAnsi="Century"/>
          <w:lang w:val="id-ID"/>
        </w:rPr>
        <w:t xml:space="preserve"> kebiasaan buruk pasangan, antara lain mengomsumsi alkohol, obat-obatan terlarang, serta berjudi</w:t>
      </w:r>
      <w:r w:rsidR="00F148CD">
        <w:rPr>
          <w:rFonts w:ascii="Century" w:hAnsi="Century"/>
          <w:lang w:val="en-ID"/>
        </w:rPr>
        <w:t xml:space="preserve"> </w:t>
      </w:r>
      <w:r w:rsidR="00F148CD">
        <w:rPr>
          <w:rFonts w:ascii="Century" w:hAnsi="Century"/>
          <w:lang w:val="en-ID"/>
        </w:rPr>
        <w:fldChar w:fldCharType="begin" w:fldLock="1"/>
      </w:r>
      <w:r w:rsidR="00F148CD">
        <w:rPr>
          <w:rFonts w:ascii="Century" w:hAnsi="Century"/>
          <w:lang w:val="en-ID"/>
        </w:rPr>
        <w:instrText>ADDIN CSL_CITATION {"citationItems":[{"id":"ITEM-1","itemData":{"DOI":"10.20409/berj.2018.133","ISSN":"1309-2448","abstract":"The present study empirically evaluates the socio-economic factors that affect the domestic violence against women in Turkey. The types of violence against women was examined with the Multinomial Logit Model (MNLM) by the use of data received from the Survey on Domestic Violence against Women in Turkey, which was performed by Turkish Statistical Institute for the year 2014. Empirical results show that physical and sexual violence raises as the women's age increase; and if the educational status of the women and their husbands was at and above university level, women faced less domestic violence. The results indicate that employment of women and husband did not have any significant effects on physical violence and economic and emotional violence. It is observed that if women had their own income or earning, they received less economic and emotional violence; and health insurance for women reduced the possibility of all types of violence. The results reveal that women living in urban areas were exposed to any type of violence more than those living in rural areas; and the bad habits of spouse (alcohol, gambling and drugs) increased every type of violence against women. [ABSTRACT FROM AUTHOR]","author":[{"dropping-particle":"","family":"Ipek","given":"Evren","non-dropping-particle":"","parse-names":false,"suffix":""},{"dropping-particle":"","family":"Ayvaz Kizilgol","given":"Ozlem","non-dropping-particle":"","parse-names":false,"suffix":""}],"container-title":"Business and Economics Research Journal","id":"ITEM-1","issue":"3","issued":{"date-parts":[["2018"]]},"page":"715-733","title":"An Analysis on Domestic Violence against Women in Turkey: Multinomial Logit Model","type":"article-journal","volume":"9"},"uris":["http://www.mendeley.com/documents/?uuid=da0a5e55-3242-4a23-a091-9daa73d377b4"]}],"mendeley":{"formattedCitation":"(Ipek &amp; Ayvaz Kizilgol, 2018)","plainTextFormattedCitation":"(Ipek &amp; Ayvaz Kizilgol, 2018)","previouslyFormattedCitation":"(Ipek &amp; Ayvaz Kizilgol, 2018)"},"properties":{"noteIndex":0},"schema":"https://github.com/citation-style-language/schema/raw/master/csl-citation.json"}</w:instrText>
      </w:r>
      <w:r w:rsidR="00F148CD">
        <w:rPr>
          <w:rFonts w:ascii="Century" w:hAnsi="Century"/>
          <w:lang w:val="en-ID"/>
        </w:rPr>
        <w:fldChar w:fldCharType="separate"/>
      </w:r>
      <w:r w:rsidR="00F148CD" w:rsidRPr="00F148CD">
        <w:rPr>
          <w:rFonts w:ascii="Century" w:hAnsi="Century"/>
          <w:noProof/>
          <w:lang w:val="en-ID"/>
        </w:rPr>
        <w:t>(Ipek &amp; Ayvaz Kizilgol, 2018)</w:t>
      </w:r>
      <w:r w:rsidR="00F148CD">
        <w:rPr>
          <w:rFonts w:ascii="Century" w:hAnsi="Century"/>
          <w:lang w:val="en-ID"/>
        </w:rPr>
        <w:fldChar w:fldCharType="end"/>
      </w:r>
      <w:r w:rsidRPr="00830464">
        <w:rPr>
          <w:rFonts w:ascii="Century" w:hAnsi="Century"/>
          <w:lang w:val="en-ID"/>
        </w:rPr>
        <w:t xml:space="preserve">. </w:t>
      </w:r>
      <w:r w:rsidR="00733DE4" w:rsidRPr="009C5DFC">
        <w:rPr>
          <w:rFonts w:ascii="Century" w:hAnsi="Century"/>
          <w:w w:val="90"/>
        </w:rPr>
        <w:t xml:space="preserve">Efek dosis obat berlebihan yang dikonsumsi sang ayah menyebabkan semakin banyak dan sering kekerasan fisik yang dialami ibu ketika anak masih balita, semakin besar kemungkinan mereka untuk melakukan hukuman fisik pada anak di usia balita </w:t>
      </w:r>
      <w:r w:rsidR="00F148CD">
        <w:rPr>
          <w:rFonts w:ascii="Century" w:hAnsi="Century"/>
          <w:w w:val="90"/>
        </w:rPr>
        <w:fldChar w:fldCharType="begin" w:fldLock="1"/>
      </w:r>
      <w:r w:rsidR="00F148CD">
        <w:rPr>
          <w:rFonts w:ascii="Century" w:hAnsi="Century"/>
          <w:w w:val="90"/>
        </w:rPr>
        <w:instrText>ADDIN CSL_CITATION {"citationItems":[{"id":"ITEM-1","itemData":{"DOI":"10.1007/s10896-015-9727-5","ISSN":"08857482","abstract":"Children who experience trauma due to exposure to intimate partner violence (IPV) have been shown to exhibit higher than average rates of cognitive, psychological, and emotional impairments. Our research uses the first five waves of the Fragile Families and Child Well-being Study to examine the effects of exposure to intimate partner violence in early childhood (as measured by their mothers’ experiences with physical violence and economic abuse) on delinquency at age nine. It also investigates whether these effects are mediated by parental involvement and exposure to child neglect and physical punishment. Results indicate that children’s exposure to IPV at Year 1 and Year 3 had direct effects on their tendency toward delinquent behavior at Year 9, and that parental involvement, child neglect, and physical punishment also had significant mediating effects. Given the importance of early delinquency to later achievement, the findings may provide implications for early intervention.","author":[{"dropping-particle":"","family":"Huang","given":"Chien Chung","non-dropping-particle":"","parse-names":false,"suffix":""},{"dropping-particle":"","family":"Vikse","given":"Juliann H.","non-dropping-particle":"","parse-names":false,"suffix":""},{"dropping-particle":"","family":"Lu","given":"Shuang","non-dropping-particle":"","parse-names":false,"suffix":""},{"dropping-particle":"","family":"Yi","given":"Siliai","non-dropping-particle":"","parse-names":false,"suffix":""}],"container-title":"Journal of Family Violence","id":"ITEM-1","issue":"8","issued":{"date-parts":[["2015"]]},"page":"953-965","title":"Children’s Exposure to Intimate Partner Violence and Early Delinquency","type":"article-journal","volume":"30"},"uris":["http://www.mendeley.com/documents/?uuid=d95f8ed2-929a-483c-aa81-f799ae65a2bb"]}],"mendeley":{"formattedCitation":"(Huang et al., 2015)","plainTextFormattedCitation":"(Huang et al., 2015)","previouslyFormattedCitation":"(Huang et al., 2015)"},"properties":{"noteIndex":0},"schema":"https://github.com/citation-style-language/schema/raw/master/csl-citation.json"}</w:instrText>
      </w:r>
      <w:r w:rsidR="00F148CD">
        <w:rPr>
          <w:rFonts w:ascii="Century" w:hAnsi="Century"/>
          <w:w w:val="90"/>
        </w:rPr>
        <w:fldChar w:fldCharType="separate"/>
      </w:r>
      <w:r w:rsidR="00F148CD" w:rsidRPr="00F148CD">
        <w:rPr>
          <w:rFonts w:ascii="Century" w:hAnsi="Century"/>
          <w:noProof/>
          <w:w w:val="90"/>
        </w:rPr>
        <w:t>(Huang et al., 2015)</w:t>
      </w:r>
      <w:r w:rsidR="00F148CD">
        <w:rPr>
          <w:rFonts w:ascii="Century" w:hAnsi="Century"/>
          <w:w w:val="90"/>
        </w:rPr>
        <w:fldChar w:fldCharType="end"/>
      </w:r>
      <w:r w:rsidR="00733DE4" w:rsidRPr="009C5DFC">
        <w:rPr>
          <w:rFonts w:ascii="Century" w:hAnsi="Century"/>
          <w:w w:val="90"/>
        </w:rPr>
        <w:t>.</w:t>
      </w:r>
    </w:p>
    <w:p w14:paraId="4E893A06" w14:textId="5DF7273E" w:rsidR="00733DE4" w:rsidRPr="00733DE4" w:rsidRDefault="00733DE4" w:rsidP="004F7DD9">
      <w:pPr>
        <w:shd w:val="clear" w:color="auto" w:fill="FFFFFF"/>
        <w:spacing w:line="276" w:lineRule="auto"/>
        <w:ind w:firstLine="720"/>
        <w:jc w:val="both"/>
        <w:rPr>
          <w:rFonts w:ascii="Century" w:hAnsi="Century"/>
          <w:w w:val="90"/>
        </w:rPr>
      </w:pPr>
      <w:r w:rsidRPr="00EE7FB0">
        <w:rPr>
          <w:rFonts w:ascii="Century" w:hAnsi="Century"/>
          <w:spacing w:val="-11"/>
          <w:w w:val="95"/>
        </w:rPr>
        <w:t xml:space="preserve">Walau sang ibu menjadi korban kekerasan, namun ia tetap berjuang </w:t>
      </w:r>
      <w:r>
        <w:rPr>
          <w:rFonts w:ascii="Century" w:hAnsi="Century"/>
          <w:spacing w:val="-11"/>
          <w:w w:val="95"/>
        </w:rPr>
        <w:t xml:space="preserve">melindungi anak-anak </w:t>
      </w:r>
      <w:r w:rsidRPr="00EE7FB0">
        <w:rPr>
          <w:rFonts w:ascii="Century" w:hAnsi="Century"/>
          <w:spacing w:val="-11"/>
          <w:w w:val="95"/>
        </w:rPr>
        <w:t xml:space="preserve">mereka </w:t>
      </w:r>
      <w:r w:rsidR="00F148CD">
        <w:rPr>
          <w:rFonts w:ascii="Century" w:hAnsi="Century"/>
          <w:spacing w:val="-11"/>
          <w:w w:val="95"/>
        </w:rPr>
        <w:fldChar w:fldCharType="begin" w:fldLock="1"/>
      </w:r>
      <w:r w:rsidR="00F148CD">
        <w:rPr>
          <w:rFonts w:ascii="Century" w:hAnsi="Century"/>
          <w:spacing w:val="-11"/>
          <w:w w:val="95"/>
        </w:rPr>
        <w:instrText>ADDIN CSL_CITATION {"citationItems":[{"id":"ITEM-1","itemData":{"DOI":"10.1007/s11121-016-0707-7","ISBN":"1112101607077","ISSN":"13894986","PMID":"27718104","abstract":"Elucidating the complex mechanisms by which harsh parenting increases risk of child psychopathology is key to targeted prevention. This requires nuanced methods that capture the varied perceptions and experiences of diverse families. The Family Socialization Interview—Revised (FSI-R), adapted from an interview developed by Dodge et al. (Child Development, 65, 649–665, 1994), is a comprehensive, semi-structured interview for characterizing methods of parental discipline used with young children. The FSI-R coding system systematically rates parenting style, usual discipline techniques, and most intense physical and psychological discipline based on rater judgment across two eras: (1) birth to the previous year, and (2) the previous year to present. The current study examined the psychometric properties of the FSI-R in a diverse, high-risk community sample of 386 mothers and their children, ages 3 to 6 years. Interrater reliability was good to excellent for codes capturing physically and psychologically harsh parenting, and restrictive/punitive parenting styles. Findings supported the FSI-R’s convergent and incremental validity. Importantly, the FSI-R demonstrated incremental utility, explaining unique variance in children’s externalizing and internalizing symptoms beyond that explained by traditional surveys and observed parenting. The FSI-R appeared particularly promising for capturing risk associated with young children’s depressive symptoms, as these were generally not significantly associated with other measures of harsh parenting. Overall, findings support the added value of the FSI-R within a multi-method assessment of disciplinary practices across early child development. Future implications for prevention are discussed.","author":[{"dropping-particle":"","family":"O’Dor","given":"Sarah L.","non-dropping-particle":"","parse-names":false,"suffix":""},{"dropping-particle":"","family":"Grasso","given":"Damion J.","non-dropping-particle":"","parse-names":false,"suffix":""},{"dropping-particle":"","family":"Forbes","given":"Danielle","non-dropping-particle":"","parse-names":false,"suffix":""},{"dropping-particle":"","family":"Bates","given":"John E.","non-dropping-particle":"","parse-names":false,"suffix":""},{"dropping-particle":"","family":"McCarthy","given":"Kimberly J.","non-dropping-particle":"","parse-names":false,"suffix":""},{"dropping-particle":"","family":"Wakschlag","given":"Lauren S.","non-dropping-particle":"","parse-names":false,"suffix":""},{"dropping-particle":"","family":"Briggs-Gowan","given":"Margaret J.","non-dropping-particle":"","parse-names":false,"suffix":""}],"container-title":"Prevention Science","id":"ITEM-1","issue":"3","issued":{"date-parts":[["2017"]]},"page":"292-304","publisher":"Prevention Science","title":"The Family Socialization Interview—Revised (FSI-R): a Comprehensive Assessment of Parental Disciplinary Behaviors","type":"article-journal","volume":"18"},"uris":["http://www.mendeley.com/documents/?uuid=66ac6c4f-b973-44e8-8f6b-8cffa20bf6ac"]},{"id":"ITEM-2","itemData":{"DOI":"10.1007/s10464-014-9658-y","ISSN":"00910562","PMID":"24777256","abstract":"Exposure to intimate partner violence (IPV) has negative consequences for children's well-being and behavior. Much of the research on parenting in the context of IPV has focused on whether and how IPV victimization may negatively shape maternal parenting, and how parenting may in turn negatively influence child behavior, resulting in a deficit model of mothering in the context of IPV. However, extant research has yet to untangle the interrelationships among the constructs and test whether the negative effects of IPV on child behavior are indeed attributable to IPV affecting mothers' parenting. The current study employed path analysis to examine the relationships among IPV, mothers' parenting practices, and their children's externalizing behaviors over three waves of data collection among a sample of 160 women with physically abusive partners. Findings indicate that women who reported higher levels of IPV also reported higher levels of behavior problems in their children at the next time point. When parenting practices were examined individually as mediators of the relationship between IPV and child behavior over time, one type of parenting was significant relationship, such that IPV lead to higher authoritative parenting and lower child behavior problems. On the other hand, there was no evidence that higher levels of IPV contributed to more child behavior problems due to maternal parenting. Instead, IPV had a significant cumulative indirect effect on child behavior via the stability of both IPV and behavior over time. Implications for promoting women's and children's well-being in the context of IPV are discussed. © 2014 Society for Community Research and Action.","author":[{"dropping-particle":"","family":"Greeson","given":"Megan R.","non-dropping-particle":"","parse-names":false,"suffix":""},{"dropping-particle":"","family":"Kennedy","given":"Angie C.","non-dropping-particle":"","parse-names":false,"suffix":""},{"dropping-particle":"","family":"Bybee","given":"Deborah I.","non-dropping-particle":"","parse-names":false,"suffix":""},{"dropping-particle":"","family":"Beeble","given":"Marisa","non-dropping-particle":"","parse-names":false,"suffix":""},{"dropping-particle":"","family":"Adams","given":"Adrienne E.","non-dropping-particle":"","parse-names":false,"suffix":""},{"dropping-particle":"","family":"Sullivan","given":"Cris","non-dropping-particle":"","parse-names":false,"suffix":""}],"container-title":"American Journal of Community Psychology","id":"ITEM-2","issue":"1-2","issued":{"date-parts":[["2014"]]},"page":"46-58","title":"Beyond Deficits: Intimate Partner Violence, Maternal Parenting, and Child Behavior Over Time","type":"article-journal","volume":"54"},"uris":["http://www.mendeley.com/documents/?uuid=4dc8e329-15b8-48f1-b251-75fee1d901bd"]}],"mendeley":{"formattedCitation":"(Greeson et al., 2014; O’Dor et al., 2017)","plainTextFormattedCitation":"(Greeson et al., 2014; O’Dor et al., 2017)","previouslyFormattedCitation":"(Greeson et al., 2014; O’Dor et al., 2017)"},"properties":{"noteIndex":0},"schema":"https://github.com/citation-style-language/schema/raw/master/csl-citation.json"}</w:instrText>
      </w:r>
      <w:r w:rsidR="00F148CD">
        <w:rPr>
          <w:rFonts w:ascii="Century" w:hAnsi="Century"/>
          <w:spacing w:val="-11"/>
          <w:w w:val="95"/>
        </w:rPr>
        <w:fldChar w:fldCharType="separate"/>
      </w:r>
      <w:r w:rsidR="00F148CD" w:rsidRPr="00F148CD">
        <w:rPr>
          <w:rFonts w:ascii="Century" w:hAnsi="Century"/>
          <w:noProof/>
          <w:spacing w:val="-11"/>
          <w:w w:val="95"/>
        </w:rPr>
        <w:t>(Greeson et al., 2014; O’Dor et al., 2017)</w:t>
      </w:r>
      <w:r w:rsidR="00F148CD">
        <w:rPr>
          <w:rFonts w:ascii="Century" w:hAnsi="Century"/>
          <w:spacing w:val="-11"/>
          <w:w w:val="95"/>
        </w:rPr>
        <w:fldChar w:fldCharType="end"/>
      </w:r>
      <w:r w:rsidRPr="00EE7FB0">
        <w:rPr>
          <w:rFonts w:ascii="Century" w:hAnsi="Century"/>
          <w:spacing w:val="-11"/>
          <w:w w:val="95"/>
        </w:rPr>
        <w:t xml:space="preserve">. </w:t>
      </w:r>
      <w:r w:rsidRPr="00EE7FB0">
        <w:rPr>
          <w:rFonts w:ascii="Century" w:hAnsi="Century"/>
          <w:w w:val="90"/>
        </w:rPr>
        <w:t xml:space="preserve">Korban kekerasan secara agresif dan kasar pada anak, secara psikologis harus memperoleh perhatian ekstra </w:t>
      </w:r>
      <w:r w:rsidR="00F148CD">
        <w:rPr>
          <w:rFonts w:ascii="Century" w:hAnsi="Century"/>
          <w:w w:val="90"/>
        </w:rPr>
        <w:fldChar w:fldCharType="begin" w:fldLock="1"/>
      </w:r>
      <w:r w:rsidR="00F148CD">
        <w:rPr>
          <w:rFonts w:ascii="Century" w:hAnsi="Century"/>
          <w:w w:val="90"/>
        </w:rPr>
        <w:instrText>ADDIN CSL_CITATION {"citationItems":[{"id":"ITEM-1","itemData":{"DOI":"10.1037/a0037971","ISSN":"2152081X","abstract":"Objective: Despite knowledge that intimate partner violence (IPV) can negatively affect children's socioemotional and behavioral development, less is known about the impact of IPV on children's cognitive development, including whether it influences their executive functioning (EF). The goal of the current study was to address this gap in the literature, by examining the association between IPV that occurs early in life and EF at school entry. This study also allowed for the investigation of maternal sensitive parenting behaviors as a possible mediator of this relation. Method: Using longitudinal data from a socioeconomically and racially diverse sample of families (n = 154), we investigated the association between IPV measured when children were 24, 30, and 36 months old and their EF when they were 60 months old. We also tested whether maternal sensitive parenting behaviors (measured when children were 24, 36, and 60 months old) mediated this association. Results: Results indicate that, even after controlling for a number of family- and child-level covariates, IPV occurring early in children's lives was negatively associated with their EF at school entry. This relation was mediated by maternal sensitive parenting behaviors, such that higher levels of IPV were associated with lower levels of sensitive parenting behaviors, which in turn were positively associated with children's EF. Conclusions: These findings add to a limited body of literature that links IPV and children's cognitive functioning, and suggest that intervention efforts aimed at improving children's EF may want to simultaneously consider IPV and maternal sensitive parenting behaviors.","author":[{"dropping-particle":"","family":"Gustafsson","given":"Hanna C.","non-dropping-particle":"","parse-names":false,"suffix":""},{"dropping-particle":"","family":"Coffman","given":"Jennifer L.","non-dropping-particle":"","parse-names":false,"suffix":""},{"dropping-particle":"","family":"Cox","given":"Martha J.","non-dropping-particle":"","parse-names":false,"suffix":""}],"container-title":"Psychology of Violence","id":"ITEM-1","issue":"3","issued":{"date-parts":[["2015"]]},"page":"266-274","title":"Intimate partner violence, maternal sensitive parenting behaviors, and children's executive functioning","type":"article-journal","volume":"5"},"uris":["http://www.mendeley.com/documents/?uuid=ce9ba49a-a3ae-45b6-88a0-e5c93f0a9997"]}],"mendeley":{"formattedCitation":"(Gustafsson et al., 2015)","plainTextFormattedCitation":"(Gustafsson et al., 2015)","previouslyFormattedCitation":"(Gustafsson et al., 2015)"},"properties":{"noteIndex":0},"schema":"https://github.com/citation-style-language/schema/raw/master/csl-citation.json"}</w:instrText>
      </w:r>
      <w:r w:rsidR="00F148CD">
        <w:rPr>
          <w:rFonts w:ascii="Century" w:hAnsi="Century"/>
          <w:w w:val="90"/>
        </w:rPr>
        <w:fldChar w:fldCharType="separate"/>
      </w:r>
      <w:r w:rsidR="00F148CD" w:rsidRPr="00F148CD">
        <w:rPr>
          <w:rFonts w:ascii="Century" w:hAnsi="Century"/>
          <w:noProof/>
          <w:w w:val="90"/>
        </w:rPr>
        <w:t>(Gustafsson et al., 2015)</w:t>
      </w:r>
      <w:r w:rsidR="00F148CD">
        <w:rPr>
          <w:rFonts w:ascii="Century" w:hAnsi="Century"/>
          <w:w w:val="90"/>
        </w:rPr>
        <w:fldChar w:fldCharType="end"/>
      </w:r>
      <w:r w:rsidRPr="00EE7FB0">
        <w:rPr>
          <w:rFonts w:ascii="Century" w:hAnsi="Century"/>
          <w:w w:val="90"/>
        </w:rPr>
        <w:t>.</w:t>
      </w:r>
      <w:r w:rsidRPr="00EE7FB0">
        <w:rPr>
          <w:rFonts w:ascii="Century" w:hAnsi="Century"/>
          <w:spacing w:val="-11"/>
          <w:w w:val="95"/>
        </w:rPr>
        <w:t xml:space="preserve"> </w:t>
      </w:r>
      <w:r w:rsidRPr="00EE7FB0">
        <w:rPr>
          <w:rFonts w:ascii="Century" w:hAnsi="Century"/>
          <w:w w:val="91"/>
        </w:rPr>
        <w:t xml:space="preserve">Gejala stres pasca trauma dapat mengganggu perilaku dalam pola pengasuhan yang positif, anak kerap menjadi agresif atau anti sosial </w:t>
      </w:r>
      <w:r w:rsidR="00F148CD">
        <w:rPr>
          <w:rFonts w:ascii="Century" w:hAnsi="Century"/>
          <w:w w:val="91"/>
        </w:rPr>
        <w:fldChar w:fldCharType="begin" w:fldLock="1"/>
      </w:r>
      <w:r w:rsidR="008712BD">
        <w:rPr>
          <w:rFonts w:ascii="Century" w:hAnsi="Century"/>
          <w:w w:val="91"/>
        </w:rPr>
        <w:instrText>ADDIN CSL_CITATION {"citationItems":[{"id":"ITEM-1","itemData":{"DOI":"10.1037/fam0000128","ISSN":"19391293","PMID":"26374934","abstract":"Rates of posttraumatic stress symptoms (PTSS) are high among female survivors of intimate partner violence (IPV), and children of parents experiencing PTSS are at increased risk for emotional and behavioral problems. However, little is known about the factors that may explain this relation. We examined child's emotion regulation as a moderator and mother's emotion regulation as a mediator of the relation between mother PTSS and child adjustment. Sixty-four female survivors of IPV and their 6-12-year-old children participated. Mothers reported their own PTSS and their children's adjustment. Child emotion regulation was measured using respiratory sinus arrhythmia, a physiological index of emotion regulation. Mother's emotion regulation was measured from observer coding of the Parent Meta-Emotion Interview (Katz and Gottman, 1986), which asked mothers about their awareness and regulation of emotion. Child emotion regulation moderated the relation between mother's PTSS and child depression and child PTSS. Mothers' total trauma symptom severity showed significant indirect effects on children's internalizing, externalizing, and total problems via mothers' emotion regulation. Results suggest that children's as well as mothers' emotion-regulation abilities represent factors that affect associations between maternal PTSS and child adjustment in families exposed to IPV.","author":[{"dropping-particle":"","family":"Katz","given":"Lynn Fainsilber","non-dropping-particle":"","parse-names":false,"suffix":""},{"dropping-particle":"","family":"Gurtovenko","given":"Kyrill","non-dropping-particle":"","parse-names":false,"suffix":""}],"container-title":"Journal of Family Psychology","id":"ITEM-1","issue":"4","issued":{"date-parts":[["2015"]]},"page":"528-536","title":"Posttraumatic stress and emotion regulation in survivors of intimate partner violence","type":"article-journal","volume":"29"},"uris":["http://www.mendeley.com/documents/?uuid=1afc8871-6a0f-4b66-b937-2f26fae2763a"]}],"mendeley":{"formattedCitation":"(Katz &amp; Gurtovenko, 2015)","plainTextFormattedCitation":"(Katz &amp; Gurtovenko, 2015)","previouslyFormattedCitation":"(Katz &amp; Gurtovenko, 2015)"},"properties":{"noteIndex":0},"schema":"https://github.com/citation-style-language/schema/raw/master/csl-citation.json"}</w:instrText>
      </w:r>
      <w:r w:rsidR="00F148CD">
        <w:rPr>
          <w:rFonts w:ascii="Century" w:hAnsi="Century"/>
          <w:w w:val="91"/>
        </w:rPr>
        <w:fldChar w:fldCharType="separate"/>
      </w:r>
      <w:r w:rsidR="00F148CD" w:rsidRPr="00F148CD">
        <w:rPr>
          <w:rFonts w:ascii="Century" w:hAnsi="Century"/>
          <w:noProof/>
          <w:w w:val="91"/>
        </w:rPr>
        <w:t>(Katz &amp; Gurtovenko, 2015)</w:t>
      </w:r>
      <w:r w:rsidR="00F148CD">
        <w:rPr>
          <w:rFonts w:ascii="Century" w:hAnsi="Century"/>
          <w:w w:val="91"/>
        </w:rPr>
        <w:fldChar w:fldCharType="end"/>
      </w:r>
      <w:r w:rsidRPr="00EE7FB0">
        <w:rPr>
          <w:rFonts w:ascii="Century" w:hAnsi="Century"/>
          <w:w w:val="91"/>
        </w:rPr>
        <w:t xml:space="preserve">. </w:t>
      </w:r>
      <w:r w:rsidRPr="00EE7FB0">
        <w:rPr>
          <w:rFonts w:ascii="Century" w:hAnsi="Century"/>
          <w:w w:val="95"/>
        </w:rPr>
        <w:t xml:space="preserve">Ibu yang menjadi korban kekerasan dapat memicu emosi anak ke arah trauma seperti </w:t>
      </w:r>
      <w:r w:rsidRPr="00EE7FB0">
        <w:rPr>
          <w:rFonts w:ascii="Century" w:hAnsi="Century"/>
          <w:w w:val="93"/>
        </w:rPr>
        <w:t>depresi dan Post-Traumatic Stress Disorder</w:t>
      </w:r>
      <w:r w:rsidRPr="00EE7FB0">
        <w:rPr>
          <w:rFonts w:ascii="Century" w:hAnsi="Century"/>
          <w:w w:val="95"/>
        </w:rPr>
        <w:t xml:space="preserve"> </w:t>
      </w:r>
      <w:r w:rsidR="008712BD">
        <w:rPr>
          <w:rFonts w:ascii="Century" w:hAnsi="Century"/>
          <w:w w:val="95"/>
        </w:rPr>
        <w:fldChar w:fldCharType="begin" w:fldLock="1"/>
      </w:r>
      <w:r w:rsidR="008712BD">
        <w:rPr>
          <w:rFonts w:ascii="Century" w:hAnsi="Century"/>
          <w:w w:val="95"/>
        </w:rPr>
        <w:instrText>ADDIN CSL_CITATION {"citationItems":[{"id":"ITEM-1","itemData":{"DOI":"10.1007/s10826-014-9928-1","ISSN":"10621024","abstract":"This study examined the association between parent and child reported posttraumatic stress symptoms (PTSS) and parenting stress as well as parent posttraumatic stress disorder (PTSD), parent depression and child PTSS as predictors of parenting stress. Forty-three children ages 8–12 years and their parents/guardians participated. Semi-structured interviews occurred independently with parents and children about child PTSS. Parents completed a self-report parenting stress measure and participated in interviews about their PTSD and depression. There was a moderate association between parent and child reported PTSS, and there was a stronger association between parent-reported PTSS and parenting stress than child-reported PTSS. Parent depression and parent-reported PTSS predicted parenting distress; whereas parent-reported PTSS predicted parenting stress related to parent–child dysfunctional interaction and difficult child behavior. Results suggest clinicians working with children exposed to trauma need to assess both parent and child reports of child PTSS, as well as parent symptomology and parenting stress.","author":[{"dropping-particle":"","family":"Salloum","given":"Alison","non-dropping-particle":"","parse-names":false,"suffix":""},{"dropping-particle":"","family":"Stover","given":"Carla Smith","non-dropping-particle":"","parse-names":false,"suffix":""},{"dropping-particle":"","family":"Swaidan","given":"Victoria R.","non-dropping-particle":"","parse-names":false,"suffix":""},{"dropping-particle":"","family":"Storch","given":"Eric A.","non-dropping-particle":"","parse-names":false,"suffix":""}],"container-title":"Journal of Child and Family Studies","id":"ITEM-1","issue":"5","issued":{"date-parts":[["2015"]]},"page":"1203-1212","title":"Parent and Child PTSD and Parent Depression in Relation to Parenting Stress Among Trauma-Exposed Children","type":"article-journal","volume":"24"},"uris":["http://www.mendeley.com/documents/?uuid=50d6d8a0-ceb5-42ee-ac8e-57c6eeec0b65"]},{"id":"ITEM-2","itemData":{"DOI":"10.1080/01494929.2016.1247761","ISSN":"15409635","abstract":"The present meta-analysis integrates research from 1,015 studies on associations of parenting dimensions and styles with internalizing symptoms in children and adolescents. Parental warmth, behavioral control, autonomy granting, and authoritative parenting showed very small to small negative concurrent and longitudinal associations with internalizing symptoms. In contrast, harsh control, psychological control, authoritarian, and, in part, neglectful parenting were associated with higher levels of internalizing symptoms. Parental warmth, behavioral control, harsh control, psychological control, autonomy granting, and authoritative parenting predicted change in internalizing symptoms over time, with associations of internalizing symptoms with parental warmth, psychological control, and authoritative parenting being bidirectional. Moderating effects of study characteristics are identified. Implications for future research and practice are discussed.","author":[{"dropping-particle":"","family":"Pinquart","given":"Martin","non-dropping-particle":"","parse-names":false,"suffix":""}],"container-title":"Marriage and Family Review","id":"ITEM-2","issue":"7","issued":{"date-parts":[["2017"]]},"page":"613-640","publisher":"Taylor &amp; Francis","title":"Associations of Parenting Dimensions and Styles with Internalizing Symptoms in Children and Adolescents: A Meta-Analysis","type":"article-journal","volume":"53"},"uris":["http://www.mendeley.com/documents/?uuid=95d3d00f-c3dc-47cd-9937-4636bdd57ab0"]},{"id":"ITEM-3","itemData":{"DOI":"10.1007/s11121-016-0707-7","ISBN":"1112101607077","ISSN":"13894986","PMID":"27718104","abstract":"Elucidating the complex mechanisms by which harsh parenting increases risk of child psychopathology is key to targeted prevention. This requires nuanced methods that capture the varied perceptions and experiences of diverse families. The Family Socialization Interview—Revised (FSI-R), adapted from an interview developed by Dodge et al. (Child Development, 65, 649–665, 1994), is a comprehensive, semi-structured interview for characterizing methods of parental discipline used with young children. The FSI-R coding system systematically rates parenting style, usual discipline techniques, and most intense physical and psychological discipline based on rater judgment across two eras: (1) birth to the previous year, and (2) the previous year to present. The current study examined the psychometric properties of the FSI-R in a diverse, high-risk community sample of 386 mothers and their children, ages 3 to 6 years. Interrater reliability was good to excellent for codes capturing physically and psychologically harsh parenting, and restrictive/punitive parenting styles. Findings supported the FSI-R’s convergent and incremental validity. Importantly, the FSI-R demonstrated incremental utility, explaining unique variance in children’s externalizing and internalizing symptoms beyond that explained by traditional surveys and observed parenting. The FSI-R appeared particularly promising for capturing risk associated with young children’s depressive symptoms, as these were generally not significantly associated with other measures of harsh parenting. Overall, findings support the added value of the FSI-R within a multi-method assessment of disciplinary practices across early child development. Future implications for prevention are discussed.","author":[{"dropping-particle":"","family":"O’Dor","given":"Sarah L.","non-dropping-particle":"","parse-names":false,"suffix":""},{"dropping-particle":"","family":"Grasso","given":"Damion J.","non-dropping-particle":"","parse-names":false,"suffix":""},{"dropping-particle":"","family":"Forbes","given":"Danielle","non-dropping-particle":"","parse-names":false,"suffix":""},{"dropping-particle":"","family":"Bates","given":"John E.","non-dropping-particle":"","parse-names":false,"suffix":""},{"dropping-particle":"","family":"McCarthy","given":"Kimberly J.","non-dropping-particle":"","parse-names":false,"suffix":""},{"dropping-particle":"","family":"Wakschlag","given":"Lauren S.","non-dropping-particle":"","parse-names":false,"suffix":""},{"dropping-particle":"","family":"Briggs-Gowan","given":"Margaret J.","non-dropping-particle":"","parse-names":false,"suffix":""}],"container-title":"Prevention Science","id":"ITEM-3","issue":"3","issued":{"date-parts":[["2017"]]},"page":"292-304","publisher":"Prevention Science","title":"The Family Socialization Interview—Revised (FSI-R): a Comprehensive Assessment of Parental Disciplinary Behaviors","type":"article-journal","volume":"18"},"uris":["http://www.mendeley.com/documents/?uuid=66ac6c4f-b973-44e8-8f6b-8cffa20bf6ac"]}],"mendeley":{"formattedCitation":"(O’Dor et al., 2017; Pinquart, 2017; Salloum et al., 2015)","plainTextFormattedCitation":"(O’Dor et al., 2017; Pinquart, 2017; Salloum et al., 2015)","previouslyFormattedCitation":"(O’Dor et al., 2017; Pinquart, 2017; Salloum et al., 2015)"},"properties":{"noteIndex":0},"schema":"https://github.com/citation-style-language/schema/raw/master/csl-citation.json"}</w:instrText>
      </w:r>
      <w:r w:rsidR="008712BD">
        <w:rPr>
          <w:rFonts w:ascii="Century" w:hAnsi="Century"/>
          <w:w w:val="95"/>
        </w:rPr>
        <w:fldChar w:fldCharType="separate"/>
      </w:r>
      <w:r w:rsidR="008712BD" w:rsidRPr="008712BD">
        <w:rPr>
          <w:rFonts w:ascii="Century" w:hAnsi="Century"/>
          <w:noProof/>
          <w:w w:val="95"/>
        </w:rPr>
        <w:t>(O’Dor et al., 2017; Pinquart, 2017; Salloum et al., 2015)</w:t>
      </w:r>
      <w:r w:rsidR="008712BD">
        <w:rPr>
          <w:rFonts w:ascii="Century" w:hAnsi="Century"/>
          <w:w w:val="95"/>
        </w:rPr>
        <w:fldChar w:fldCharType="end"/>
      </w:r>
      <w:r w:rsidRPr="00EE7FB0">
        <w:rPr>
          <w:rFonts w:ascii="Century" w:hAnsi="Century"/>
          <w:w w:val="95"/>
        </w:rPr>
        <w:t xml:space="preserve">. </w:t>
      </w:r>
      <w:r w:rsidR="00330869" w:rsidRPr="00830464">
        <w:rPr>
          <w:rFonts w:ascii="Century" w:hAnsi="Century"/>
        </w:rPr>
        <w:t xml:space="preserve">Gejala stres pasca-trauma terdeteksi tinggi pada perempuan dan anak korban kekerasan yang beresiko mengalami berbagai masalah emosional dan perilaku. Pengasuhan memiliki pengaruh yang signifikan pada penyesuaian emosi anak pasca trauma </w:t>
      </w:r>
      <w:r w:rsidR="008712BD">
        <w:rPr>
          <w:rFonts w:ascii="Century" w:hAnsi="Century"/>
        </w:rPr>
        <w:fldChar w:fldCharType="begin" w:fldLock="1"/>
      </w:r>
      <w:r w:rsidR="008712BD">
        <w:rPr>
          <w:rFonts w:ascii="Century" w:hAnsi="Century"/>
        </w:rPr>
        <w:instrText>ADDIN CSL_CITATION {"citationItems":[{"id":"ITEM-1","itemData":{"DOI":"10.1177/0886260517690874","ISBN":"0886260517690","ISSN":"15526518","PMID":"29294652","abstract":"Post-traumatic stress symptoms (PTSS) are high among female survivors of intimate partner violence (IPV), and children of parents experiencing PTSS are at heightened risk for a wide range of emotional and behavioral problems. Parenting has significant influence on child adjustment, and although links have been found between parental psychopathology and maladaptive parenting, little is known about the factors that may explain this relation. The current study examines mother’s emotion regulation (ER) as a factor influencing the relation between mother PTSS and parenting around children’s emotions in a study sample of sixty-four female survivors of IPV and their 6- to 12-year-old children. Mothers reported on their own PTSS and their parenting. Respiratory sinus arrhythmia (RSA) was used as a psychophysiological index of mother’s ER. Experiential components of mother’s ER was also measured by observer coding of the Meta-Emotion Interview, a structured assessment that asks parents about their attitudes toward and experiences with emotions, including their regulation of emotions. Mother’s RSA reactivity moderated the relation between PTSS and negative parenting. There was also a significant indirect relation between mothers’ PTSS symptom severity and supportive parenting reactions through mothers’ self-report of ER. Results suggest that mother’s ER abilities represent factors that significantly affect associations between maternal PTSS and parent’s emotion socialization practices. Implications for assessment and intervention with families exposed to the stress of IPV are discussed.","author":[{"dropping-particle":"","family":"Gurtovenko","given":"Kyrill","non-dropping-particle":"","parse-names":false,"suffix":""},{"dropping-particle":"","family":"Katz","given":"Lynn Fainsilber","non-dropping-particle":"","parse-names":false,"suffix":""}],"container-title":"Journal of Interpersonal Violence","id":"ITEM-1","issue":"3-4","issued":{"date-parts":[["2020"]]},"page":"876-898","title":"Post-Traumatic Stress, Mother’s Emotion Regulation, and Parenting in Survivors of Intimate Partner Violence","type":"article-journal","volume":"35"},"uris":["http://www.mendeley.com/documents/?uuid=f007c5ac-248d-4700-9557-f36ed3bdb646"]}],"mendeley":{"formattedCitation":"(Gurtovenko &amp; Katz, 2020)","plainTextFormattedCitation":"(Gurtovenko &amp; Katz, 2020)","previouslyFormattedCitation":"(Gurtovenko &amp; Katz, 2020)"},"properties":{"noteIndex":0},"schema":"https://github.com/citation-style-language/schema/raw/master/csl-citation.json"}</w:instrText>
      </w:r>
      <w:r w:rsidR="008712BD">
        <w:rPr>
          <w:rFonts w:ascii="Century" w:hAnsi="Century"/>
        </w:rPr>
        <w:fldChar w:fldCharType="separate"/>
      </w:r>
      <w:r w:rsidR="008712BD" w:rsidRPr="008712BD">
        <w:rPr>
          <w:rFonts w:ascii="Century" w:hAnsi="Century"/>
          <w:noProof/>
        </w:rPr>
        <w:t>(Gurtovenko &amp; Katz, 2020)</w:t>
      </w:r>
      <w:r w:rsidR="008712BD">
        <w:rPr>
          <w:rFonts w:ascii="Century" w:hAnsi="Century"/>
        </w:rPr>
        <w:fldChar w:fldCharType="end"/>
      </w:r>
      <w:r w:rsidR="00330869" w:rsidRPr="00830464">
        <w:rPr>
          <w:rFonts w:ascii="Century" w:hAnsi="Century"/>
        </w:rPr>
        <w:t xml:space="preserve">. </w:t>
      </w:r>
      <w:r w:rsidRPr="00EE7FB0">
        <w:rPr>
          <w:rFonts w:ascii="Century" w:hAnsi="Century"/>
        </w:rPr>
        <w:t>Oleh karena itu pola asuh yang positif dapat membantu pemulihan psikologis perempuan dan ana</w:t>
      </w:r>
      <w:r w:rsidR="008712BD">
        <w:rPr>
          <w:rFonts w:ascii="Century" w:hAnsi="Century"/>
        </w:rPr>
        <w:t xml:space="preserve">k </w:t>
      </w:r>
      <w:r w:rsidR="008712BD">
        <w:rPr>
          <w:rFonts w:ascii="Century" w:hAnsi="Century"/>
        </w:rPr>
        <w:fldChar w:fldCharType="begin" w:fldLock="1"/>
      </w:r>
      <w:r w:rsidR="008712BD">
        <w:rPr>
          <w:rFonts w:ascii="Century" w:hAnsi="Century"/>
        </w:rPr>
        <w:instrText>ADDIN CSL_CITATION {"citationItems":[{"id":"ITEM-1","itemData":{"DOI":"10.1080/10615806.2015.1028030","ISSN":"14772205","abstract":"Background and Objectives: Links between childhood exposure to intimate partner violence (IPV) and adult functioning are clear, but less research has examined the potential underpinnings of this association, especially the long-term effects of the parent–child relationship on adult well-being. We hypothesized that (i) childhood exposure to IPV would be negatively related to parent–child warmth and positively related to symptoms of psychopathology during adulthood and (ii) the relationship between IPV exposure and positive outcomes in adulthood (i.e., high life satisfaction and low psychopathology) would be mediated by parent–child warmth. Design: Participants included 703 Swedish adults (20–24). Methods: Participants responded to a self-report survey assessing violence exposure, parental warmth in childhood, and current mental health and well-being. Using multivariate regression and path analysis, models of the relationships between IPV exposure, parent–child warmth, symptoms of psychopathology during adulthood, and life satisfaction were examined. Mediation models were considered exploratory. Results: IPV exposure was related to lower levels of parent–child warmth, higher levels of psychopathology symptoms, and lower life satisfaction. The relationship between IPV exposure and positive outcomes in adulthood was mediated by parent–child warmth. Conclusions: Warm parent–child interactions may play a key role in long-term positive functioning for those exposed to IPV during childhood.","author":[{"dropping-particle":"","family":"Miller-Graff","given":"Laura E.","non-dropping-particle":"","parse-names":false,"suffix":""},{"dropping-particle":"","family":"Cater","given":"Åsa Källström","non-dropping-particle":"","parse-names":false,"suffix":""},{"dropping-particle":"","family":"Howell","given":"Kathryn H.","non-dropping-particle":"","parse-names":false,"suffix":""},{"dropping-particle":"","family":"Graham-Bermann","given":"Sandra A.","non-dropping-particle":"","parse-names":false,"suffix":""}],"container-title":"Anxiety, Stress and Coping","id":"ITEM-1","issue":"3","issued":{"date-parts":[["2016"]]},"page":"259-273","publisher":"Taylor &amp; Francis","title":"Parent–child warmth as a potential mediator of childhood exposure to intimate partner violence and positive adulthood functioning","type":"article-journal","volume":"29"},"uris":["http://www.mendeley.com/documents/?uuid=31b512fd-ff07-465f-97a2-3e614a7ceaa1"]}],"mendeley":{"formattedCitation":"(Miller-Graff et al., 2016)","plainTextFormattedCitation":"(Miller-Graff et al., 2016)","previouslyFormattedCitation":"(Miller-Graff et al., 2016)"},"properties":{"noteIndex":0},"schema":"https://github.com/citation-style-language/schema/raw/master/csl-citation.json"}</w:instrText>
      </w:r>
      <w:r w:rsidR="008712BD">
        <w:rPr>
          <w:rFonts w:ascii="Century" w:hAnsi="Century"/>
        </w:rPr>
        <w:fldChar w:fldCharType="separate"/>
      </w:r>
      <w:r w:rsidR="008712BD" w:rsidRPr="008712BD">
        <w:rPr>
          <w:rFonts w:ascii="Century" w:hAnsi="Century"/>
          <w:noProof/>
        </w:rPr>
        <w:t>(Miller-Graff et al., 2016)</w:t>
      </w:r>
      <w:r w:rsidR="008712BD">
        <w:rPr>
          <w:rFonts w:ascii="Century" w:hAnsi="Century"/>
        </w:rPr>
        <w:fldChar w:fldCharType="end"/>
      </w:r>
      <w:r w:rsidRPr="00EE7FB0">
        <w:rPr>
          <w:rFonts w:ascii="Century" w:hAnsi="Century"/>
        </w:rPr>
        <w:t>.</w:t>
      </w:r>
    </w:p>
    <w:p w14:paraId="0183CD61" w14:textId="61187F33" w:rsidR="008141BC" w:rsidRPr="00B10A96" w:rsidRDefault="008141BC" w:rsidP="004F7DD9">
      <w:pPr>
        <w:spacing w:line="276" w:lineRule="auto"/>
        <w:ind w:firstLine="357"/>
        <w:jc w:val="both"/>
        <w:rPr>
          <w:rFonts w:ascii="Century" w:hAnsi="Century"/>
          <w:lang w:val="en-ID"/>
        </w:rPr>
      </w:pPr>
      <w:r w:rsidRPr="00830464">
        <w:rPr>
          <w:rFonts w:ascii="Century" w:hAnsi="Century"/>
          <w:lang w:val="en-ID"/>
        </w:rPr>
        <w:t xml:space="preserve">Rasa empati, perhatian kasih sayang, dan  menciptakan suasana kondusif akan menumbuhkan iklim komunikasi yang sehat serta saling menghormati </w:t>
      </w:r>
      <w:r w:rsidR="008712BD">
        <w:rPr>
          <w:rFonts w:ascii="Century" w:hAnsi="Century"/>
          <w:lang w:val="en-ID"/>
        </w:rPr>
        <w:fldChar w:fldCharType="begin" w:fldLock="1"/>
      </w:r>
      <w:r w:rsidR="008712BD">
        <w:rPr>
          <w:rFonts w:ascii="Century" w:hAnsi="Century"/>
          <w:lang w:val="en-ID"/>
        </w:rPr>
        <w:instrText>ADDIN CSL_CITATION {"citationItems":[{"id":"ITEM-1","itemData":{"DOI":"10.1080/10502556.2019.1619382","ISSN":"15404811","abstract":"Part of a broader investigation on remarriage to an ex-spouse, the present study aims to analyze how the main individual changes that occurred affect the reconciliation of that marriage. We conducted a qualitative study, interviewing 12 subjects, from 12 distinct heterosexual couples from Rio de Janeiro’s middle-class population, remarried to their respective ex-spouses, with children in common. To analyze the results, we employed the content analysis method, via categories, discussing the levels of change category and its two subcategories: expectations; and attitudes &amp; behaviors. Findings indicate that greater empathy for one’s spouse and earnest willingness to take responsibility led to changes in expectations, as well as to greater respect, trust, dialogue, affection and security in the relationship, making it possible to confirm the commitment to the “new” marriage and demonstrating that reconciliation was a good choice.","author":[{"dropping-particle":"","family":"Limeira","given":"Maria Ignez Carneiro de Azevedo","non-dropping-particle":"","parse-names":false,"suffix":""},{"dropping-particle":"","family":"Féres-Carneiro","given":"Terezinha","non-dropping-particle":"","parse-names":false,"suffix":""}],"container-title":"Journal of Divorce and Remarriage","id":"ITEM-1","issue":"8","issued":{"date-parts":[["2019"]]},"page":"612-629","publisher":"Routledge","title":"Reconciliation in Remarriage to an Ex-Spouse: Individual Changes","type":"article-journal","volume":"60"},"uris":["http://www.mendeley.com/documents/?uuid=76c93771-6779-4359-9ca5-d757129740e0"]}],"mendeley":{"formattedCitation":"(Limeira &amp; Féres-Carneiro, 2019)","plainTextFormattedCitation":"(Limeira &amp; Féres-Carneiro, 2019)","previouslyFormattedCitation":"(Limeira &amp; Féres-Carneiro, 2019)"},"properties":{"noteIndex":0},"schema":"https://github.com/citation-style-language/schema/raw/master/csl-citation.json"}</w:instrText>
      </w:r>
      <w:r w:rsidR="008712BD">
        <w:rPr>
          <w:rFonts w:ascii="Century" w:hAnsi="Century"/>
          <w:lang w:val="en-ID"/>
        </w:rPr>
        <w:fldChar w:fldCharType="separate"/>
      </w:r>
      <w:r w:rsidR="008712BD" w:rsidRPr="008712BD">
        <w:rPr>
          <w:rFonts w:ascii="Century" w:hAnsi="Century"/>
          <w:noProof/>
          <w:lang w:val="en-ID"/>
        </w:rPr>
        <w:t>(Limeira &amp; Féres-Carneiro, 2019)</w:t>
      </w:r>
      <w:r w:rsidR="008712BD">
        <w:rPr>
          <w:rFonts w:ascii="Century" w:hAnsi="Century"/>
          <w:lang w:val="en-ID"/>
        </w:rPr>
        <w:fldChar w:fldCharType="end"/>
      </w:r>
      <w:r w:rsidRPr="00830464">
        <w:rPr>
          <w:rFonts w:ascii="Century" w:hAnsi="Century"/>
          <w:lang w:val="en-ID"/>
        </w:rPr>
        <w:t>.</w:t>
      </w:r>
      <w:r w:rsidRPr="00830464">
        <w:rPr>
          <w:rFonts w:ascii="Century" w:hAnsi="Century"/>
          <w:lang w:val="sv-SE"/>
        </w:rPr>
        <w:t xml:space="preserve"> </w:t>
      </w:r>
      <w:r w:rsidRPr="00830464">
        <w:rPr>
          <w:rFonts w:ascii="Century" w:hAnsi="Century"/>
        </w:rPr>
        <w:t xml:space="preserve">Keeratan hubungan emosional antara </w:t>
      </w:r>
      <w:r w:rsidRPr="00830464">
        <w:rPr>
          <w:rFonts w:ascii="Century" w:hAnsi="Century"/>
        </w:rPr>
        <w:lastRenderedPageBreak/>
        <w:t xml:space="preserve">sang ibu dan anak korban kekerasan berhasil memulihkan trauma psikologis dan perilaku anti sosial pada anak </w:t>
      </w:r>
      <w:r w:rsidR="008712BD">
        <w:rPr>
          <w:rFonts w:ascii="Century" w:hAnsi="Century"/>
        </w:rPr>
        <w:fldChar w:fldCharType="begin" w:fldLock="1"/>
      </w:r>
      <w:r w:rsidR="008712BD">
        <w:rPr>
          <w:rFonts w:ascii="Century" w:hAnsi="Century"/>
        </w:rPr>
        <w:instrText>ADDIN CSL_CITATION {"citationItems":[{"id":"ITEM-1","itemData":{"DOI":"10.3390/ijerph15091955","ISSN":"16604601","PMID":"30205465","abstract":"Although a growing field, much is still unknown about how different clinical and social care services might improve outcomes for female victims of intimate partner violence (IPV) and their children who are indirectly exposed to it. This review sought to characterize the structure of programs that have been tested and documented in existing literature, and the mechanisms by which change, if any, may occur. Seventeen individual interventions and two follow-ups (n = 19) were included in the review. Findings suggest that a multileveled program of mothers and children working both separately and jointly together across sessions might generate the most successful psychosocial recovery for mothers and children who have experienced violence in the home. The mechanism by which this happens is likely a collaborative one, focused on enhancing the dyadic interaction. This article adds to the growing evidence base on IPV and confirms the positive impact on well-being that programs for IPV victims can have. The evidence-base overall could benefit from testing and replicating a combination of the results found in this review.","author":[{"dropping-particle":"","family":"Anderson","given":"Kimberley","non-dropping-particle":"","parse-names":false,"suffix":""},{"dropping-particle":"","family":"Ee","given":"Elisa","non-dropping-particle":"van","parse-names":false,"suffix":""}],"container-title":"International Journal of Environmental Research and Public Health","id":"ITEM-1","issue":"9","issued":{"date-parts":[["2018"]]},"title":"Mothers and children exposed to intimate partner violence: a review of treatment interventions","type":"article-journal","volume":"15"},"uris":["http://www.mendeley.com/documents/?uuid=d1376b19-a2a3-451e-bba4-08a3ec435094"]}],"mendeley":{"formattedCitation":"(Anderson &amp; van Ee, 2018)","plainTextFormattedCitation":"(Anderson &amp; van Ee, 2018)","previouslyFormattedCitation":"(Anderson &amp; van Ee, 2018)"},"properties":{"noteIndex":0},"schema":"https://github.com/citation-style-language/schema/raw/master/csl-citation.json"}</w:instrText>
      </w:r>
      <w:r w:rsidR="008712BD">
        <w:rPr>
          <w:rFonts w:ascii="Century" w:hAnsi="Century"/>
        </w:rPr>
        <w:fldChar w:fldCharType="separate"/>
      </w:r>
      <w:r w:rsidR="008712BD" w:rsidRPr="008712BD">
        <w:rPr>
          <w:rFonts w:ascii="Century" w:hAnsi="Century"/>
          <w:noProof/>
        </w:rPr>
        <w:t>(Anderson &amp; van Ee, 2018)</w:t>
      </w:r>
      <w:r w:rsidR="008712BD">
        <w:rPr>
          <w:rFonts w:ascii="Century" w:hAnsi="Century"/>
        </w:rPr>
        <w:fldChar w:fldCharType="end"/>
      </w:r>
      <w:r w:rsidRPr="00830464">
        <w:rPr>
          <w:rFonts w:ascii="Century" w:hAnsi="Century"/>
        </w:rPr>
        <w:t>. Pengalaman traumatis anak akibat pola asuh orangtua yang restriktif/</w:t>
      </w:r>
      <w:r w:rsidR="00CA1C73">
        <w:rPr>
          <w:rFonts w:ascii="Century" w:hAnsi="Century"/>
        </w:rPr>
        <w:t xml:space="preserve"> </w:t>
      </w:r>
      <w:r w:rsidRPr="00830464">
        <w:rPr>
          <w:rFonts w:ascii="Century" w:hAnsi="Century"/>
        </w:rPr>
        <w:t xml:space="preserve">hukuman dapat disembuhkan melalui </w:t>
      </w:r>
      <w:r w:rsidRPr="00830464">
        <w:rPr>
          <w:rFonts w:ascii="Century" w:hAnsi="Century"/>
          <w:i/>
        </w:rPr>
        <w:t>self healing</w:t>
      </w:r>
      <w:r w:rsidRPr="00830464">
        <w:rPr>
          <w:rFonts w:ascii="Century" w:hAnsi="Century"/>
        </w:rPr>
        <w:t xml:space="preserve"> anak korban kekerasan didukung gaya pengasuhan model mediasi orangtua sebagai </w:t>
      </w:r>
      <w:r w:rsidRPr="00830464">
        <w:rPr>
          <w:rFonts w:ascii="Century" w:hAnsi="Century"/>
          <w:i/>
        </w:rPr>
        <w:t xml:space="preserve">support system, </w:t>
      </w:r>
      <w:r w:rsidRPr="00830464">
        <w:rPr>
          <w:rFonts w:ascii="Century" w:hAnsi="Century"/>
        </w:rPr>
        <w:t xml:space="preserve">terutama sang ibu </w:t>
      </w:r>
      <w:r w:rsidR="008712BD">
        <w:rPr>
          <w:rFonts w:ascii="Century" w:hAnsi="Century"/>
        </w:rPr>
        <w:fldChar w:fldCharType="begin" w:fldLock="1"/>
      </w:r>
      <w:r w:rsidR="008712BD">
        <w:rPr>
          <w:rFonts w:ascii="Century" w:hAnsi="Century"/>
        </w:rPr>
        <w:instrText>ADDIN CSL_CITATION {"citationItems":[{"id":"ITEM-1","itemData":{"ISBN":"0145213418300","author":[{"dropping-particle":"","family":"Greene","given":"Carolyn A; Grace Chan; Kimberly J. McCarthy; Lauren S.","non-dropping-particle":"","parse-names":false,"suffix":""},{"dropping-particle":"","family":"Briggs-Gowan","given":"Wakschlag &amp; Margaret J.","non-dropping-particle":"","parse-names":false,"suffix":""}],"container-title":"Child Abuse &amp; Neglect","id":"ITEM-1","issued":{"date-parts":[["2018"]]},"title":"Psychological and physical intimate partner violence and young children’s mental health: The role of maternal posttraumatic stress symptoms and parenting behaviors.","type":"article-journal","volume":"77"},"uris":["http://www.mendeley.com/documents/?uuid=57bf0001-62a8-4b1b-aa93-66b0c0ff278e"]}],"mendeley":{"formattedCitation":"(Greene &amp; Briggs-Gowan, 2018)","plainTextFormattedCitation":"(Greene &amp; Briggs-Gowan, 2018)","previouslyFormattedCitation":"(Greene &amp; Briggs-Gowan, 2018)"},"properties":{"noteIndex":0},"schema":"https://github.com/citation-style-language/schema/raw/master/csl-citation.json"}</w:instrText>
      </w:r>
      <w:r w:rsidR="008712BD">
        <w:rPr>
          <w:rFonts w:ascii="Century" w:hAnsi="Century"/>
        </w:rPr>
        <w:fldChar w:fldCharType="separate"/>
      </w:r>
      <w:r w:rsidR="008712BD" w:rsidRPr="008712BD">
        <w:rPr>
          <w:rFonts w:ascii="Century" w:hAnsi="Century"/>
          <w:noProof/>
        </w:rPr>
        <w:t>(Greene &amp; Briggs-Gowan, 2018)</w:t>
      </w:r>
      <w:r w:rsidR="008712BD">
        <w:rPr>
          <w:rFonts w:ascii="Century" w:hAnsi="Century"/>
        </w:rPr>
        <w:fldChar w:fldCharType="end"/>
      </w:r>
      <w:r w:rsidRPr="00830464">
        <w:rPr>
          <w:rFonts w:ascii="Century" w:hAnsi="Century"/>
        </w:rPr>
        <w:t>.</w:t>
      </w:r>
    </w:p>
    <w:p w14:paraId="386AA382" w14:textId="61AF1294" w:rsidR="008141BC" w:rsidRPr="001139F6" w:rsidRDefault="008141BC" w:rsidP="004F7DD9">
      <w:pPr>
        <w:pStyle w:val="BodyText"/>
        <w:spacing w:line="276" w:lineRule="auto"/>
        <w:ind w:right="119" w:firstLine="720"/>
        <w:jc w:val="both"/>
        <w:rPr>
          <w:rFonts w:ascii="Century" w:hAnsi="Century"/>
          <w:sz w:val="24"/>
          <w:szCs w:val="24"/>
          <w:lang w:val="en-ID"/>
        </w:rPr>
      </w:pPr>
      <w:r w:rsidRPr="003A1B35">
        <w:rPr>
          <w:rFonts w:ascii="Century" w:hAnsi="Century"/>
          <w:color w:val="000000" w:themeColor="text1"/>
          <w:sz w:val="24"/>
          <w:szCs w:val="24"/>
          <w:lang w:val="en-ID"/>
        </w:rPr>
        <w:t>Kekerasan pada perempuan dan anak tidak bisa dipisahkan, karena dua permasalahan tersebut harus dipecahkan secara integratif dengan memberikan perlindungan pada kedua korban, yakni perempuan dan anak. Karena ketika kekerasan terjadi pada perempuan, anak yang turut melihat juga merasa tersakiti dan mengalami trauma. Sebaliknya jika kekerasan terjadi pada anak, maka sang ibu juga akan merasa terancam karena anak yang dikandungnya selama sembilan bulan disakiti baik secara verbal, fisik, psikologis, maupun kekerasan seksual</w:t>
      </w:r>
      <w:r w:rsidR="008712BD">
        <w:rPr>
          <w:rFonts w:ascii="Century" w:hAnsi="Century"/>
          <w:color w:val="000000" w:themeColor="text1"/>
          <w:sz w:val="24"/>
          <w:szCs w:val="24"/>
          <w:lang w:val="en-ID"/>
        </w:rPr>
        <w:t xml:space="preserve"> </w:t>
      </w:r>
      <w:r w:rsidR="008712BD">
        <w:rPr>
          <w:rFonts w:ascii="Century" w:hAnsi="Century"/>
        </w:rPr>
        <w:fldChar w:fldCharType="begin" w:fldLock="1"/>
      </w:r>
      <w:r w:rsidR="00813E02">
        <w:rPr>
          <w:rFonts w:ascii="Century" w:hAnsi="Century"/>
        </w:rPr>
        <w:instrText>ADDIN CSL_CITATION {"citationItems":[{"id":"ITEM-1","itemData":{"author":[{"dropping-particle":"","family":"Jurnal Perempuan","given":"","non-dropping-particle":"","parse-names":false,"suffix":""}],"container-title":"Yayasan Jurnal Perempuan","id":"ITEM-1","issued":{"date-parts":[["2007"]]},"publisher-place":"Jakarta","title":"Kesehatan Reproduksi: Andai Perempuan Bisa Memilih","type":"article-magazine"},"uris":["http://www.mendeley.com/documents/?uuid=2283aa00-982b-41cb-9120-dbcfa5f56c61"]}],"mendeley":{"formattedCitation":"(Jurnal Perempuan, 2007)","plainTextFormattedCitation":"(Jurnal Perempuan, 2007)","previouslyFormattedCitation":"(Jurnal Perempuan, 2007)"},"properties":{"noteIndex":0},"schema":"https://github.com/citation-style-language/schema/raw/master/csl-citation.json"}</w:instrText>
      </w:r>
      <w:r w:rsidR="008712BD">
        <w:rPr>
          <w:rFonts w:ascii="Century" w:hAnsi="Century"/>
        </w:rPr>
        <w:fldChar w:fldCharType="separate"/>
      </w:r>
      <w:r w:rsidR="008712BD" w:rsidRPr="008712BD">
        <w:rPr>
          <w:rFonts w:ascii="Century" w:hAnsi="Century"/>
          <w:noProof/>
        </w:rPr>
        <w:t>(Jurnal Perempuan, 2007)</w:t>
      </w:r>
      <w:r w:rsidR="008712BD">
        <w:rPr>
          <w:rFonts w:ascii="Century" w:hAnsi="Century"/>
        </w:rPr>
        <w:fldChar w:fldCharType="end"/>
      </w:r>
      <w:r w:rsidR="003A1B35">
        <w:rPr>
          <w:rFonts w:ascii="Century" w:hAnsi="Century"/>
          <w:sz w:val="24"/>
          <w:szCs w:val="24"/>
          <w:lang w:val="en-ID"/>
        </w:rPr>
        <w:t>.</w:t>
      </w:r>
      <w:r w:rsidR="001139F6">
        <w:rPr>
          <w:rFonts w:ascii="Century" w:hAnsi="Century"/>
          <w:sz w:val="24"/>
          <w:szCs w:val="24"/>
          <w:lang w:val="en-ID"/>
        </w:rPr>
        <w:t xml:space="preserve"> </w:t>
      </w:r>
      <w:r w:rsidRPr="00830464">
        <w:rPr>
          <w:rFonts w:ascii="Century" w:hAnsi="Century"/>
          <w:color w:val="000000" w:themeColor="text1"/>
          <w:lang w:val="en-ID"/>
        </w:rPr>
        <w:t>Kekera</w:t>
      </w:r>
      <w:r>
        <w:rPr>
          <w:rFonts w:ascii="Century" w:hAnsi="Century"/>
          <w:color w:val="000000" w:themeColor="text1"/>
          <w:lang w:val="en-ID"/>
        </w:rPr>
        <w:t>san terhadap</w:t>
      </w:r>
      <w:r w:rsidR="00B72332">
        <w:rPr>
          <w:rFonts w:ascii="Century" w:hAnsi="Century"/>
          <w:color w:val="000000" w:themeColor="text1"/>
          <w:lang w:val="en-ID"/>
        </w:rPr>
        <w:t xml:space="preserve"> perempuan diatur dalam </w:t>
      </w:r>
      <w:r w:rsidRPr="00830464">
        <w:rPr>
          <w:rFonts w:ascii="Century" w:hAnsi="Century"/>
          <w:color w:val="000000" w:themeColor="text1"/>
          <w:lang w:val="en-ID"/>
        </w:rPr>
        <w:t>Un</w:t>
      </w:r>
      <w:r w:rsidR="00B72332">
        <w:rPr>
          <w:rFonts w:ascii="Century" w:hAnsi="Century"/>
          <w:color w:val="000000" w:themeColor="text1"/>
          <w:lang w:val="en-ID"/>
        </w:rPr>
        <w:t xml:space="preserve">dang-undang Nomor 23 Tahun 2004, sedangkan </w:t>
      </w:r>
      <w:r w:rsidRPr="00830464">
        <w:rPr>
          <w:rFonts w:ascii="Century" w:hAnsi="Century"/>
          <w:color w:val="000000" w:themeColor="text1"/>
          <w:lang w:val="en-ID"/>
        </w:rPr>
        <w:t>kekerasan terhadap anak dalam Undang-undang Nomor 35 Tahun 2014</w:t>
      </w:r>
      <w:r w:rsidR="00B72332">
        <w:rPr>
          <w:rFonts w:ascii="Century" w:hAnsi="Century"/>
          <w:color w:val="000000" w:themeColor="text1"/>
          <w:lang w:val="en-ID"/>
        </w:rPr>
        <w:t>.</w:t>
      </w:r>
      <w:r w:rsidR="00922100">
        <w:rPr>
          <w:rFonts w:ascii="Century" w:hAnsi="Century"/>
          <w:color w:val="000000" w:themeColor="text1"/>
          <w:lang w:val="en-ID"/>
        </w:rPr>
        <w:t xml:space="preserve"> </w:t>
      </w:r>
      <w:r w:rsidRPr="00830464">
        <w:rPr>
          <w:rFonts w:ascii="Century" w:hAnsi="Century"/>
        </w:rPr>
        <w:t>Bentuk kekerasan dapat digolongkan ke dalam 4 (empat) tipe, yakni :</w:t>
      </w:r>
      <w:r w:rsidR="00B72332">
        <w:rPr>
          <w:rFonts w:ascii="Century" w:hAnsi="Century"/>
        </w:rPr>
        <w:t xml:space="preserve"> kekerasan f</w:t>
      </w:r>
      <w:r w:rsidRPr="00830464">
        <w:rPr>
          <w:rFonts w:ascii="Century" w:hAnsi="Century"/>
        </w:rPr>
        <w:t>isik</w:t>
      </w:r>
      <w:r w:rsidR="00B72332">
        <w:rPr>
          <w:rFonts w:ascii="Century" w:hAnsi="Century"/>
        </w:rPr>
        <w:t>, p</w:t>
      </w:r>
      <w:r w:rsidRPr="00830464">
        <w:rPr>
          <w:rFonts w:ascii="Century" w:hAnsi="Century"/>
        </w:rPr>
        <w:t xml:space="preserve">sikis, </w:t>
      </w:r>
      <w:r w:rsidR="00B72332">
        <w:rPr>
          <w:rFonts w:ascii="Century" w:hAnsi="Century"/>
        </w:rPr>
        <w:t xml:space="preserve">seksual, dan ekonomi atau </w:t>
      </w:r>
      <w:r w:rsidRPr="00830464">
        <w:rPr>
          <w:rFonts w:ascii="Century" w:hAnsi="Century"/>
        </w:rPr>
        <w:t>penelantaran</w:t>
      </w:r>
      <w:r w:rsidR="00813E02">
        <w:rPr>
          <w:rFonts w:ascii="Century" w:hAnsi="Century"/>
          <w:lang w:val="en-US"/>
        </w:rPr>
        <w:t xml:space="preserve"> </w:t>
      </w:r>
      <w:r w:rsidR="00813E02">
        <w:rPr>
          <w:rFonts w:ascii="Century" w:hAnsi="Century"/>
        </w:rPr>
        <w:fldChar w:fldCharType="begin" w:fldLock="1"/>
      </w:r>
      <w:r w:rsidR="00813E02">
        <w:rPr>
          <w:rFonts w:ascii="Century" w:hAnsi="Century"/>
        </w:rPr>
        <w:instrText>ADDIN CSL_CITATION {"citationItems":[{"id":"ITEM-1","itemData":{"author":[{"dropping-particle":"","family":"Jurnal Perempuan","given":"","non-dropping-particle":"","parse-names":false,"suffix":""}],"container-title":"Yayasan Jurnal Perempuan","id":"ITEM-1","issued":{"date-parts":[["2002"]]},"publisher-place":"Jakarta","title":"Hentikan Kekerasan Terhadap Perempuan","type":"article-magazine"},"uris":["http://www.mendeley.com/documents/?uuid=bac7c236-27fd-4fee-aff2-fb13216aec78"]}],"mendeley":{"formattedCitation":"(Jurnal Perempuan, 2002)","plainTextFormattedCitation":"(Jurnal Perempuan, 2002)","previouslyFormattedCitation":"(Jurnal Perempuan, 2002)"},"properties":{"noteIndex":0},"schema":"https://github.com/citation-style-language/schema/raw/master/csl-citation.json"}</w:instrText>
      </w:r>
      <w:r w:rsidR="00813E02">
        <w:rPr>
          <w:rFonts w:ascii="Century" w:hAnsi="Century"/>
        </w:rPr>
        <w:fldChar w:fldCharType="separate"/>
      </w:r>
      <w:r w:rsidR="00813E02" w:rsidRPr="00813E02">
        <w:rPr>
          <w:rFonts w:ascii="Century" w:hAnsi="Century"/>
          <w:noProof/>
        </w:rPr>
        <w:t>(Jurnal Perempuan, 2002)</w:t>
      </w:r>
      <w:r w:rsidR="00813E02">
        <w:rPr>
          <w:rFonts w:ascii="Century" w:hAnsi="Century"/>
        </w:rPr>
        <w:fldChar w:fldCharType="end"/>
      </w:r>
      <w:r w:rsidR="00B72332">
        <w:rPr>
          <w:rFonts w:ascii="Century" w:hAnsi="Century"/>
        </w:rPr>
        <w:t>.</w:t>
      </w:r>
    </w:p>
    <w:p w14:paraId="3D962B83" w14:textId="5A3A2CAC" w:rsidR="008141BC" w:rsidRPr="00893F54" w:rsidRDefault="008141BC" w:rsidP="00893F54">
      <w:pPr>
        <w:spacing w:line="276" w:lineRule="auto"/>
        <w:ind w:firstLine="720"/>
        <w:jc w:val="both"/>
        <w:rPr>
          <w:rFonts w:ascii="Century" w:eastAsia="Times New Roman" w:hAnsi="Century"/>
          <w:lang w:val="en-ID" w:eastAsia="sr-Cyrl-RS"/>
        </w:rPr>
      </w:pPr>
      <w:r w:rsidRPr="00830464">
        <w:rPr>
          <w:rFonts w:ascii="Century" w:hAnsi="Century"/>
          <w:shd w:val="clear" w:color="auto" w:fill="FFFFFF"/>
        </w:rPr>
        <w:t xml:space="preserve">Catatan Tahunan Kekerasan Terhadap Perempuan (CATAHU) 2021 Komnas Perempuan Indonesia </w:t>
      </w:r>
      <w:r w:rsidR="00822198">
        <w:rPr>
          <w:rFonts w:ascii="Century" w:hAnsi="Century"/>
          <w:shd w:val="clear" w:color="auto" w:fill="FFFFFF"/>
        </w:rPr>
        <w:t xml:space="preserve">sebanyak </w:t>
      </w:r>
      <w:r w:rsidRPr="00830464">
        <w:rPr>
          <w:rFonts w:ascii="Century" w:hAnsi="Century"/>
          <w:shd w:val="clear" w:color="auto" w:fill="FFFFFF"/>
        </w:rPr>
        <w:t>299.911</w:t>
      </w:r>
      <w:r w:rsidR="00822198">
        <w:rPr>
          <w:rFonts w:ascii="Century" w:hAnsi="Century"/>
          <w:shd w:val="clear" w:color="auto" w:fill="FFFFFF"/>
        </w:rPr>
        <w:t xml:space="preserve">, lebih sedikit dibanding  CATAHU 2020 yakni </w:t>
      </w:r>
      <w:r w:rsidRPr="00830464">
        <w:rPr>
          <w:rFonts w:ascii="Century" w:hAnsi="Century"/>
          <w:shd w:val="clear" w:color="auto" w:fill="FFFFFF"/>
        </w:rPr>
        <w:t>431.471 kasus. Pengurangan kasus kekerasan tersebut akibat masa pandemi covid-19 dimana proses pengaduan dialihkan secara daring, sehingga tak sedikit korban terkendala teknologi virtual tersebut, atau karena sulit ke luar rumah akibat PPKM. Jumlah pengaduan ke Komnas Perempuan pada tahun 2020 meningkat drastis sebesar 60%, yaitu dari 1.413 kasus di tahun 2019 menjadi 2.389 kasus di tahun 2020. Bertambahnya jumlah pengaduan ke Komnas Perempuan juga menunjukkan kerentanan terjadinya kekerasan terhadap per</w:t>
      </w:r>
      <w:r>
        <w:rPr>
          <w:rFonts w:ascii="Century" w:hAnsi="Century"/>
          <w:shd w:val="clear" w:color="auto" w:fill="FFFFFF"/>
        </w:rPr>
        <w:t xml:space="preserve">empuan di masa pandemi Covid-19 </w:t>
      </w:r>
      <w:r w:rsidR="00813E02">
        <w:rPr>
          <w:rFonts w:ascii="Century" w:eastAsia="Times New Roman" w:hAnsi="Century"/>
          <w:lang w:val="en-ID" w:eastAsia="sr-Cyrl-RS"/>
        </w:rPr>
        <w:fldChar w:fldCharType="begin" w:fldLock="1"/>
      </w:r>
      <w:r w:rsidR="0018755D">
        <w:rPr>
          <w:rFonts w:ascii="Century" w:eastAsia="Times New Roman" w:hAnsi="Century"/>
          <w:lang w:val="en-ID" w:eastAsia="sr-Cyrl-RS"/>
        </w:rPr>
        <w:instrText>ADDIN CSL_CITATION {"citationItems":[{"id":"ITEM-1","itemData":{"author":[{"dropping-particle":"","family":"komnasperempuan.go.id","given":"","non-dropping-particle":"","parse-names":false,"suffix":""}],"container-title":"komnasperempuan.go.id","id":"ITEM-1","issued":{"date-parts":[["2020"]]},"title":"kampanye Anti Kekerasan terhadap Perempuan","type":"webpage"},"uris":["http://www.mendeley.com/documents/?uuid=0b67f348-b98c-43f7-8995-606a10bb6c54"]}],"mendeley":{"formattedCitation":"(komnasperempuan.go.id, 2020)","plainTextFormattedCitation":"(komnasperempuan.go.id, 2020)","previouslyFormattedCitation":"(komnasperempuan.go.id, 2020)"},"properties":{"noteIndex":0},"schema":"https://github.com/citation-style-language/schema/raw/master/csl-citation.json"}</w:instrText>
      </w:r>
      <w:r w:rsidR="00813E02">
        <w:rPr>
          <w:rFonts w:ascii="Century" w:eastAsia="Times New Roman" w:hAnsi="Century"/>
          <w:lang w:val="en-ID" w:eastAsia="sr-Cyrl-RS"/>
        </w:rPr>
        <w:fldChar w:fldCharType="separate"/>
      </w:r>
      <w:r w:rsidR="00813E02" w:rsidRPr="00813E02">
        <w:rPr>
          <w:rFonts w:ascii="Century" w:eastAsia="Times New Roman" w:hAnsi="Century"/>
          <w:noProof/>
          <w:lang w:val="en-ID" w:eastAsia="sr-Cyrl-RS"/>
        </w:rPr>
        <w:t>(komnasperempuan.go.id, 2020)</w:t>
      </w:r>
      <w:r w:rsidR="00813E02">
        <w:rPr>
          <w:rFonts w:ascii="Century" w:eastAsia="Times New Roman" w:hAnsi="Century"/>
          <w:lang w:val="en-ID" w:eastAsia="sr-Cyrl-RS"/>
        </w:rPr>
        <w:fldChar w:fldCharType="end"/>
      </w:r>
      <w:r>
        <w:rPr>
          <w:rFonts w:ascii="Century" w:eastAsia="Times New Roman" w:hAnsi="Century"/>
          <w:lang w:val="en-ID" w:eastAsia="sr-Cyrl-RS"/>
        </w:rPr>
        <w:t>.</w:t>
      </w:r>
    </w:p>
    <w:p w14:paraId="199D8588" w14:textId="7167CF62" w:rsidR="008141BC" w:rsidRPr="00937416" w:rsidRDefault="008141BC" w:rsidP="00312856">
      <w:pPr>
        <w:spacing w:line="276" w:lineRule="auto"/>
        <w:ind w:firstLine="708"/>
        <w:jc w:val="both"/>
        <w:rPr>
          <w:rFonts w:ascii="Century" w:hAnsi="Century"/>
          <w:lang w:val="en-ID"/>
        </w:rPr>
      </w:pPr>
      <w:r w:rsidRPr="004B3FB3">
        <w:rPr>
          <w:rFonts w:ascii="Century" w:hAnsi="Century"/>
          <w:lang w:val="en-ID"/>
        </w:rPr>
        <w:t>I</w:t>
      </w:r>
      <w:r w:rsidRPr="004B3FB3">
        <w:rPr>
          <w:rFonts w:ascii="Century" w:hAnsi="Century"/>
        </w:rPr>
        <w:t>dentifikasi permasalahan mitra</w:t>
      </w:r>
      <w:r w:rsidRPr="004B3FB3">
        <w:rPr>
          <w:rFonts w:ascii="Century" w:hAnsi="Century"/>
          <w:lang w:val="en-ID"/>
        </w:rPr>
        <w:t xml:space="preserve"> </w:t>
      </w:r>
      <w:proofErr w:type="gramStart"/>
      <w:r w:rsidRPr="004B3FB3">
        <w:rPr>
          <w:rFonts w:ascii="Century" w:hAnsi="Century"/>
          <w:lang w:val="en-ID"/>
        </w:rPr>
        <w:t>tim</w:t>
      </w:r>
      <w:proofErr w:type="gramEnd"/>
      <w:r w:rsidRPr="004B3FB3">
        <w:rPr>
          <w:rFonts w:ascii="Century" w:hAnsi="Century"/>
          <w:lang w:val="en-ID"/>
        </w:rPr>
        <w:t xml:space="preserve"> lakukan</w:t>
      </w:r>
      <w:r w:rsidRPr="004B3FB3">
        <w:rPr>
          <w:rFonts w:ascii="Century" w:hAnsi="Century"/>
        </w:rPr>
        <w:t xml:space="preserve"> melalui observasi dan </w:t>
      </w:r>
      <w:r w:rsidRPr="004B3FB3">
        <w:rPr>
          <w:rFonts w:ascii="Century" w:hAnsi="Century"/>
          <w:lang w:val="en-ID"/>
        </w:rPr>
        <w:t>wawancara</w:t>
      </w:r>
      <w:r w:rsidRPr="004B3FB3">
        <w:rPr>
          <w:rFonts w:ascii="Century" w:hAnsi="Century"/>
        </w:rPr>
        <w:t xml:space="preserve">. Berdasarkan hal tersebut, tim </w:t>
      </w:r>
      <w:r w:rsidR="00312856">
        <w:rPr>
          <w:rFonts w:ascii="Century" w:hAnsi="Century"/>
        </w:rPr>
        <w:t xml:space="preserve">bersama mitra, </w:t>
      </w:r>
      <w:r w:rsidRPr="004B3FB3">
        <w:rPr>
          <w:rFonts w:ascii="Century" w:hAnsi="Century"/>
        </w:rPr>
        <w:t xml:space="preserve">mengidentifikasi </w:t>
      </w:r>
      <w:r w:rsidR="00312856">
        <w:rPr>
          <w:rFonts w:ascii="Century" w:hAnsi="Century"/>
        </w:rPr>
        <w:t xml:space="preserve">solusi </w:t>
      </w:r>
      <w:r w:rsidRPr="004B3FB3">
        <w:rPr>
          <w:rFonts w:ascii="Century" w:hAnsi="Century"/>
        </w:rPr>
        <w:t xml:space="preserve">permasalahan terkait </w:t>
      </w:r>
      <w:r w:rsidR="00893F54">
        <w:rPr>
          <w:rFonts w:ascii="Century" w:hAnsi="Century"/>
          <w:iCs/>
        </w:rPr>
        <w:t>kekerasan</w:t>
      </w:r>
      <w:r w:rsidR="00893F54">
        <w:rPr>
          <w:rFonts w:ascii="Century" w:hAnsi="Century"/>
        </w:rPr>
        <w:t xml:space="preserve"> </w:t>
      </w:r>
      <w:r w:rsidRPr="004B3FB3">
        <w:rPr>
          <w:rFonts w:ascii="Century" w:hAnsi="Century"/>
        </w:rPr>
        <w:t>di lingkungan terdekat</w:t>
      </w:r>
      <w:r w:rsidR="00312856">
        <w:rPr>
          <w:rFonts w:ascii="Century" w:hAnsi="Century"/>
        </w:rPr>
        <w:t xml:space="preserve">, </w:t>
      </w:r>
      <w:proofErr w:type="gramStart"/>
      <w:r w:rsidR="00312856">
        <w:rPr>
          <w:rFonts w:ascii="Century" w:hAnsi="Century"/>
        </w:rPr>
        <w:t xml:space="preserve">yakni </w:t>
      </w:r>
      <w:r w:rsidRPr="004B3FB3">
        <w:rPr>
          <w:rFonts w:ascii="Century" w:hAnsi="Century"/>
          <w:lang w:val="en-ID"/>
        </w:rPr>
        <w:t>:</w:t>
      </w:r>
      <w:proofErr w:type="gramEnd"/>
      <w:r w:rsidRPr="004B3FB3">
        <w:rPr>
          <w:rFonts w:ascii="Century" w:hAnsi="Century"/>
          <w:lang w:val="en-ID"/>
        </w:rPr>
        <w:t xml:space="preserve"> </w:t>
      </w:r>
      <w:r w:rsidR="00312856">
        <w:rPr>
          <w:rFonts w:ascii="Century" w:hAnsi="Century"/>
          <w:lang w:val="en-ID"/>
        </w:rPr>
        <w:t xml:space="preserve">(1) </w:t>
      </w:r>
      <w:r w:rsidR="00312856">
        <w:rPr>
          <w:rFonts w:ascii="Century" w:hAnsi="Century"/>
        </w:rPr>
        <w:t>k</w:t>
      </w:r>
      <w:r w:rsidRPr="004B3FB3">
        <w:rPr>
          <w:rFonts w:ascii="Century" w:hAnsi="Century"/>
        </w:rPr>
        <w:t xml:space="preserve">urangnya </w:t>
      </w:r>
      <w:r w:rsidR="00893F54">
        <w:rPr>
          <w:rFonts w:ascii="Century" w:hAnsi="Century"/>
        </w:rPr>
        <w:t>informasi tentang segala bentuk kekerasan</w:t>
      </w:r>
      <w:r w:rsidRPr="004B3FB3">
        <w:rPr>
          <w:rFonts w:ascii="Century" w:hAnsi="Century"/>
          <w:iCs/>
          <w:lang w:val="en-ID"/>
        </w:rPr>
        <w:t>, t</w:t>
      </w:r>
      <w:r w:rsidR="00312856">
        <w:rPr>
          <w:rFonts w:ascii="Century" w:hAnsi="Century"/>
          <w:iCs/>
          <w:lang w:val="en-ID"/>
        </w:rPr>
        <w:t>erutama pada perempuan dan anak; (2) k</w:t>
      </w:r>
      <w:r w:rsidRPr="004B3FB3">
        <w:rPr>
          <w:rFonts w:ascii="Century" w:hAnsi="Century"/>
        </w:rPr>
        <w:t>urangnya edukasi dalam sosialisasi UU tentang penghapusan</w:t>
      </w:r>
      <w:r w:rsidR="00893F54">
        <w:rPr>
          <w:rFonts w:ascii="Century" w:hAnsi="Century"/>
          <w:lang w:val="en-ID"/>
        </w:rPr>
        <w:t xml:space="preserve"> kekerasan pada perempuan dan anak</w:t>
      </w:r>
      <w:r w:rsidR="00312856">
        <w:rPr>
          <w:rFonts w:ascii="Century" w:hAnsi="Century"/>
          <w:iCs/>
          <w:lang w:val="en-ID"/>
        </w:rPr>
        <w:t xml:space="preserve">; (3) kurangnya </w:t>
      </w:r>
      <w:r w:rsidR="00312856" w:rsidRPr="00937416">
        <w:rPr>
          <w:rFonts w:ascii="Century" w:hAnsi="Century"/>
          <w:iCs/>
          <w:lang w:val="en-ID"/>
        </w:rPr>
        <w:t xml:space="preserve">perlindungan terhadap korban kekerasan. Dengan demikian tujuan kegiatan ini adalah : </w:t>
      </w:r>
      <w:r w:rsidR="00312856" w:rsidRPr="00937416">
        <w:rPr>
          <w:rFonts w:ascii="Century" w:hAnsi="Century"/>
          <w:bCs/>
          <w:color w:val="000000" w:themeColor="text1"/>
        </w:rPr>
        <w:t xml:space="preserve">(1) memberikan pemahaman dan memperkaya pengetahuan </w:t>
      </w:r>
      <w:r w:rsidR="00312856" w:rsidRPr="00937416">
        <w:rPr>
          <w:rFonts w:ascii="Century" w:hAnsi="Century"/>
          <w:bCs/>
          <w:color w:val="000000" w:themeColor="text1"/>
          <w:lang w:val="en-ID"/>
        </w:rPr>
        <w:t xml:space="preserve">relawan terkait </w:t>
      </w:r>
      <w:r w:rsidR="00312856" w:rsidRPr="00937416">
        <w:rPr>
          <w:rFonts w:ascii="Century" w:hAnsi="Century"/>
          <w:bCs/>
          <w:color w:val="000000" w:themeColor="text1"/>
        </w:rPr>
        <w:t>bentuk, penyeb</w:t>
      </w:r>
      <w:r w:rsidR="00937416">
        <w:rPr>
          <w:rFonts w:ascii="Century" w:hAnsi="Century"/>
          <w:bCs/>
          <w:color w:val="000000" w:themeColor="text1"/>
        </w:rPr>
        <w:t xml:space="preserve">ab, dampak kekerasan yang </w:t>
      </w:r>
      <w:r w:rsidR="00312856" w:rsidRPr="00937416">
        <w:rPr>
          <w:rFonts w:ascii="Century" w:hAnsi="Century"/>
          <w:bCs/>
          <w:color w:val="000000" w:themeColor="text1"/>
        </w:rPr>
        <w:t>dialami oleh perempuan</w:t>
      </w:r>
      <w:r w:rsidR="00312856" w:rsidRPr="00937416">
        <w:rPr>
          <w:rFonts w:ascii="Century" w:hAnsi="Century"/>
          <w:bCs/>
          <w:color w:val="000000" w:themeColor="text1"/>
          <w:lang w:val="en-ID"/>
        </w:rPr>
        <w:t xml:space="preserve"> dan anak; (2) m</w:t>
      </w:r>
      <w:r w:rsidR="00312856" w:rsidRPr="00937416">
        <w:rPr>
          <w:rFonts w:ascii="Century" w:hAnsi="Century"/>
          <w:lang w:val="en-ID"/>
        </w:rPr>
        <w:t>emberi</w:t>
      </w:r>
      <w:r w:rsidR="00312856" w:rsidRPr="00937416">
        <w:rPr>
          <w:rFonts w:ascii="Century" w:hAnsi="Century"/>
        </w:rPr>
        <w:t xml:space="preserve"> edukasi tentang Undang-undang penghapusan </w:t>
      </w:r>
      <w:r w:rsidR="00312856" w:rsidRPr="00937416">
        <w:rPr>
          <w:rFonts w:ascii="Century" w:hAnsi="Century"/>
          <w:iCs/>
          <w:lang w:val="en-ID"/>
        </w:rPr>
        <w:t>kekerasan pada perempuan dan pada anak; (3) pendampingan dan antisipasi kekerasan pada perempuan dan anak.</w:t>
      </w:r>
    </w:p>
    <w:p w14:paraId="35205CCF" w14:textId="374FD015" w:rsidR="00E8276D" w:rsidRDefault="00E8276D" w:rsidP="003343DF">
      <w:pPr>
        <w:pStyle w:val="IEEEParagraph"/>
        <w:ind w:firstLine="0"/>
        <w:rPr>
          <w:rFonts w:ascii="Century" w:hAnsi="Century"/>
          <w:lang w:val="en-US"/>
        </w:rPr>
      </w:pPr>
    </w:p>
    <w:p w14:paraId="0BEE9671" w14:textId="77777777" w:rsidR="006A0797" w:rsidRPr="004B3FB3" w:rsidRDefault="006A0797" w:rsidP="003343DF">
      <w:pPr>
        <w:pStyle w:val="IEEEParagraph"/>
        <w:ind w:firstLine="0"/>
        <w:rPr>
          <w:rFonts w:ascii="Century" w:hAnsi="Century"/>
          <w:lang w:val="en-US"/>
        </w:rPr>
      </w:pPr>
    </w:p>
    <w:p w14:paraId="082CEBB3" w14:textId="2234E5EC" w:rsidR="004B3FB3" w:rsidRPr="00321529" w:rsidRDefault="00E70EE3" w:rsidP="00321529">
      <w:pPr>
        <w:pStyle w:val="IEEEHeading1"/>
        <w:numPr>
          <w:ilvl w:val="0"/>
          <w:numId w:val="11"/>
        </w:numPr>
        <w:spacing w:before="0" w:after="0" w:line="276" w:lineRule="auto"/>
        <w:jc w:val="left"/>
        <w:rPr>
          <w:rFonts w:ascii="Century" w:hAnsi="Century"/>
          <w:b/>
          <w:iCs/>
          <w:sz w:val="24"/>
          <w:lang w:val="en-US"/>
        </w:rPr>
      </w:pPr>
      <w:r w:rsidRPr="004B3FB3">
        <w:rPr>
          <w:rFonts w:ascii="Century" w:hAnsi="Century"/>
          <w:b/>
          <w:iCs/>
          <w:sz w:val="24"/>
          <w:lang w:val="id-ID"/>
        </w:rPr>
        <w:lastRenderedPageBreak/>
        <w:t>METODE</w:t>
      </w:r>
      <w:r w:rsidR="00B3521D" w:rsidRPr="004B3FB3">
        <w:rPr>
          <w:rFonts w:ascii="Century" w:hAnsi="Century"/>
          <w:b/>
          <w:iCs/>
          <w:sz w:val="24"/>
          <w:lang w:val="en-US"/>
        </w:rPr>
        <w:t xml:space="preserve"> </w:t>
      </w:r>
      <w:r w:rsidR="00922A80" w:rsidRPr="004B3FB3">
        <w:rPr>
          <w:rFonts w:ascii="Century" w:hAnsi="Century"/>
          <w:b/>
          <w:iCs/>
          <w:sz w:val="24"/>
          <w:lang w:val="en-US"/>
        </w:rPr>
        <w:t>PELAKSANAAN</w:t>
      </w:r>
    </w:p>
    <w:p w14:paraId="3661863E" w14:textId="77777777" w:rsidR="005758E7" w:rsidRDefault="00893F54" w:rsidP="005758E7">
      <w:pPr>
        <w:spacing w:line="276" w:lineRule="auto"/>
        <w:ind w:firstLine="720"/>
        <w:jc w:val="both"/>
        <w:rPr>
          <w:rFonts w:ascii="Century" w:hAnsi="Century"/>
          <w:color w:val="191820"/>
        </w:rPr>
      </w:pPr>
      <w:r w:rsidRPr="002841FD">
        <w:rPr>
          <w:rFonts w:ascii="Century" w:hAnsi="Century"/>
          <w:color w:val="191820"/>
        </w:rPr>
        <w:t xml:space="preserve">Data Pusat Pelayanan Terpadu Pemberdayaan Perempuan dan Anak (P2TP2A) Tangerang Selatan </w:t>
      </w:r>
      <w:r>
        <w:rPr>
          <w:rFonts w:ascii="Century" w:hAnsi="Century"/>
          <w:color w:val="191820"/>
        </w:rPr>
        <w:t>menunjukkan bahwa ada 182</w:t>
      </w:r>
      <w:r w:rsidRPr="002841FD">
        <w:rPr>
          <w:rFonts w:ascii="Century" w:hAnsi="Century"/>
          <w:color w:val="191820"/>
        </w:rPr>
        <w:t xml:space="preserve"> kasus kekerasan, di mana 120 diantaranya adalah kekerasan terhadap anak. Dari 190 kasus, kecamatan Pamulang mendominasi sebanyak 48 kas</w:t>
      </w:r>
      <w:r>
        <w:rPr>
          <w:rFonts w:ascii="Century" w:hAnsi="Century"/>
          <w:color w:val="191820"/>
        </w:rPr>
        <w:t>us, disusul kecamatan Ciputat 31</w:t>
      </w:r>
      <w:r w:rsidRPr="002841FD">
        <w:rPr>
          <w:rFonts w:ascii="Century" w:hAnsi="Century"/>
          <w:color w:val="191820"/>
        </w:rPr>
        <w:t xml:space="preserve"> kasus, kecamatan Pondok Aren 29 kasus, kecamatan Serpong 26 kasus, Ciputat Timur 25 kasus, Serpong Utara 14 kasus, dan Setu 9 kasus </w:t>
      </w:r>
      <w:r>
        <w:rPr>
          <w:rFonts w:ascii="Century" w:hAnsi="Century"/>
          <w:color w:val="191820"/>
        </w:rPr>
        <w:fldChar w:fldCharType="begin" w:fldLock="1"/>
      </w:r>
      <w:r>
        <w:rPr>
          <w:rFonts w:ascii="Century" w:hAnsi="Century"/>
          <w:color w:val="191820"/>
        </w:rPr>
        <w:instrText>ADDIN CSL_CITATION {"citationItems":[{"id":"ITEM-1","itemData":{"URL":"https://kabarbanten.pikiran-rakyat.com/seputar-banten/pr-591846577/kekerasan-perempuan-dan-anak-di-banten-bikin-merinding-p2tp2a-banyak-tangani-korban-di-bulan-ramadan?page=5","author":[{"dropping-particle":"","family":"Rahmawati","given":"Frely","non-dropping-particle":"","parse-names":false,"suffix":""}],"container-title":"kabarbanten.pikiran-rakyat.com/","id":"ITEM-1","issued":{"date-parts":[["2021"]]},"title":"Kekerasan Perempuan dan Anak di Banten Bikin Merinding, P2TP2A Banyak Tangani Korban di Bulan Ramadan","type":"webpage"},"uris":["http://www.mendeley.com/documents/?uuid=3d9e29cc-a788-4031-95f8-60bca397583e"]}],"mendeley":{"formattedCitation":"(Rahmawati, 2021)","plainTextFormattedCitation":"(Rahmawati, 2021)","previouslyFormattedCitation":"(Rahmawati, 2021)"},"properties":{"noteIndex":0},"schema":"https://github.com/citation-style-language/schema/raw/master/csl-citation.json"}</w:instrText>
      </w:r>
      <w:r>
        <w:rPr>
          <w:rFonts w:ascii="Century" w:hAnsi="Century"/>
          <w:color w:val="191820"/>
        </w:rPr>
        <w:fldChar w:fldCharType="separate"/>
      </w:r>
      <w:r w:rsidRPr="0018755D">
        <w:rPr>
          <w:rFonts w:ascii="Century" w:hAnsi="Century"/>
          <w:noProof/>
          <w:color w:val="191820"/>
        </w:rPr>
        <w:t>(Rahmawati, 2021)</w:t>
      </w:r>
      <w:r>
        <w:rPr>
          <w:rFonts w:ascii="Century" w:hAnsi="Century"/>
          <w:color w:val="191820"/>
        </w:rPr>
        <w:fldChar w:fldCharType="end"/>
      </w:r>
      <w:r w:rsidRPr="002841FD">
        <w:rPr>
          <w:rFonts w:ascii="Century" w:hAnsi="Century"/>
          <w:color w:val="191820"/>
        </w:rPr>
        <w:t xml:space="preserve">. </w:t>
      </w:r>
      <w:r w:rsidR="005758E7">
        <w:rPr>
          <w:rFonts w:ascii="Century" w:hAnsi="Century"/>
          <w:color w:val="191820"/>
        </w:rPr>
        <w:t xml:space="preserve">Dengan demikian </w:t>
      </w:r>
      <w:proofErr w:type="gramStart"/>
      <w:r w:rsidR="005758E7">
        <w:rPr>
          <w:rFonts w:ascii="Century" w:hAnsi="Century"/>
          <w:color w:val="191820"/>
        </w:rPr>
        <w:t>tim</w:t>
      </w:r>
      <w:proofErr w:type="gramEnd"/>
      <w:r w:rsidR="005758E7">
        <w:rPr>
          <w:rFonts w:ascii="Century" w:hAnsi="Century"/>
          <w:color w:val="191820"/>
        </w:rPr>
        <w:t xml:space="preserve"> memilih Pamulang sebagai lokasi pengabdian karena </w:t>
      </w:r>
      <w:r w:rsidR="005758E7">
        <w:rPr>
          <w:rFonts w:ascii="Century" w:hAnsi="Century"/>
          <w:lang w:val="id-ID"/>
        </w:rPr>
        <w:t>k</w:t>
      </w:r>
      <w:r w:rsidR="005758E7" w:rsidRPr="00054F34">
        <w:rPr>
          <w:rFonts w:ascii="Century" w:hAnsi="Century"/>
          <w:lang w:val="en-ID"/>
        </w:rPr>
        <w:t>asus kekerasan pada perempuan dan anak di Pamulang tertinggi di wilayah Tangerang Selatan</w:t>
      </w:r>
      <w:r w:rsidR="005758E7">
        <w:rPr>
          <w:rFonts w:ascii="Century" w:hAnsi="Century"/>
          <w:lang w:val="en-ID"/>
        </w:rPr>
        <w:t>.</w:t>
      </w:r>
    </w:p>
    <w:p w14:paraId="62D118D0" w14:textId="5338D3AA" w:rsidR="005758E7" w:rsidRDefault="00893F54" w:rsidP="005758E7">
      <w:pPr>
        <w:spacing w:line="276" w:lineRule="auto"/>
        <w:ind w:firstLine="720"/>
        <w:jc w:val="both"/>
        <w:rPr>
          <w:rFonts w:ascii="Century" w:hAnsi="Century"/>
          <w:color w:val="191820"/>
        </w:rPr>
      </w:pPr>
      <w:r>
        <w:rPr>
          <w:rFonts w:ascii="Century" w:hAnsi="Century"/>
        </w:rPr>
        <w:t xml:space="preserve">Para relawan terdiri dari Pengurus </w:t>
      </w:r>
      <w:r w:rsidR="006F70C4" w:rsidRPr="006F70C4">
        <w:rPr>
          <w:rFonts w:ascii="Century" w:hAnsi="Century"/>
          <w:w w:val="105"/>
        </w:rPr>
        <w:t xml:space="preserve">Karang Taruna Sinar Pamulang Permai sebagai </w:t>
      </w:r>
      <w:r w:rsidR="006F70C4" w:rsidRPr="006F70C4">
        <w:rPr>
          <w:rFonts w:ascii="Century" w:hAnsi="Century"/>
          <w:i/>
          <w:w w:val="105"/>
        </w:rPr>
        <w:t>agent of change</w:t>
      </w:r>
      <w:r w:rsidR="006F70C4" w:rsidRPr="006F70C4">
        <w:rPr>
          <w:rFonts w:ascii="Century" w:hAnsi="Century"/>
          <w:w w:val="105"/>
        </w:rPr>
        <w:t xml:space="preserve"> yang da</w:t>
      </w:r>
      <w:r w:rsidR="00321529">
        <w:rPr>
          <w:rFonts w:ascii="Century" w:hAnsi="Century"/>
          <w:w w:val="105"/>
        </w:rPr>
        <w:t xml:space="preserve">pat memberikan solusi </w:t>
      </w:r>
      <w:r w:rsidR="006F70C4" w:rsidRPr="006F70C4">
        <w:rPr>
          <w:rFonts w:ascii="Century" w:hAnsi="Century"/>
          <w:w w:val="105"/>
        </w:rPr>
        <w:t>terkait kek</w:t>
      </w:r>
      <w:r w:rsidR="00321529">
        <w:rPr>
          <w:rFonts w:ascii="Century" w:hAnsi="Century"/>
          <w:w w:val="105"/>
        </w:rPr>
        <w:t xml:space="preserve">erasan pada perempuan dan anak. </w:t>
      </w:r>
      <w:r>
        <w:rPr>
          <w:rFonts w:ascii="Century" w:hAnsi="Century"/>
        </w:rPr>
        <w:t xml:space="preserve">Relawan </w:t>
      </w:r>
      <w:r w:rsidR="00CA789B">
        <w:rPr>
          <w:rFonts w:ascii="Century" w:hAnsi="Century"/>
        </w:rPr>
        <w:t xml:space="preserve">yang menjadi mentor </w:t>
      </w:r>
      <w:r w:rsidR="005758E7">
        <w:rPr>
          <w:rFonts w:ascii="Century" w:hAnsi="Century"/>
        </w:rPr>
        <w:t xml:space="preserve">tidak hanya </w:t>
      </w:r>
      <w:r>
        <w:rPr>
          <w:rFonts w:ascii="Century" w:hAnsi="Century"/>
        </w:rPr>
        <w:t xml:space="preserve">perempuan, tetapi juga laki-laki yang diharapkan mampu mencegah, mengeliminir serta menghentikan praktek kekerasan di wilayahnya. </w:t>
      </w:r>
      <w:r w:rsidRPr="00017F4A">
        <w:rPr>
          <w:rFonts w:ascii="Century" w:hAnsi="Century"/>
          <w:lang w:val="en-ID"/>
        </w:rPr>
        <w:t>Pentingnya kegiatan ini dilakukan karena semakin banyaknya tindak kekerasan pada perempuan terutama di masa pandemi baik yang d</w:t>
      </w:r>
      <w:r w:rsidR="00A43231">
        <w:rPr>
          <w:rFonts w:ascii="Century" w:hAnsi="Century"/>
          <w:lang w:val="en-ID"/>
        </w:rPr>
        <w:t>ilaporkan maupun tak dilaporkan.</w:t>
      </w:r>
    </w:p>
    <w:p w14:paraId="230FDE21" w14:textId="466D70D2" w:rsidR="004610A8" w:rsidRPr="005758E7" w:rsidRDefault="00054F34" w:rsidP="005758E7">
      <w:pPr>
        <w:spacing w:line="276" w:lineRule="auto"/>
        <w:ind w:firstLine="720"/>
        <w:jc w:val="both"/>
        <w:rPr>
          <w:rFonts w:ascii="Century" w:hAnsi="Century"/>
          <w:color w:val="191820"/>
        </w:rPr>
      </w:pPr>
      <w:r w:rsidRPr="00054F34">
        <w:rPr>
          <w:rFonts w:ascii="Century" w:hAnsi="Century"/>
          <w:bCs/>
          <w:color w:val="000000" w:themeColor="text1"/>
          <w:lang w:val="en-ID"/>
        </w:rPr>
        <w:t xml:space="preserve">Metode yang digunakan adalah </w:t>
      </w:r>
      <w:r w:rsidRPr="00054F34">
        <w:rPr>
          <w:rFonts w:ascii="Century" w:hAnsi="Century"/>
          <w:bCs/>
          <w:i/>
          <w:color w:val="000000" w:themeColor="text1"/>
          <w:lang w:val="en-ID"/>
        </w:rPr>
        <w:t>partisipatif</w:t>
      </w:r>
      <w:r w:rsidRPr="00054F34">
        <w:rPr>
          <w:rFonts w:ascii="Century" w:hAnsi="Century"/>
          <w:bCs/>
          <w:color w:val="000000" w:themeColor="text1"/>
          <w:lang w:val="en-ID"/>
        </w:rPr>
        <w:t xml:space="preserve">, dimana anggota sasaran dilibatkan secara aktif mulai dari perencanaan, monitoring, dan evaluasi kegiatan. Proses pemberdayaan relawan </w:t>
      </w:r>
      <w:proofErr w:type="gramStart"/>
      <w:r w:rsidRPr="00054F34">
        <w:rPr>
          <w:rFonts w:ascii="Century" w:hAnsi="Century"/>
          <w:bCs/>
          <w:color w:val="000000" w:themeColor="text1"/>
          <w:lang w:val="en-ID"/>
        </w:rPr>
        <w:t>meliputi :</w:t>
      </w:r>
      <w:proofErr w:type="gramEnd"/>
      <w:r w:rsidRPr="00054F34">
        <w:rPr>
          <w:rFonts w:ascii="Century" w:hAnsi="Century"/>
          <w:bCs/>
          <w:color w:val="000000" w:themeColor="text1"/>
          <w:lang w:val="en-ID"/>
        </w:rPr>
        <w:t xml:space="preserve"> (1) presentasi dan  ceramah, (2) praktek  </w:t>
      </w:r>
      <w:r w:rsidRPr="00054F34">
        <w:rPr>
          <w:rFonts w:ascii="Century" w:hAnsi="Century"/>
          <w:bCs/>
          <w:color w:val="000000" w:themeColor="text1"/>
        </w:rPr>
        <w:t xml:space="preserve">edukasi dan sosialisasi Undang-undang </w:t>
      </w:r>
      <w:r w:rsidRPr="00054F34">
        <w:rPr>
          <w:rFonts w:ascii="Century" w:hAnsi="Century"/>
          <w:bCs/>
          <w:color w:val="000000" w:themeColor="text1"/>
          <w:lang w:val="en-ID"/>
        </w:rPr>
        <w:t xml:space="preserve">penghapusan </w:t>
      </w:r>
      <w:r w:rsidRPr="00054F34">
        <w:rPr>
          <w:rFonts w:ascii="Century" w:hAnsi="Century"/>
          <w:bCs/>
          <w:color w:val="000000" w:themeColor="text1"/>
        </w:rPr>
        <w:t>kekerasan pada perempuan dan anak</w:t>
      </w:r>
      <w:r>
        <w:rPr>
          <w:rFonts w:ascii="Century" w:hAnsi="Century"/>
          <w:bCs/>
          <w:color w:val="000000" w:themeColor="text1"/>
        </w:rPr>
        <w:t xml:space="preserve"> melalui simulasi dan </w:t>
      </w:r>
      <w:r>
        <w:rPr>
          <w:rFonts w:ascii="Century" w:hAnsi="Century"/>
          <w:bCs/>
          <w:i/>
          <w:color w:val="000000" w:themeColor="text1"/>
        </w:rPr>
        <w:t>role play</w:t>
      </w:r>
      <w:r>
        <w:rPr>
          <w:rFonts w:ascii="Century" w:hAnsi="Century"/>
          <w:bCs/>
          <w:color w:val="000000" w:themeColor="text1"/>
        </w:rPr>
        <w:t xml:space="preserve"> </w:t>
      </w:r>
      <w:r w:rsidRPr="00054F34">
        <w:rPr>
          <w:rFonts w:ascii="Century" w:hAnsi="Century"/>
          <w:bCs/>
          <w:color w:val="000000" w:themeColor="text1"/>
        </w:rPr>
        <w:t xml:space="preserve">, (3) </w:t>
      </w:r>
      <w:r w:rsidRPr="00054F34">
        <w:rPr>
          <w:rFonts w:ascii="Century" w:hAnsi="Century"/>
          <w:bCs/>
          <w:color w:val="000000" w:themeColor="text1"/>
          <w:lang w:val="en-ID"/>
        </w:rPr>
        <w:t xml:space="preserve"> praktek </w:t>
      </w:r>
      <w:r w:rsidRPr="00054F34">
        <w:rPr>
          <w:rFonts w:ascii="Century" w:hAnsi="Century"/>
          <w:bCs/>
          <w:color w:val="000000" w:themeColor="text1"/>
        </w:rPr>
        <w:t xml:space="preserve">presentasi bagi </w:t>
      </w:r>
      <w:r w:rsidRPr="00054F34">
        <w:rPr>
          <w:rFonts w:ascii="Century" w:hAnsi="Century"/>
          <w:bCs/>
          <w:color w:val="000000" w:themeColor="text1"/>
          <w:lang w:val="en-ID"/>
        </w:rPr>
        <w:t xml:space="preserve">relawan sebagai </w:t>
      </w:r>
      <w:r w:rsidRPr="00054F34">
        <w:rPr>
          <w:rFonts w:ascii="Century" w:hAnsi="Century"/>
          <w:bCs/>
          <w:color w:val="000000" w:themeColor="text1"/>
        </w:rPr>
        <w:t>agen komunikasi untuk mengidentifikasi dan mengantisipasi tindak kekerasan, serta panduan pendampingan korban.</w:t>
      </w:r>
      <w:r>
        <w:rPr>
          <w:rFonts w:ascii="Century" w:hAnsi="Century"/>
          <w:bCs/>
          <w:color w:val="000000" w:themeColor="text1"/>
        </w:rPr>
        <w:t xml:space="preserve"> </w:t>
      </w:r>
      <w:r w:rsidRPr="00054F34">
        <w:rPr>
          <w:rFonts w:ascii="Century" w:hAnsi="Century" w:cs="Arial"/>
          <w:w w:val="105"/>
        </w:rPr>
        <w:t>P</w:t>
      </w:r>
      <w:r w:rsidR="00F07E01" w:rsidRPr="00054F34">
        <w:rPr>
          <w:rFonts w:ascii="Century" w:hAnsi="Century" w:cs="Arial"/>
          <w:w w:val="105"/>
        </w:rPr>
        <w:t>endekatan individual dilakukan pada saat pendampingan korban berupa konsultasi</w:t>
      </w:r>
      <w:r w:rsidR="00F07E01" w:rsidRPr="007011DF">
        <w:rPr>
          <w:rFonts w:ascii="Century" w:hAnsi="Century" w:cs="Arial"/>
          <w:w w:val="105"/>
        </w:rPr>
        <w:t xml:space="preserve"> berupa sesi curhat yang selama ini dipendam dan disimpan sendiri oleh korban. Kemudian konseling dilakukan dengan pendekatan</w:t>
      </w:r>
      <w:r>
        <w:rPr>
          <w:rFonts w:ascii="Century" w:hAnsi="Century" w:cs="Arial"/>
          <w:w w:val="105"/>
        </w:rPr>
        <w:t xml:space="preserve"> </w:t>
      </w:r>
      <w:r w:rsidR="00321529">
        <w:rPr>
          <w:rFonts w:ascii="Century" w:hAnsi="Century" w:cs="Arial"/>
          <w:i/>
          <w:w w:val="105"/>
        </w:rPr>
        <w:t>self healing</w:t>
      </w:r>
      <w:r w:rsidR="004610A8">
        <w:rPr>
          <w:rFonts w:ascii="Century" w:hAnsi="Century" w:cs="Arial"/>
          <w:i/>
          <w:w w:val="105"/>
        </w:rPr>
        <w:t xml:space="preserve"> </w:t>
      </w:r>
      <w:r w:rsidR="004610A8" w:rsidRPr="007011DF">
        <w:rPr>
          <w:rFonts w:ascii="Century" w:hAnsi="Century" w:cs="Arial"/>
          <w:w w:val="105"/>
        </w:rPr>
        <w:t>untuk mengembalikan kepercayaan diri dan menjaga kesehatan mental para korban.</w:t>
      </w:r>
      <w:r w:rsidR="004610A8">
        <w:rPr>
          <w:rFonts w:ascii="Century" w:hAnsi="Century" w:cs="Arial"/>
          <w:w w:val="105"/>
        </w:rPr>
        <w:t xml:space="preserve"> </w:t>
      </w:r>
    </w:p>
    <w:p w14:paraId="5FB192FE" w14:textId="19410BE5" w:rsidR="00054F34" w:rsidRPr="004610A8" w:rsidRDefault="00054F34" w:rsidP="004610A8">
      <w:pPr>
        <w:spacing w:line="276" w:lineRule="auto"/>
        <w:ind w:right="119" w:firstLine="425"/>
        <w:jc w:val="both"/>
        <w:rPr>
          <w:rFonts w:ascii="Century" w:hAnsi="Century" w:cs="Arial"/>
          <w:spacing w:val="5"/>
          <w:shd w:val="clear" w:color="auto" w:fill="FFFFFF"/>
        </w:rPr>
      </w:pPr>
    </w:p>
    <w:p w14:paraId="7964A91A" w14:textId="229F9CD0" w:rsidR="004B3FB3" w:rsidRPr="006A0797" w:rsidRDefault="00E70EE3" w:rsidP="006A0797">
      <w:pPr>
        <w:pStyle w:val="IEEEHeading1"/>
        <w:numPr>
          <w:ilvl w:val="0"/>
          <w:numId w:val="11"/>
        </w:numPr>
        <w:spacing w:before="0" w:after="0" w:line="276" w:lineRule="auto"/>
        <w:jc w:val="left"/>
        <w:rPr>
          <w:rFonts w:ascii="Century" w:hAnsi="Century"/>
          <w:b/>
          <w:iCs/>
          <w:sz w:val="25"/>
          <w:szCs w:val="25"/>
          <w:lang w:val="en-US"/>
        </w:rPr>
      </w:pPr>
      <w:r w:rsidRPr="00E01DF5">
        <w:rPr>
          <w:rFonts w:ascii="Century" w:hAnsi="Century"/>
          <w:b/>
          <w:iCs/>
          <w:sz w:val="25"/>
          <w:szCs w:val="25"/>
          <w:lang w:val="id-ID"/>
        </w:rPr>
        <w:t>HASIL</w:t>
      </w:r>
      <w:r w:rsidR="0000069A" w:rsidRPr="00E01DF5">
        <w:rPr>
          <w:rFonts w:ascii="Century" w:hAnsi="Century"/>
          <w:b/>
          <w:iCs/>
          <w:sz w:val="25"/>
          <w:szCs w:val="25"/>
          <w:lang w:val="en-US"/>
        </w:rPr>
        <w:t xml:space="preserve"> DAN PEMBAHASAN</w:t>
      </w:r>
    </w:p>
    <w:p w14:paraId="1653FA7E" w14:textId="31292663" w:rsidR="004B3FB3" w:rsidRPr="004610A8" w:rsidRDefault="004610A8" w:rsidP="004610A8">
      <w:pPr>
        <w:spacing w:line="276" w:lineRule="auto"/>
        <w:ind w:firstLine="360"/>
        <w:jc w:val="both"/>
        <w:rPr>
          <w:lang w:val="id-ID"/>
        </w:rPr>
      </w:pPr>
      <w:r w:rsidRPr="007011DF">
        <w:rPr>
          <w:rFonts w:ascii="Century" w:hAnsi="Century" w:cs="Arial"/>
          <w:w w:val="105"/>
        </w:rPr>
        <w:t xml:space="preserve">Kegiatan ini dilaksanakan </w:t>
      </w:r>
      <w:r>
        <w:rPr>
          <w:rFonts w:ascii="Century" w:hAnsi="Century" w:cs="Arial"/>
          <w:w w:val="105"/>
        </w:rPr>
        <w:t xml:space="preserve">secara luring sebanyak dua kali dan daring </w:t>
      </w:r>
      <w:r w:rsidR="00A06F2C">
        <w:rPr>
          <w:rFonts w:ascii="Century" w:hAnsi="Century" w:cs="Arial"/>
          <w:bCs/>
        </w:rPr>
        <w:t>sebanyak dua</w:t>
      </w:r>
      <w:r w:rsidRPr="007011DF">
        <w:rPr>
          <w:rFonts w:ascii="Century" w:hAnsi="Century" w:cs="Arial"/>
          <w:bCs/>
        </w:rPr>
        <w:t xml:space="preserve"> kali melalui</w:t>
      </w:r>
      <w:r w:rsidRPr="007011DF">
        <w:rPr>
          <w:rFonts w:ascii="Century" w:hAnsi="Century" w:cs="Arial"/>
          <w:bCs/>
          <w:i/>
        </w:rPr>
        <w:t xml:space="preserve"> zoom meeting</w:t>
      </w:r>
      <w:r>
        <w:rPr>
          <w:rFonts w:ascii="Century" w:hAnsi="Century" w:cs="Arial"/>
          <w:w w:val="105"/>
        </w:rPr>
        <w:t xml:space="preserve"> </w:t>
      </w:r>
      <w:proofErr w:type="gramStart"/>
      <w:r w:rsidRPr="008B3882">
        <w:rPr>
          <w:rFonts w:ascii="Century" w:hAnsi="Century"/>
          <w:bCs/>
          <w:i/>
        </w:rPr>
        <w:t>meeting</w:t>
      </w:r>
      <w:r w:rsidRPr="008B3882">
        <w:rPr>
          <w:rFonts w:ascii="Century" w:hAnsi="Century"/>
          <w:bCs/>
        </w:rPr>
        <w:t xml:space="preserve">  </w:t>
      </w:r>
      <w:r w:rsidRPr="008B3882">
        <w:rPr>
          <w:rFonts w:ascii="Century" w:hAnsi="Century"/>
          <w:spacing w:val="5"/>
          <w:shd w:val="clear" w:color="auto" w:fill="FFFFFF"/>
        </w:rPr>
        <w:t>agar</w:t>
      </w:r>
      <w:proofErr w:type="gramEnd"/>
      <w:r w:rsidRPr="008B3882">
        <w:rPr>
          <w:rFonts w:ascii="Century" w:hAnsi="Century"/>
          <w:spacing w:val="5"/>
          <w:shd w:val="clear" w:color="auto" w:fill="FFFFFF"/>
        </w:rPr>
        <w:t xml:space="preserve"> tak terjadi kerumunan demi antisipasi penularan wabah pandemi yang masih zona merah</w:t>
      </w:r>
      <w:r w:rsidR="006A0797">
        <w:rPr>
          <w:rFonts w:ascii="Century" w:hAnsi="Century" w:cs="Arial"/>
          <w:bCs/>
          <w:i/>
          <w:iCs/>
        </w:rPr>
        <w:t>.</w:t>
      </w:r>
      <w:r w:rsidR="006A0797">
        <w:rPr>
          <w:rFonts w:ascii="Century" w:hAnsi="Century"/>
          <w:bCs/>
        </w:rPr>
        <w:t xml:space="preserve"> T</w:t>
      </w:r>
      <w:r w:rsidR="004B3FB3" w:rsidRPr="008B3882">
        <w:rPr>
          <w:rFonts w:ascii="Century" w:hAnsi="Century"/>
          <w:bCs/>
        </w:rPr>
        <w:t>im melakukan wawancara pendahuluan tentang apakah ada kasus kekerasan pada perempuan dan anak</w:t>
      </w:r>
      <w:r w:rsidR="006A0797">
        <w:rPr>
          <w:rFonts w:ascii="Century" w:hAnsi="Century"/>
          <w:bCs/>
        </w:rPr>
        <w:t xml:space="preserve"> di wilayah tersebut. Berdasarkan hasil </w:t>
      </w:r>
      <w:r w:rsidR="004B3FB3" w:rsidRPr="008B3882">
        <w:rPr>
          <w:rFonts w:ascii="Century" w:hAnsi="Century"/>
          <w:bCs/>
        </w:rPr>
        <w:t>wawancara</w:t>
      </w:r>
      <w:r w:rsidR="004B3FB3" w:rsidRPr="008B3882">
        <w:rPr>
          <w:rFonts w:ascii="Century" w:hAnsi="Century"/>
        </w:rPr>
        <w:t xml:space="preserve">, maka </w:t>
      </w:r>
      <w:proofErr w:type="gramStart"/>
      <w:r w:rsidR="004B3FB3" w:rsidRPr="008B3882">
        <w:rPr>
          <w:rFonts w:ascii="Century" w:hAnsi="Century"/>
        </w:rPr>
        <w:t>tim</w:t>
      </w:r>
      <w:proofErr w:type="gramEnd"/>
      <w:r w:rsidR="004B3FB3" w:rsidRPr="008B3882">
        <w:rPr>
          <w:rFonts w:ascii="Century" w:hAnsi="Century"/>
        </w:rPr>
        <w:t xml:space="preserve"> melakukan rapat dan menentukan strategi terbaik dan efektif agar peserta mudah menyerap </w:t>
      </w:r>
      <w:r w:rsidR="006A0797">
        <w:rPr>
          <w:rFonts w:ascii="Century" w:hAnsi="Century"/>
        </w:rPr>
        <w:t xml:space="preserve">materi, </w:t>
      </w:r>
      <w:r w:rsidR="004B3FB3" w:rsidRPr="008B3882">
        <w:rPr>
          <w:rFonts w:ascii="Century" w:hAnsi="Century"/>
        </w:rPr>
        <w:t xml:space="preserve">sehingga tindakan preventif </w:t>
      </w:r>
      <w:r w:rsidR="006A0797">
        <w:rPr>
          <w:rFonts w:ascii="Century" w:hAnsi="Century"/>
        </w:rPr>
        <w:t xml:space="preserve">dan kuratif </w:t>
      </w:r>
      <w:r w:rsidR="004B3FB3" w:rsidRPr="008B3882">
        <w:rPr>
          <w:rFonts w:ascii="Century" w:hAnsi="Century"/>
        </w:rPr>
        <w:t xml:space="preserve">dapat dilakukan maksimal. </w:t>
      </w:r>
    </w:p>
    <w:p w14:paraId="529F0C8D" w14:textId="5D1318D5" w:rsidR="004610A8" w:rsidRDefault="004610A8" w:rsidP="00A43231">
      <w:pPr>
        <w:autoSpaceDE w:val="0"/>
        <w:autoSpaceDN w:val="0"/>
        <w:adjustRightInd w:val="0"/>
        <w:spacing w:line="276" w:lineRule="auto"/>
        <w:jc w:val="both"/>
        <w:rPr>
          <w:rFonts w:ascii="Century" w:hAnsi="Century"/>
        </w:rPr>
      </w:pPr>
    </w:p>
    <w:p w14:paraId="1CED2724" w14:textId="1121F7B9" w:rsidR="004610A8" w:rsidRDefault="004610A8" w:rsidP="006F70C4">
      <w:pPr>
        <w:autoSpaceDE w:val="0"/>
        <w:autoSpaceDN w:val="0"/>
        <w:adjustRightInd w:val="0"/>
        <w:spacing w:line="276" w:lineRule="auto"/>
        <w:ind w:firstLine="360"/>
        <w:jc w:val="both"/>
        <w:rPr>
          <w:rFonts w:eastAsia="Verdana"/>
          <w:noProof/>
          <w:lang w:val="en-US" w:eastAsia="en-US"/>
        </w:rPr>
      </w:pPr>
      <w:r>
        <w:rPr>
          <w:b/>
          <w:noProof/>
          <w:color w:val="000000"/>
          <w:lang w:val="en-US" w:eastAsia="en-US"/>
        </w:rPr>
        <w:lastRenderedPageBreak/>
        <w:drawing>
          <wp:inline distT="0" distB="0" distL="0" distR="0" wp14:anchorId="2098002C" wp14:editId="070F3E5B">
            <wp:extent cx="2263775" cy="1675961"/>
            <wp:effectExtent l="0" t="0" r="3175" b="635"/>
            <wp:docPr id="5" name="Picture 5" descr="WhatsApp Image 2020-08-15 a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0-08-15 at 20"/>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1114"/>
                    <a:stretch/>
                  </pic:blipFill>
                  <pic:spPr bwMode="auto">
                    <a:xfrm>
                      <a:off x="0" y="0"/>
                      <a:ext cx="2263775" cy="1675961"/>
                    </a:xfrm>
                    <a:prstGeom prst="rect">
                      <a:avLst/>
                    </a:prstGeom>
                    <a:noFill/>
                    <a:ln>
                      <a:noFill/>
                    </a:ln>
                    <a:extLst>
                      <a:ext uri="{53640926-AAD7-44D8-BBD7-CCE9431645EC}">
                        <a14:shadowObscured xmlns:a14="http://schemas.microsoft.com/office/drawing/2010/main"/>
                      </a:ext>
                    </a:extLst>
                  </pic:spPr>
                </pic:pic>
              </a:graphicData>
            </a:graphic>
          </wp:inline>
        </w:drawing>
      </w:r>
      <w:r w:rsidR="00EA11A5">
        <w:rPr>
          <w:rFonts w:eastAsia="Verdana"/>
          <w:noProof/>
          <w:lang w:val="en-US" w:eastAsia="en-US"/>
        </w:rPr>
        <w:t xml:space="preserve"> </w:t>
      </w:r>
      <w:r w:rsidRPr="00CC0811">
        <w:rPr>
          <w:rFonts w:eastAsia="Verdana"/>
          <w:noProof/>
          <w:lang w:val="en-US" w:eastAsia="en-US"/>
        </w:rPr>
        <w:drawing>
          <wp:inline distT="0" distB="0" distL="0" distR="0" wp14:anchorId="3DF844EB" wp14:editId="3A537FA4">
            <wp:extent cx="2857500" cy="1667499"/>
            <wp:effectExtent l="0" t="0" r="0" b="9525"/>
            <wp:docPr id="73" name="Picture 73" descr="C:\Users\user\Downloads\Hibah Pengmas KT 070821\Foto pemberdayaan relawan KT SPP 080821\WhatsApp Image 2021-08-08 at 13.25.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wnloads\Hibah Pengmas KT 070821\Foto pemberdayaan relawan KT SPP 080821\WhatsApp Image 2021-08-08 at 13.25.49.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7500" cy="1667499"/>
                    </a:xfrm>
                    <a:prstGeom prst="rect">
                      <a:avLst/>
                    </a:prstGeom>
                    <a:noFill/>
                    <a:ln>
                      <a:noFill/>
                    </a:ln>
                  </pic:spPr>
                </pic:pic>
              </a:graphicData>
            </a:graphic>
          </wp:inline>
        </w:drawing>
      </w:r>
      <w:r w:rsidRPr="004610A8">
        <w:rPr>
          <w:rFonts w:eastAsia="Verdana"/>
          <w:noProof/>
          <w:lang w:val="en-US" w:eastAsia="en-US"/>
        </w:rPr>
        <w:t xml:space="preserve"> </w:t>
      </w:r>
      <w:r>
        <w:rPr>
          <w:rFonts w:eastAsia="Verdana"/>
          <w:noProof/>
          <w:lang w:val="en-US" w:eastAsia="en-US"/>
        </w:rPr>
        <w:t xml:space="preserve"> </w:t>
      </w:r>
    </w:p>
    <w:p w14:paraId="3F6D7013" w14:textId="6816EB8D" w:rsidR="00EA11A5" w:rsidRPr="00EA11A5" w:rsidRDefault="00EA11A5" w:rsidP="00EA11A5">
      <w:pPr>
        <w:autoSpaceDE w:val="0"/>
        <w:autoSpaceDN w:val="0"/>
        <w:adjustRightInd w:val="0"/>
        <w:spacing w:line="276" w:lineRule="auto"/>
        <w:ind w:left="360"/>
        <w:jc w:val="both"/>
        <w:rPr>
          <w:rFonts w:ascii="Century" w:hAnsi="Century"/>
        </w:rPr>
      </w:pPr>
      <w:r>
        <w:rPr>
          <w:rFonts w:ascii="Century" w:hAnsi="Century"/>
        </w:rPr>
        <w:t xml:space="preserve">                           (a)</w:t>
      </w:r>
      <w:r w:rsidRPr="00EA11A5">
        <w:rPr>
          <w:rFonts w:ascii="Century" w:hAnsi="Century"/>
        </w:rPr>
        <w:t xml:space="preserve"> </w:t>
      </w:r>
      <w:r>
        <w:rPr>
          <w:rFonts w:ascii="Century" w:hAnsi="Century"/>
        </w:rPr>
        <w:t xml:space="preserve">     </w:t>
      </w:r>
      <w:r w:rsidRPr="00EA11A5">
        <w:rPr>
          <w:rFonts w:ascii="Century" w:hAnsi="Century"/>
        </w:rPr>
        <w:t xml:space="preserve">                                                 (</w:t>
      </w:r>
      <w:proofErr w:type="gramStart"/>
      <w:r w:rsidRPr="00EA11A5">
        <w:rPr>
          <w:rFonts w:ascii="Century" w:hAnsi="Century"/>
        </w:rPr>
        <w:t>b</w:t>
      </w:r>
      <w:proofErr w:type="gramEnd"/>
      <w:r w:rsidRPr="00EA11A5">
        <w:rPr>
          <w:rFonts w:ascii="Century" w:hAnsi="Century"/>
        </w:rPr>
        <w:t>)</w:t>
      </w:r>
    </w:p>
    <w:p w14:paraId="072285D5" w14:textId="1A76874A" w:rsidR="008F45EA" w:rsidRDefault="004610A8" w:rsidP="00E8276D">
      <w:pPr>
        <w:autoSpaceDE w:val="0"/>
        <w:autoSpaceDN w:val="0"/>
        <w:adjustRightInd w:val="0"/>
        <w:spacing w:line="276" w:lineRule="auto"/>
        <w:ind w:firstLine="360"/>
        <w:jc w:val="both"/>
        <w:rPr>
          <w:rFonts w:ascii="Century" w:hAnsi="Century"/>
        </w:rPr>
      </w:pPr>
      <w:r>
        <w:rPr>
          <w:rFonts w:ascii="Century" w:hAnsi="Century"/>
        </w:rPr>
        <w:t>G</w:t>
      </w:r>
      <w:r w:rsidR="00A43231">
        <w:rPr>
          <w:rFonts w:ascii="Century" w:hAnsi="Century"/>
        </w:rPr>
        <w:t>ambar 1</w:t>
      </w:r>
      <w:r>
        <w:rPr>
          <w:rFonts w:ascii="Century" w:hAnsi="Century"/>
        </w:rPr>
        <w:t xml:space="preserve">. </w:t>
      </w:r>
      <w:r w:rsidR="00EA11A5">
        <w:rPr>
          <w:rFonts w:ascii="Century" w:hAnsi="Century"/>
        </w:rPr>
        <w:t xml:space="preserve">(a) </w:t>
      </w:r>
      <w:r w:rsidR="006F70C4">
        <w:rPr>
          <w:rFonts w:ascii="Century" w:hAnsi="Century"/>
        </w:rPr>
        <w:t>Pe</w:t>
      </w:r>
      <w:r w:rsidR="00EA11A5">
        <w:rPr>
          <w:rFonts w:ascii="Century" w:hAnsi="Century"/>
        </w:rPr>
        <w:t xml:space="preserve">laksanakaan kegiatan luring dan (b) </w:t>
      </w:r>
      <w:r w:rsidR="006F70C4">
        <w:rPr>
          <w:rFonts w:ascii="Century" w:hAnsi="Century"/>
        </w:rPr>
        <w:t>daring</w:t>
      </w:r>
    </w:p>
    <w:p w14:paraId="4CEEF4D1" w14:textId="5D331A87" w:rsidR="008F45EA" w:rsidRDefault="00EA11A5" w:rsidP="00EA11A5">
      <w:pPr>
        <w:autoSpaceDE w:val="0"/>
        <w:autoSpaceDN w:val="0"/>
        <w:adjustRightInd w:val="0"/>
        <w:spacing w:line="276" w:lineRule="auto"/>
        <w:ind w:firstLine="360"/>
        <w:jc w:val="both"/>
        <w:rPr>
          <w:rFonts w:ascii="Century" w:hAnsi="Century"/>
        </w:rPr>
      </w:pPr>
      <w:r>
        <w:rPr>
          <w:rFonts w:ascii="Century" w:hAnsi="Century"/>
        </w:rPr>
        <w:tab/>
      </w:r>
      <w:r>
        <w:rPr>
          <w:rFonts w:ascii="Century" w:hAnsi="Century"/>
        </w:rPr>
        <w:tab/>
      </w:r>
      <w:r>
        <w:rPr>
          <w:rFonts w:ascii="Century" w:hAnsi="Century"/>
        </w:rPr>
        <w:tab/>
      </w:r>
    </w:p>
    <w:p w14:paraId="18B61ABC" w14:textId="7E9FE1D9" w:rsidR="00B4762B" w:rsidRDefault="006F70C4" w:rsidP="00B4762B">
      <w:pPr>
        <w:pStyle w:val="NormalWeb"/>
        <w:spacing w:before="0" w:beforeAutospacing="0" w:after="0" w:afterAutospacing="0" w:line="276" w:lineRule="auto"/>
        <w:ind w:firstLine="360"/>
        <w:jc w:val="both"/>
        <w:rPr>
          <w:rFonts w:ascii="Century" w:hAnsi="Century"/>
          <w:w w:val="105"/>
        </w:rPr>
      </w:pPr>
      <w:r>
        <w:rPr>
          <w:rFonts w:ascii="Century" w:hAnsi="Century"/>
        </w:rPr>
        <w:t xml:space="preserve">Setelah </w:t>
      </w:r>
      <w:proofErr w:type="gramStart"/>
      <w:r>
        <w:rPr>
          <w:rFonts w:ascii="Century" w:hAnsi="Century"/>
        </w:rPr>
        <w:t>tim</w:t>
      </w:r>
      <w:proofErr w:type="gramEnd"/>
      <w:r>
        <w:rPr>
          <w:rFonts w:ascii="Century" w:hAnsi="Century"/>
        </w:rPr>
        <w:t xml:space="preserve"> melakukan pemaparan materi, </w:t>
      </w:r>
      <w:r w:rsidR="004B3FB3" w:rsidRPr="008B3882">
        <w:rPr>
          <w:rFonts w:ascii="Century" w:hAnsi="Century"/>
        </w:rPr>
        <w:t xml:space="preserve">tim melakukan </w:t>
      </w:r>
      <w:r>
        <w:rPr>
          <w:rFonts w:ascii="Century" w:hAnsi="Century"/>
        </w:rPr>
        <w:t xml:space="preserve">diskusi interaktif, </w:t>
      </w:r>
      <w:r w:rsidR="004B3FB3" w:rsidRPr="008B3882">
        <w:rPr>
          <w:rFonts w:ascii="Century" w:hAnsi="Century"/>
        </w:rPr>
        <w:t xml:space="preserve">simulasi, games, dan </w:t>
      </w:r>
      <w:r w:rsidR="004B3FB3" w:rsidRPr="008B3882">
        <w:rPr>
          <w:rFonts w:ascii="Century" w:hAnsi="Century"/>
          <w:i/>
          <w:iCs/>
        </w:rPr>
        <w:t>role play</w:t>
      </w:r>
      <w:r w:rsidR="004B3FB3" w:rsidRPr="008B3882">
        <w:rPr>
          <w:rFonts w:ascii="Century" w:hAnsi="Century"/>
        </w:rPr>
        <w:t xml:space="preserve">. </w:t>
      </w:r>
      <w:r w:rsidR="00A43231">
        <w:rPr>
          <w:rFonts w:ascii="Century" w:hAnsi="Century"/>
          <w:lang w:val="id-ID"/>
        </w:rPr>
        <w:t>Hasil p</w:t>
      </w:r>
      <w:r w:rsidR="004B3FB3" w:rsidRPr="008B3882">
        <w:rPr>
          <w:rFonts w:ascii="Century" w:hAnsi="Century"/>
          <w:lang w:val="id-ID"/>
        </w:rPr>
        <w:t xml:space="preserve">elaksanaan </w:t>
      </w:r>
      <w:r w:rsidR="00A43231">
        <w:rPr>
          <w:rFonts w:ascii="Century" w:hAnsi="Century"/>
          <w:lang w:val="en-ID"/>
        </w:rPr>
        <w:t xml:space="preserve">kegiatan </w:t>
      </w:r>
      <w:r w:rsidR="004B3FB3" w:rsidRPr="008B3882">
        <w:rPr>
          <w:rFonts w:ascii="Century" w:hAnsi="Century"/>
          <w:lang w:val="id-ID"/>
        </w:rPr>
        <w:t xml:space="preserve">ini telah menunjukkan perubahan positif pada </w:t>
      </w:r>
      <w:r w:rsidR="00A06F2C">
        <w:rPr>
          <w:rFonts w:ascii="Century" w:hAnsi="Century"/>
          <w:lang w:val="en-ID"/>
        </w:rPr>
        <w:t xml:space="preserve">peserta </w:t>
      </w:r>
      <w:r w:rsidR="004B3FB3" w:rsidRPr="008B3882">
        <w:rPr>
          <w:rFonts w:ascii="Century" w:hAnsi="Century"/>
          <w:lang w:val="id-ID"/>
        </w:rPr>
        <w:t xml:space="preserve">dalam hal pemahaman mengenai </w:t>
      </w:r>
      <w:r w:rsidR="004B3FB3" w:rsidRPr="008B3882">
        <w:rPr>
          <w:rFonts w:ascii="Century" w:hAnsi="Century"/>
          <w:lang w:val="en-ID"/>
        </w:rPr>
        <w:t xml:space="preserve">antisipasi kekerasan pada perempuan dan anak. </w:t>
      </w:r>
      <w:r w:rsidR="00A43231">
        <w:rPr>
          <w:rFonts w:ascii="Century" w:hAnsi="Century"/>
          <w:lang w:val="en-ID"/>
        </w:rPr>
        <w:t>Di akhir kegiatan, peserta diberi</w:t>
      </w:r>
      <w:r w:rsidR="004B3FB3" w:rsidRPr="008B3882">
        <w:rPr>
          <w:rFonts w:ascii="Century" w:hAnsi="Century"/>
          <w:lang w:val="en-ID"/>
        </w:rPr>
        <w:t xml:space="preserve"> kele</w:t>
      </w:r>
      <w:r>
        <w:rPr>
          <w:rFonts w:ascii="Century" w:hAnsi="Century"/>
          <w:lang w:val="en-ID"/>
        </w:rPr>
        <w:t>luasaan untuk presentasi dan mem</w:t>
      </w:r>
      <w:r w:rsidR="00A43231">
        <w:rPr>
          <w:rFonts w:ascii="Century" w:hAnsi="Century"/>
          <w:lang w:val="en-ID"/>
        </w:rPr>
        <w:t>bahas kasus</w:t>
      </w:r>
      <w:r w:rsidR="004B3FB3" w:rsidRPr="008B3882">
        <w:rPr>
          <w:rFonts w:ascii="Century" w:hAnsi="Century"/>
          <w:lang w:val="en-ID"/>
        </w:rPr>
        <w:t xml:space="preserve"> ser</w:t>
      </w:r>
      <w:r w:rsidR="00A43231">
        <w:rPr>
          <w:rFonts w:ascii="Century" w:hAnsi="Century"/>
          <w:lang w:val="en-ID"/>
        </w:rPr>
        <w:t xml:space="preserve">ta proses pendampingan pada </w:t>
      </w:r>
      <w:r w:rsidR="004B3FB3" w:rsidRPr="008B3882">
        <w:rPr>
          <w:rFonts w:ascii="Century" w:hAnsi="Century"/>
          <w:lang w:val="en-ID"/>
        </w:rPr>
        <w:t>korban. Tim</w:t>
      </w:r>
      <w:r w:rsidR="00A43231">
        <w:rPr>
          <w:rFonts w:ascii="Century" w:hAnsi="Century"/>
          <w:lang w:val="en-ID"/>
        </w:rPr>
        <w:t xml:space="preserve"> </w:t>
      </w:r>
      <w:r w:rsidR="0064606A">
        <w:rPr>
          <w:rFonts w:ascii="Century" w:hAnsi="Century"/>
          <w:lang w:val="en-ID"/>
        </w:rPr>
        <w:t>juga membagikan buku saku panduan relawan</w:t>
      </w:r>
      <w:r w:rsidR="00B4762B">
        <w:rPr>
          <w:rFonts w:ascii="Century" w:hAnsi="Century"/>
          <w:lang w:val="en-ID"/>
        </w:rPr>
        <w:t xml:space="preserve"> dan</w:t>
      </w:r>
      <w:r w:rsidR="005758E7">
        <w:rPr>
          <w:rFonts w:ascii="Century" w:hAnsi="Century"/>
          <w:lang w:val="en-ID"/>
        </w:rPr>
        <w:t xml:space="preserve"> </w:t>
      </w:r>
      <w:r w:rsidR="00B4762B">
        <w:rPr>
          <w:rFonts w:ascii="Century" w:hAnsi="Century"/>
          <w:lang w:val="en-ID"/>
        </w:rPr>
        <w:t>te</w:t>
      </w:r>
      <w:r w:rsidR="00B4762B" w:rsidRPr="00ED278C">
        <w:rPr>
          <w:rFonts w:ascii="Century" w:hAnsi="Century"/>
          <w:w w:val="105"/>
        </w:rPr>
        <w:t>lah terbentuk Komunitas Peduli Perempuan dan Anak</w:t>
      </w:r>
      <w:r w:rsidR="00B05EA0">
        <w:rPr>
          <w:rFonts w:ascii="Century" w:hAnsi="Century"/>
          <w:w w:val="105"/>
        </w:rPr>
        <w:t xml:space="preserve"> (PPA)</w:t>
      </w:r>
      <w:bookmarkStart w:id="0" w:name="_GoBack"/>
      <w:bookmarkEnd w:id="0"/>
      <w:r w:rsidR="00B4762B" w:rsidRPr="00ED278C">
        <w:rPr>
          <w:rFonts w:ascii="Century" w:hAnsi="Century"/>
          <w:w w:val="105"/>
        </w:rPr>
        <w:t>, d</w:t>
      </w:r>
      <w:r w:rsidR="00B4762B">
        <w:rPr>
          <w:rFonts w:ascii="Century" w:hAnsi="Century"/>
          <w:w w:val="105"/>
        </w:rPr>
        <w:t xml:space="preserve">engan </w:t>
      </w:r>
      <w:proofErr w:type="gramStart"/>
      <w:r w:rsidR="00B4762B" w:rsidRPr="00ED278C">
        <w:rPr>
          <w:rFonts w:ascii="Century" w:hAnsi="Century"/>
          <w:w w:val="105"/>
        </w:rPr>
        <w:t>motto :</w:t>
      </w:r>
      <w:proofErr w:type="gramEnd"/>
      <w:r w:rsidR="00B4762B" w:rsidRPr="00ED278C">
        <w:rPr>
          <w:rFonts w:ascii="Century" w:hAnsi="Century"/>
          <w:w w:val="105"/>
        </w:rPr>
        <w:t xml:space="preserve"> </w:t>
      </w:r>
      <w:r w:rsidR="00B4762B" w:rsidRPr="00ED278C">
        <w:rPr>
          <w:rFonts w:ascii="Century" w:hAnsi="Century"/>
          <w:i/>
          <w:w w:val="105"/>
        </w:rPr>
        <w:t xml:space="preserve">self love and care, </w:t>
      </w:r>
      <w:r w:rsidR="00B4762B" w:rsidRPr="00ED278C">
        <w:rPr>
          <w:rFonts w:ascii="Century" w:hAnsi="Century"/>
          <w:w w:val="105"/>
        </w:rPr>
        <w:t>sebagai payung organisasi relawan.</w:t>
      </w:r>
    </w:p>
    <w:p w14:paraId="040B8E4F" w14:textId="4087037A" w:rsidR="00E8276D" w:rsidRDefault="00E8276D" w:rsidP="00E8276D">
      <w:pPr>
        <w:autoSpaceDE w:val="0"/>
        <w:autoSpaceDN w:val="0"/>
        <w:adjustRightInd w:val="0"/>
        <w:spacing w:line="276" w:lineRule="auto"/>
        <w:ind w:firstLine="360"/>
        <w:jc w:val="both"/>
        <w:rPr>
          <w:rFonts w:ascii="Century" w:hAnsi="Century"/>
          <w:lang w:val="en-ID"/>
        </w:rPr>
      </w:pPr>
    </w:p>
    <w:p w14:paraId="018BD9D8" w14:textId="3A3AE7B0" w:rsidR="004B3FB3" w:rsidRDefault="00E8276D" w:rsidP="00A43231">
      <w:pPr>
        <w:autoSpaceDE w:val="0"/>
        <w:autoSpaceDN w:val="0"/>
        <w:adjustRightInd w:val="0"/>
        <w:spacing w:line="276" w:lineRule="auto"/>
        <w:ind w:firstLine="360"/>
        <w:jc w:val="both"/>
        <w:rPr>
          <w:rFonts w:ascii="Century" w:hAnsi="Century"/>
          <w:lang w:val="en-ID"/>
        </w:rPr>
      </w:pPr>
      <w:r>
        <w:rPr>
          <w:rFonts w:ascii="Century" w:hAnsi="Century"/>
          <w:lang w:val="en-ID"/>
        </w:rPr>
        <w:t xml:space="preserve"> </w:t>
      </w:r>
      <w:r w:rsidR="00B4762B">
        <w:rPr>
          <w:rFonts w:ascii="Century" w:hAnsi="Century"/>
          <w:noProof/>
          <w:lang w:val="en-US" w:eastAsia="en-US"/>
        </w:rPr>
        <w:drawing>
          <wp:inline distT="0" distB="0" distL="0" distR="0" wp14:anchorId="333B394A" wp14:editId="302D6BB7">
            <wp:extent cx="2238375" cy="2714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 Buku Saku KPA 2021.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38815" cy="2715159"/>
                    </a:xfrm>
                    <a:prstGeom prst="rect">
                      <a:avLst/>
                    </a:prstGeom>
                  </pic:spPr>
                </pic:pic>
              </a:graphicData>
            </a:graphic>
          </wp:inline>
        </w:drawing>
      </w:r>
      <w:r>
        <w:rPr>
          <w:rFonts w:ascii="Century" w:hAnsi="Century"/>
          <w:lang w:val="en-ID"/>
        </w:rPr>
        <w:t xml:space="preserve">  </w:t>
      </w:r>
      <w:r w:rsidR="00A43231">
        <w:rPr>
          <w:rFonts w:ascii="Century" w:hAnsi="Century"/>
          <w:lang w:val="en-ID"/>
        </w:rPr>
        <w:tab/>
      </w:r>
      <w:r w:rsidR="00B4762B">
        <w:rPr>
          <w:rFonts w:ascii="Century" w:hAnsi="Century"/>
          <w:lang w:val="en-ID"/>
        </w:rPr>
        <w:t xml:space="preserve">        </w:t>
      </w:r>
      <w:r w:rsidR="00B4762B">
        <w:rPr>
          <w:rFonts w:ascii="Century" w:hAnsi="Century"/>
          <w:lang w:val="en-ID"/>
        </w:rPr>
        <w:tab/>
        <w:t xml:space="preserve">  </w:t>
      </w:r>
      <w:r>
        <w:rPr>
          <w:rFonts w:ascii="Century" w:hAnsi="Century"/>
          <w:lang w:val="en-ID"/>
        </w:rPr>
        <w:t xml:space="preserve">    </w:t>
      </w:r>
      <w:r w:rsidR="00B4762B">
        <w:rPr>
          <w:noProof/>
          <w:lang w:val="en-US" w:eastAsia="en-US"/>
        </w:rPr>
        <w:drawing>
          <wp:inline distT="0" distB="0" distL="0" distR="0" wp14:anchorId="20D42B67" wp14:editId="0691CBCA">
            <wp:extent cx="1820545" cy="1820545"/>
            <wp:effectExtent l="0" t="0" r="8255" b="8255"/>
            <wp:docPr id="176" name="Picture 176"/>
            <wp:cNvGraphicFramePr/>
            <a:graphic xmlns:a="http://schemas.openxmlformats.org/drawingml/2006/main">
              <a:graphicData uri="http://schemas.openxmlformats.org/drawingml/2006/picture">
                <pic:pic xmlns:pic="http://schemas.openxmlformats.org/drawingml/2006/picture">
                  <pic:nvPicPr>
                    <pic:cNvPr id="176" name="Picture 17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20545" cy="1820545"/>
                    </a:xfrm>
                    <a:prstGeom prst="rect">
                      <a:avLst/>
                    </a:prstGeom>
                  </pic:spPr>
                </pic:pic>
              </a:graphicData>
            </a:graphic>
          </wp:inline>
        </w:drawing>
      </w:r>
      <w:r>
        <w:rPr>
          <w:rFonts w:ascii="Century" w:hAnsi="Century"/>
          <w:lang w:val="en-ID"/>
        </w:rPr>
        <w:t xml:space="preserve">            </w:t>
      </w:r>
    </w:p>
    <w:p w14:paraId="743EA087" w14:textId="40B3DD29" w:rsidR="00B4762B" w:rsidRDefault="00E8276D" w:rsidP="00B4762B">
      <w:pPr>
        <w:autoSpaceDE w:val="0"/>
        <w:autoSpaceDN w:val="0"/>
        <w:adjustRightInd w:val="0"/>
        <w:ind w:firstLine="360"/>
      </w:pPr>
      <w:r w:rsidRPr="00A43231">
        <w:t xml:space="preserve">Gambar 2. Buku Saku Antisipasi </w:t>
      </w:r>
      <w:r w:rsidR="00B05EA0">
        <w:tab/>
      </w:r>
      <w:r w:rsidR="00B05EA0">
        <w:tab/>
      </w:r>
      <w:r w:rsidR="00B05EA0">
        <w:tab/>
        <w:t xml:space="preserve">       Gambar 3. </w:t>
      </w:r>
      <w:r w:rsidR="00B4762B">
        <w:t xml:space="preserve">Komunitas </w:t>
      </w:r>
      <w:r w:rsidR="00B05EA0">
        <w:t>PPA</w:t>
      </w:r>
    </w:p>
    <w:p w14:paraId="57D4C265" w14:textId="7B653818" w:rsidR="00E8276D" w:rsidRPr="00A43231" w:rsidRDefault="00E8276D" w:rsidP="00B4762B">
      <w:pPr>
        <w:autoSpaceDE w:val="0"/>
        <w:autoSpaceDN w:val="0"/>
        <w:adjustRightInd w:val="0"/>
        <w:ind w:firstLine="360"/>
      </w:pPr>
      <w:r w:rsidRPr="00A43231">
        <w:t>Kekerasan Pada Perempuan &amp; Anak</w:t>
      </w:r>
      <w:r w:rsidR="00B4762B">
        <w:tab/>
      </w:r>
      <w:r w:rsidR="00B4762B">
        <w:tab/>
      </w:r>
      <w:r w:rsidR="00B4762B">
        <w:tab/>
        <w:t xml:space="preserve">   </w:t>
      </w:r>
    </w:p>
    <w:p w14:paraId="211E6E1F" w14:textId="7D6FBE4D" w:rsidR="004B3FB3" w:rsidRPr="00EA1B37" w:rsidRDefault="004B3FB3" w:rsidP="00A43734">
      <w:pPr>
        <w:spacing w:line="276" w:lineRule="auto"/>
        <w:rPr>
          <w:rFonts w:ascii="Century" w:hAnsi="Century"/>
          <w:b/>
        </w:rPr>
      </w:pPr>
    </w:p>
    <w:p w14:paraId="277362AC" w14:textId="77777777" w:rsidR="004B3FB3" w:rsidRPr="00EA1B37" w:rsidRDefault="004B3FB3" w:rsidP="00A43734">
      <w:pPr>
        <w:spacing w:line="276" w:lineRule="auto"/>
        <w:rPr>
          <w:rFonts w:ascii="Century" w:hAnsi="Century"/>
          <w:b/>
        </w:rPr>
      </w:pPr>
      <w:r w:rsidRPr="00EA1B37">
        <w:rPr>
          <w:rFonts w:ascii="Century" w:hAnsi="Century"/>
          <w:b/>
        </w:rPr>
        <w:t>Monitoring dan Evaluasi</w:t>
      </w:r>
    </w:p>
    <w:p w14:paraId="75ABEF2F" w14:textId="41084A9F" w:rsidR="004B3FB3" w:rsidRPr="00A43231" w:rsidRDefault="00A43231" w:rsidP="00A43231">
      <w:pPr>
        <w:spacing w:line="276" w:lineRule="auto"/>
        <w:ind w:firstLine="720"/>
        <w:jc w:val="both"/>
        <w:rPr>
          <w:rFonts w:ascii="Century" w:hAnsi="Century"/>
          <w:b/>
        </w:rPr>
      </w:pPr>
      <w:r>
        <w:rPr>
          <w:rFonts w:ascii="Century" w:hAnsi="Century"/>
        </w:rPr>
        <w:t xml:space="preserve">Tim melakukan pretest dan postest. </w:t>
      </w:r>
      <w:r w:rsidR="004B3FB3" w:rsidRPr="00EA1B37">
        <w:rPr>
          <w:rFonts w:ascii="Century" w:hAnsi="Century"/>
        </w:rPr>
        <w:t xml:space="preserve">Sebelum pelaksanaan pemberdayaan relawan, wawasan serta sikap </w:t>
      </w:r>
      <w:r>
        <w:rPr>
          <w:rFonts w:ascii="Century" w:hAnsi="Century"/>
        </w:rPr>
        <w:t xml:space="preserve">relawan </w:t>
      </w:r>
      <w:r w:rsidR="004B3FB3" w:rsidRPr="00EA1B37">
        <w:rPr>
          <w:rFonts w:ascii="Century" w:hAnsi="Century"/>
        </w:rPr>
        <w:t>masih agak rendah. Hal ini dibuktikan dengan rata-rata nilai yang</w:t>
      </w:r>
      <w:r w:rsidR="004B3FB3" w:rsidRPr="00EA1B37">
        <w:rPr>
          <w:rFonts w:ascii="Century" w:hAnsi="Century"/>
          <w:spacing w:val="1"/>
        </w:rPr>
        <w:t xml:space="preserve"> </w:t>
      </w:r>
      <w:r w:rsidR="004B3FB3" w:rsidRPr="00EA1B37">
        <w:rPr>
          <w:rFonts w:ascii="Century" w:hAnsi="Century"/>
        </w:rPr>
        <w:t>diperoleh ketika pretest sebesar 57,2 %. Setelah Tim PKM melakukan pemberdayaan, terdapat peningkatan wawasan peserta sebesar 95</w:t>
      </w:r>
      <w:proofErr w:type="gramStart"/>
      <w:r w:rsidR="004B3FB3" w:rsidRPr="00EA1B37">
        <w:rPr>
          <w:rFonts w:ascii="Century" w:hAnsi="Century"/>
        </w:rPr>
        <w:t>,6</w:t>
      </w:r>
      <w:proofErr w:type="gramEnd"/>
      <w:r w:rsidR="004B3FB3" w:rsidRPr="00EA1B37">
        <w:rPr>
          <w:rFonts w:ascii="Century" w:hAnsi="Century"/>
        </w:rPr>
        <w:t xml:space="preserve"> % yang dibuktikan dengan</w:t>
      </w:r>
      <w:r w:rsidR="004B3FB3" w:rsidRPr="00EA1B37">
        <w:rPr>
          <w:rFonts w:ascii="Century" w:hAnsi="Century"/>
          <w:spacing w:val="1"/>
        </w:rPr>
        <w:t xml:space="preserve"> </w:t>
      </w:r>
      <w:r w:rsidR="004B3FB3" w:rsidRPr="00EA1B37">
        <w:rPr>
          <w:rFonts w:ascii="Century" w:hAnsi="Century"/>
        </w:rPr>
        <w:lastRenderedPageBreak/>
        <w:t>postest.</w:t>
      </w:r>
      <w:r>
        <w:rPr>
          <w:rFonts w:ascii="Century" w:hAnsi="Century"/>
        </w:rPr>
        <w:t xml:space="preserve"> </w:t>
      </w:r>
      <w:r w:rsidR="004B3FB3" w:rsidRPr="00EA1B37">
        <w:rPr>
          <w:rFonts w:ascii="Century" w:hAnsi="Century"/>
          <w:spacing w:val="-1"/>
        </w:rPr>
        <w:t>Tim</w:t>
      </w:r>
      <w:r w:rsidR="004B3FB3" w:rsidRPr="00EA1B37">
        <w:rPr>
          <w:rFonts w:ascii="Century" w:hAnsi="Century"/>
          <w:spacing w:val="-14"/>
        </w:rPr>
        <w:t xml:space="preserve"> </w:t>
      </w:r>
      <w:r w:rsidR="004B3FB3" w:rsidRPr="00EA1B37">
        <w:rPr>
          <w:rFonts w:ascii="Century" w:hAnsi="Century"/>
          <w:spacing w:val="-1"/>
        </w:rPr>
        <w:t>melakukan</w:t>
      </w:r>
      <w:r w:rsidR="004B3FB3" w:rsidRPr="00EA1B37">
        <w:rPr>
          <w:rFonts w:ascii="Century" w:hAnsi="Century"/>
          <w:spacing w:val="-15"/>
        </w:rPr>
        <w:t xml:space="preserve"> </w:t>
      </w:r>
      <w:r w:rsidR="004B3FB3" w:rsidRPr="00EA1B37">
        <w:rPr>
          <w:rFonts w:ascii="Century" w:hAnsi="Century"/>
          <w:spacing w:val="-1"/>
        </w:rPr>
        <w:t>analisis</w:t>
      </w:r>
      <w:r w:rsidR="004B3FB3" w:rsidRPr="00EA1B37">
        <w:rPr>
          <w:rFonts w:ascii="Century" w:hAnsi="Century"/>
          <w:spacing w:val="-14"/>
        </w:rPr>
        <w:t xml:space="preserve"> </w:t>
      </w:r>
      <w:r w:rsidR="004B3FB3" w:rsidRPr="00EA1B37">
        <w:rPr>
          <w:rFonts w:ascii="Century" w:hAnsi="Century"/>
        </w:rPr>
        <w:t>peningkatan</w:t>
      </w:r>
      <w:r w:rsidR="004B3FB3" w:rsidRPr="00EA1B37">
        <w:rPr>
          <w:rFonts w:ascii="Century" w:hAnsi="Century"/>
          <w:spacing w:val="-15"/>
        </w:rPr>
        <w:t xml:space="preserve"> </w:t>
      </w:r>
      <w:r w:rsidR="004B3FB3" w:rsidRPr="00EA1B37">
        <w:rPr>
          <w:rFonts w:ascii="Century" w:hAnsi="Century"/>
        </w:rPr>
        <w:t>wawasan</w:t>
      </w:r>
      <w:r w:rsidR="004B3FB3" w:rsidRPr="00EA1B37">
        <w:rPr>
          <w:rFonts w:ascii="Century" w:hAnsi="Century"/>
          <w:spacing w:val="-15"/>
        </w:rPr>
        <w:t xml:space="preserve"> </w:t>
      </w:r>
      <w:r w:rsidR="004B3FB3" w:rsidRPr="00EA1B37">
        <w:rPr>
          <w:rFonts w:ascii="Century" w:hAnsi="Century"/>
        </w:rPr>
        <w:t>dengan</w:t>
      </w:r>
      <w:r w:rsidR="004B3FB3" w:rsidRPr="00EA1B37">
        <w:rPr>
          <w:rFonts w:ascii="Century" w:hAnsi="Century"/>
          <w:spacing w:val="-15"/>
        </w:rPr>
        <w:t xml:space="preserve"> </w:t>
      </w:r>
      <w:r w:rsidR="004B3FB3" w:rsidRPr="00EA1B37">
        <w:rPr>
          <w:rFonts w:ascii="Century" w:hAnsi="Century"/>
        </w:rPr>
        <w:t>univariat</w:t>
      </w:r>
      <w:r w:rsidR="004B3FB3" w:rsidRPr="00EA1B37">
        <w:rPr>
          <w:rFonts w:ascii="Century" w:hAnsi="Century"/>
          <w:spacing w:val="-13"/>
        </w:rPr>
        <w:t xml:space="preserve"> </w:t>
      </w:r>
      <w:r w:rsidR="004B3FB3" w:rsidRPr="00EA1B37">
        <w:rPr>
          <w:rFonts w:ascii="Century" w:hAnsi="Century"/>
        </w:rPr>
        <w:t>prestes</w:t>
      </w:r>
      <w:r w:rsidR="004B3FB3" w:rsidRPr="00EA1B37">
        <w:rPr>
          <w:rFonts w:ascii="Century" w:hAnsi="Century"/>
          <w:spacing w:val="-15"/>
        </w:rPr>
        <w:t xml:space="preserve"> </w:t>
      </w:r>
      <w:r w:rsidR="004B3FB3" w:rsidRPr="00EA1B37">
        <w:rPr>
          <w:rFonts w:ascii="Century" w:hAnsi="Century"/>
        </w:rPr>
        <w:t>dan</w:t>
      </w:r>
      <w:r w:rsidR="004B3FB3" w:rsidRPr="00EA1B37">
        <w:rPr>
          <w:rFonts w:ascii="Century" w:hAnsi="Century"/>
          <w:spacing w:val="-12"/>
        </w:rPr>
        <w:t xml:space="preserve"> </w:t>
      </w:r>
      <w:r w:rsidR="004B3FB3" w:rsidRPr="00EA1B37">
        <w:rPr>
          <w:rFonts w:ascii="Century" w:hAnsi="Century"/>
        </w:rPr>
        <w:t>postes</w:t>
      </w:r>
      <w:r w:rsidR="004B3FB3" w:rsidRPr="00EA1B37">
        <w:rPr>
          <w:rFonts w:ascii="Century" w:hAnsi="Century"/>
          <w:spacing w:val="-12"/>
        </w:rPr>
        <w:t xml:space="preserve"> </w:t>
      </w:r>
      <w:r w:rsidR="004B3FB3" w:rsidRPr="00EA1B37">
        <w:rPr>
          <w:rFonts w:ascii="Century" w:hAnsi="Century"/>
        </w:rPr>
        <w:t>yang</w:t>
      </w:r>
      <w:r w:rsidR="004B3FB3" w:rsidRPr="00EA1B37">
        <w:rPr>
          <w:rFonts w:ascii="Century" w:hAnsi="Century"/>
          <w:spacing w:val="-57"/>
        </w:rPr>
        <w:t xml:space="preserve"> </w:t>
      </w:r>
      <w:r w:rsidR="004B3FB3" w:rsidRPr="00EA1B37">
        <w:rPr>
          <w:rFonts w:ascii="Century" w:hAnsi="Century"/>
        </w:rPr>
        <w:t>dibuktikan</w:t>
      </w:r>
      <w:r w:rsidR="004B3FB3" w:rsidRPr="00EA1B37">
        <w:rPr>
          <w:rFonts w:ascii="Century" w:hAnsi="Century"/>
          <w:spacing w:val="-1"/>
        </w:rPr>
        <w:t xml:space="preserve"> </w:t>
      </w:r>
      <w:r w:rsidR="004B3FB3" w:rsidRPr="00EA1B37">
        <w:rPr>
          <w:rFonts w:ascii="Century" w:hAnsi="Century"/>
        </w:rPr>
        <w:t>dengan tabel</w:t>
      </w:r>
      <w:r w:rsidR="004B3FB3" w:rsidRPr="00EA1B37">
        <w:rPr>
          <w:rFonts w:ascii="Century" w:hAnsi="Century"/>
          <w:spacing w:val="2"/>
        </w:rPr>
        <w:t xml:space="preserve"> </w:t>
      </w:r>
      <w:r w:rsidR="004B3FB3" w:rsidRPr="00EA1B37">
        <w:rPr>
          <w:rFonts w:ascii="Century" w:hAnsi="Century"/>
        </w:rPr>
        <w:t>dan grafik.</w:t>
      </w:r>
    </w:p>
    <w:p w14:paraId="6003C33A" w14:textId="77777777" w:rsidR="004B3FB3" w:rsidRPr="00A43231" w:rsidRDefault="004B3FB3" w:rsidP="004B3FB3">
      <w:pPr>
        <w:pStyle w:val="Heading1"/>
        <w:spacing w:before="0" w:after="0"/>
        <w:ind w:firstLine="720"/>
        <w:rPr>
          <w:rFonts w:ascii="Times New Roman" w:hAnsi="Times New Roman"/>
          <w:b w:val="0"/>
          <w:sz w:val="24"/>
          <w:szCs w:val="24"/>
        </w:rPr>
      </w:pPr>
    </w:p>
    <w:p w14:paraId="0B656A4E" w14:textId="78011762" w:rsidR="004B3FB3" w:rsidRPr="00A43231" w:rsidRDefault="00A43231" w:rsidP="004B3FB3">
      <w:pPr>
        <w:pStyle w:val="Heading1"/>
        <w:spacing w:before="0" w:after="0"/>
        <w:ind w:firstLine="720"/>
        <w:rPr>
          <w:rFonts w:ascii="Times New Roman" w:hAnsi="Times New Roman"/>
          <w:b w:val="0"/>
          <w:sz w:val="24"/>
          <w:szCs w:val="24"/>
        </w:rPr>
      </w:pPr>
      <w:r w:rsidRPr="00A43231">
        <w:rPr>
          <w:rFonts w:ascii="Times New Roman" w:hAnsi="Times New Roman"/>
          <w:b w:val="0"/>
          <w:sz w:val="24"/>
          <w:szCs w:val="24"/>
        </w:rPr>
        <w:t>Tabel 1</w:t>
      </w:r>
      <w:r w:rsidR="004B3FB3" w:rsidRPr="00A43231">
        <w:rPr>
          <w:rFonts w:ascii="Times New Roman" w:hAnsi="Times New Roman"/>
          <w:b w:val="0"/>
          <w:sz w:val="24"/>
          <w:szCs w:val="24"/>
        </w:rPr>
        <w:t>.</w:t>
      </w:r>
      <w:r w:rsidR="004B3FB3" w:rsidRPr="00A43231">
        <w:rPr>
          <w:rFonts w:ascii="Times New Roman" w:hAnsi="Times New Roman"/>
          <w:b w:val="0"/>
          <w:spacing w:val="-1"/>
          <w:sz w:val="24"/>
          <w:szCs w:val="24"/>
        </w:rPr>
        <w:t xml:space="preserve">  </w:t>
      </w:r>
      <w:r w:rsidR="004B3FB3" w:rsidRPr="00A43231">
        <w:rPr>
          <w:rFonts w:ascii="Times New Roman" w:hAnsi="Times New Roman"/>
          <w:b w:val="0"/>
          <w:sz w:val="24"/>
          <w:szCs w:val="24"/>
        </w:rPr>
        <w:t>Hasil</w:t>
      </w:r>
      <w:r w:rsidR="004B3FB3" w:rsidRPr="00A43231">
        <w:rPr>
          <w:rFonts w:ascii="Times New Roman" w:hAnsi="Times New Roman"/>
          <w:b w:val="0"/>
          <w:spacing w:val="-1"/>
          <w:sz w:val="24"/>
          <w:szCs w:val="24"/>
        </w:rPr>
        <w:t xml:space="preserve"> </w:t>
      </w:r>
      <w:r w:rsidR="004B3FB3" w:rsidRPr="00A43231">
        <w:rPr>
          <w:rFonts w:ascii="Times New Roman" w:hAnsi="Times New Roman"/>
          <w:b w:val="0"/>
          <w:sz w:val="24"/>
          <w:szCs w:val="24"/>
        </w:rPr>
        <w:t>analisis</w:t>
      </w:r>
      <w:r w:rsidR="004B3FB3" w:rsidRPr="00A43231">
        <w:rPr>
          <w:rFonts w:ascii="Times New Roman" w:hAnsi="Times New Roman"/>
          <w:b w:val="0"/>
          <w:spacing w:val="-3"/>
          <w:sz w:val="24"/>
          <w:szCs w:val="24"/>
        </w:rPr>
        <w:t xml:space="preserve"> </w:t>
      </w:r>
      <w:r w:rsidR="004B3FB3" w:rsidRPr="00A43231">
        <w:rPr>
          <w:rFonts w:ascii="Times New Roman" w:hAnsi="Times New Roman"/>
          <w:b w:val="0"/>
          <w:sz w:val="24"/>
          <w:szCs w:val="24"/>
        </w:rPr>
        <w:t>univariat</w:t>
      </w:r>
      <w:r w:rsidR="004B3FB3" w:rsidRPr="00A43231">
        <w:rPr>
          <w:rFonts w:ascii="Times New Roman" w:hAnsi="Times New Roman"/>
          <w:b w:val="0"/>
          <w:spacing w:val="-2"/>
          <w:sz w:val="24"/>
          <w:szCs w:val="24"/>
        </w:rPr>
        <w:t xml:space="preserve"> </w:t>
      </w:r>
      <w:r w:rsidR="004B3FB3" w:rsidRPr="00A43231">
        <w:rPr>
          <w:rFonts w:ascii="Times New Roman" w:hAnsi="Times New Roman"/>
          <w:b w:val="0"/>
          <w:sz w:val="24"/>
          <w:szCs w:val="24"/>
        </w:rPr>
        <w:t>pre</w:t>
      </w:r>
      <w:r w:rsidR="004B3FB3" w:rsidRPr="00A43231">
        <w:rPr>
          <w:rFonts w:ascii="Times New Roman" w:hAnsi="Times New Roman"/>
          <w:b w:val="0"/>
          <w:spacing w:val="-2"/>
          <w:sz w:val="24"/>
          <w:szCs w:val="24"/>
        </w:rPr>
        <w:t xml:space="preserve"> </w:t>
      </w:r>
      <w:r w:rsidR="004B3FB3" w:rsidRPr="00A43231">
        <w:rPr>
          <w:rFonts w:ascii="Times New Roman" w:hAnsi="Times New Roman"/>
          <w:b w:val="0"/>
          <w:sz w:val="24"/>
          <w:szCs w:val="24"/>
        </w:rPr>
        <w:t>test</w:t>
      </w:r>
      <w:r w:rsidR="004B3FB3" w:rsidRPr="00A43231">
        <w:rPr>
          <w:rFonts w:ascii="Times New Roman" w:hAnsi="Times New Roman"/>
          <w:b w:val="0"/>
          <w:spacing w:val="1"/>
          <w:sz w:val="24"/>
          <w:szCs w:val="24"/>
        </w:rPr>
        <w:t xml:space="preserve"> </w:t>
      </w:r>
      <w:r w:rsidR="004B3FB3" w:rsidRPr="00A43231">
        <w:rPr>
          <w:rFonts w:ascii="Times New Roman" w:hAnsi="Times New Roman"/>
          <w:b w:val="0"/>
          <w:sz w:val="24"/>
          <w:szCs w:val="24"/>
        </w:rPr>
        <w:t>dan</w:t>
      </w:r>
      <w:r w:rsidR="004B3FB3" w:rsidRPr="00A43231">
        <w:rPr>
          <w:rFonts w:ascii="Times New Roman" w:hAnsi="Times New Roman"/>
          <w:b w:val="0"/>
          <w:spacing w:val="-1"/>
          <w:sz w:val="24"/>
          <w:szCs w:val="24"/>
        </w:rPr>
        <w:t xml:space="preserve"> </w:t>
      </w:r>
      <w:r w:rsidR="004B3FB3" w:rsidRPr="00A43231">
        <w:rPr>
          <w:rFonts w:ascii="Times New Roman" w:hAnsi="Times New Roman"/>
          <w:b w:val="0"/>
          <w:sz w:val="24"/>
          <w:szCs w:val="24"/>
        </w:rPr>
        <w:t>post</w:t>
      </w:r>
      <w:r w:rsidR="004B3FB3" w:rsidRPr="00A43231">
        <w:rPr>
          <w:rFonts w:ascii="Times New Roman" w:hAnsi="Times New Roman"/>
          <w:b w:val="0"/>
          <w:spacing w:val="-1"/>
          <w:sz w:val="24"/>
          <w:szCs w:val="24"/>
        </w:rPr>
        <w:t xml:space="preserve"> </w:t>
      </w:r>
      <w:r w:rsidR="004B3FB3" w:rsidRPr="00A43231">
        <w:rPr>
          <w:rFonts w:ascii="Times New Roman" w:hAnsi="Times New Roman"/>
          <w:b w:val="0"/>
          <w:sz w:val="24"/>
          <w:szCs w:val="24"/>
        </w:rPr>
        <w:t>test</w:t>
      </w:r>
    </w:p>
    <w:p w14:paraId="4CABEAD5" w14:textId="77777777" w:rsidR="004B3FB3" w:rsidRDefault="004B3FB3" w:rsidP="004B3FB3">
      <w:pPr>
        <w:pStyle w:val="BodyText"/>
        <w:rPr>
          <w:b/>
          <w:sz w:val="12"/>
        </w:rPr>
      </w:pPr>
    </w:p>
    <w:tbl>
      <w:tblPr>
        <w:tblW w:w="90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5"/>
        <w:gridCol w:w="790"/>
        <w:gridCol w:w="789"/>
        <w:gridCol w:w="628"/>
        <w:gridCol w:w="791"/>
        <w:gridCol w:w="580"/>
        <w:gridCol w:w="998"/>
        <w:gridCol w:w="628"/>
        <w:gridCol w:w="789"/>
        <w:gridCol w:w="788"/>
        <w:gridCol w:w="788"/>
      </w:tblGrid>
      <w:tr w:rsidR="004B3FB3" w14:paraId="0B67F94D" w14:textId="77777777" w:rsidTr="001139F6">
        <w:trPr>
          <w:trHeight w:val="63"/>
        </w:trPr>
        <w:tc>
          <w:tcPr>
            <w:tcW w:w="1525" w:type="dxa"/>
            <w:vMerge w:val="restart"/>
          </w:tcPr>
          <w:p w14:paraId="7A5CC591" w14:textId="77777777" w:rsidR="004B3FB3" w:rsidRPr="00DF0330" w:rsidRDefault="004B3FB3" w:rsidP="001139F6">
            <w:pPr>
              <w:pStyle w:val="TableParagraph"/>
              <w:ind w:left="175"/>
              <w:rPr>
                <w:sz w:val="20"/>
                <w:szCs w:val="20"/>
              </w:rPr>
            </w:pPr>
            <w:r w:rsidRPr="00DF0330">
              <w:rPr>
                <w:sz w:val="20"/>
                <w:szCs w:val="20"/>
              </w:rPr>
              <w:t>Responden</w:t>
            </w:r>
          </w:p>
        </w:tc>
        <w:tc>
          <w:tcPr>
            <w:tcW w:w="2998" w:type="dxa"/>
            <w:gridSpan w:val="4"/>
          </w:tcPr>
          <w:p w14:paraId="541443DC" w14:textId="77777777" w:rsidR="004B3FB3" w:rsidRPr="00DF0330" w:rsidRDefault="004B3FB3" w:rsidP="001139F6">
            <w:pPr>
              <w:pStyle w:val="TableParagraph"/>
              <w:ind w:left="1084" w:right="1073"/>
              <w:jc w:val="center"/>
              <w:rPr>
                <w:sz w:val="20"/>
                <w:szCs w:val="20"/>
              </w:rPr>
            </w:pPr>
            <w:r w:rsidRPr="00DF0330">
              <w:rPr>
                <w:sz w:val="20"/>
                <w:szCs w:val="20"/>
              </w:rPr>
              <w:t>Pre</w:t>
            </w:r>
            <w:r w:rsidRPr="00DF0330">
              <w:rPr>
                <w:spacing w:val="-3"/>
                <w:sz w:val="20"/>
                <w:szCs w:val="20"/>
              </w:rPr>
              <w:t xml:space="preserve"> </w:t>
            </w:r>
            <w:r w:rsidRPr="00DF0330">
              <w:rPr>
                <w:sz w:val="20"/>
                <w:szCs w:val="20"/>
              </w:rPr>
              <w:t>Test</w:t>
            </w:r>
          </w:p>
        </w:tc>
        <w:tc>
          <w:tcPr>
            <w:tcW w:w="2995" w:type="dxa"/>
            <w:gridSpan w:val="4"/>
          </w:tcPr>
          <w:p w14:paraId="287C3640" w14:textId="77777777" w:rsidR="004B3FB3" w:rsidRPr="00DF0330" w:rsidRDefault="004B3FB3" w:rsidP="001139F6">
            <w:pPr>
              <w:pStyle w:val="TableParagraph"/>
              <w:ind w:left="1039" w:right="1020"/>
              <w:jc w:val="center"/>
              <w:rPr>
                <w:sz w:val="20"/>
                <w:szCs w:val="20"/>
              </w:rPr>
            </w:pPr>
            <w:r w:rsidRPr="00DF0330">
              <w:rPr>
                <w:sz w:val="20"/>
                <w:szCs w:val="20"/>
              </w:rPr>
              <w:t>Post</w:t>
            </w:r>
            <w:r w:rsidRPr="00DF0330">
              <w:rPr>
                <w:spacing w:val="-1"/>
                <w:sz w:val="20"/>
                <w:szCs w:val="20"/>
              </w:rPr>
              <w:t xml:space="preserve"> </w:t>
            </w:r>
            <w:r w:rsidRPr="00DF0330">
              <w:rPr>
                <w:sz w:val="20"/>
                <w:szCs w:val="20"/>
              </w:rPr>
              <w:t>Test</w:t>
            </w:r>
          </w:p>
        </w:tc>
        <w:tc>
          <w:tcPr>
            <w:tcW w:w="1576" w:type="dxa"/>
            <w:gridSpan w:val="2"/>
          </w:tcPr>
          <w:p w14:paraId="4039FB3C" w14:textId="77777777" w:rsidR="004B3FB3" w:rsidRPr="00DF0330" w:rsidRDefault="004B3FB3" w:rsidP="001139F6">
            <w:pPr>
              <w:pStyle w:val="TableParagraph"/>
              <w:ind w:left="541"/>
              <w:rPr>
                <w:sz w:val="20"/>
                <w:szCs w:val="20"/>
              </w:rPr>
            </w:pPr>
            <w:r w:rsidRPr="00DF0330">
              <w:rPr>
                <w:sz w:val="20"/>
                <w:szCs w:val="20"/>
              </w:rPr>
              <w:t>Total</w:t>
            </w:r>
          </w:p>
        </w:tc>
      </w:tr>
      <w:tr w:rsidR="004B3FB3" w14:paraId="7B23B0EB" w14:textId="77777777" w:rsidTr="001139F6">
        <w:trPr>
          <w:trHeight w:val="311"/>
        </w:trPr>
        <w:tc>
          <w:tcPr>
            <w:tcW w:w="1525" w:type="dxa"/>
            <w:vMerge/>
            <w:tcBorders>
              <w:top w:val="nil"/>
            </w:tcBorders>
          </w:tcPr>
          <w:p w14:paraId="2ED3C3E8" w14:textId="77777777" w:rsidR="004B3FB3" w:rsidRPr="00DF0330" w:rsidRDefault="004B3FB3" w:rsidP="001139F6">
            <w:pPr>
              <w:rPr>
                <w:sz w:val="20"/>
                <w:szCs w:val="20"/>
              </w:rPr>
            </w:pPr>
          </w:p>
        </w:tc>
        <w:tc>
          <w:tcPr>
            <w:tcW w:w="1579" w:type="dxa"/>
            <w:gridSpan w:val="2"/>
          </w:tcPr>
          <w:p w14:paraId="0D0F7952" w14:textId="77777777" w:rsidR="004B3FB3" w:rsidRPr="00DF0330" w:rsidRDefault="004B3FB3" w:rsidP="001139F6">
            <w:pPr>
              <w:pStyle w:val="TableParagraph"/>
              <w:ind w:left="501"/>
              <w:rPr>
                <w:sz w:val="20"/>
                <w:szCs w:val="20"/>
              </w:rPr>
            </w:pPr>
            <w:r w:rsidRPr="00DF0330">
              <w:rPr>
                <w:sz w:val="20"/>
                <w:szCs w:val="20"/>
              </w:rPr>
              <w:t>Benar</w:t>
            </w:r>
          </w:p>
        </w:tc>
        <w:tc>
          <w:tcPr>
            <w:tcW w:w="1419" w:type="dxa"/>
            <w:gridSpan w:val="2"/>
          </w:tcPr>
          <w:p w14:paraId="25ADF0B1" w14:textId="77777777" w:rsidR="004B3FB3" w:rsidRPr="00DF0330" w:rsidRDefault="004B3FB3" w:rsidP="001139F6">
            <w:pPr>
              <w:pStyle w:val="TableParagraph"/>
              <w:ind w:left="463"/>
              <w:rPr>
                <w:sz w:val="20"/>
                <w:szCs w:val="20"/>
              </w:rPr>
            </w:pPr>
            <w:r>
              <w:rPr>
                <w:sz w:val="20"/>
                <w:szCs w:val="20"/>
                <w:lang w:val="en-ID"/>
              </w:rPr>
              <w:t>S</w:t>
            </w:r>
            <w:r w:rsidRPr="00DF0330">
              <w:rPr>
                <w:sz w:val="20"/>
                <w:szCs w:val="20"/>
              </w:rPr>
              <w:t>alah</w:t>
            </w:r>
          </w:p>
        </w:tc>
        <w:tc>
          <w:tcPr>
            <w:tcW w:w="1578" w:type="dxa"/>
            <w:gridSpan w:val="2"/>
          </w:tcPr>
          <w:p w14:paraId="1CF78F18" w14:textId="77777777" w:rsidR="004B3FB3" w:rsidRPr="00DF0330" w:rsidRDefault="004B3FB3" w:rsidP="001139F6">
            <w:pPr>
              <w:pStyle w:val="TableParagraph"/>
              <w:ind w:left="504"/>
              <w:rPr>
                <w:sz w:val="20"/>
                <w:szCs w:val="20"/>
              </w:rPr>
            </w:pPr>
            <w:r w:rsidRPr="00DF0330">
              <w:rPr>
                <w:sz w:val="20"/>
                <w:szCs w:val="20"/>
              </w:rPr>
              <w:t>Benar</w:t>
            </w:r>
          </w:p>
        </w:tc>
        <w:tc>
          <w:tcPr>
            <w:tcW w:w="1417" w:type="dxa"/>
            <w:gridSpan w:val="2"/>
          </w:tcPr>
          <w:p w14:paraId="6039488F" w14:textId="77777777" w:rsidR="004B3FB3" w:rsidRPr="00DF0330" w:rsidRDefault="004B3FB3" w:rsidP="001139F6">
            <w:pPr>
              <w:pStyle w:val="TableParagraph"/>
              <w:ind w:left="467"/>
              <w:rPr>
                <w:sz w:val="20"/>
                <w:szCs w:val="20"/>
              </w:rPr>
            </w:pPr>
            <w:r>
              <w:rPr>
                <w:sz w:val="20"/>
                <w:szCs w:val="20"/>
                <w:lang w:val="en-ID"/>
              </w:rPr>
              <w:t>Sa</w:t>
            </w:r>
            <w:r w:rsidRPr="00DF0330">
              <w:rPr>
                <w:sz w:val="20"/>
                <w:szCs w:val="20"/>
              </w:rPr>
              <w:t>lah</w:t>
            </w:r>
          </w:p>
        </w:tc>
        <w:tc>
          <w:tcPr>
            <w:tcW w:w="788" w:type="dxa"/>
            <w:vMerge w:val="restart"/>
          </w:tcPr>
          <w:p w14:paraId="10A182AC" w14:textId="77777777" w:rsidR="004B3FB3" w:rsidRPr="00DF0330" w:rsidRDefault="004B3FB3" w:rsidP="001139F6">
            <w:pPr>
              <w:pStyle w:val="TableParagraph"/>
              <w:ind w:left="20"/>
              <w:jc w:val="center"/>
              <w:rPr>
                <w:sz w:val="20"/>
                <w:szCs w:val="20"/>
              </w:rPr>
            </w:pPr>
            <w:r w:rsidRPr="00DF0330">
              <w:rPr>
                <w:w w:val="99"/>
                <w:sz w:val="20"/>
                <w:szCs w:val="20"/>
              </w:rPr>
              <w:t>F</w:t>
            </w:r>
          </w:p>
        </w:tc>
        <w:tc>
          <w:tcPr>
            <w:tcW w:w="788" w:type="dxa"/>
            <w:vMerge w:val="restart"/>
          </w:tcPr>
          <w:p w14:paraId="1F1EC978" w14:textId="77777777" w:rsidR="004B3FB3" w:rsidRPr="00DF0330" w:rsidRDefault="004B3FB3" w:rsidP="001139F6">
            <w:pPr>
              <w:pStyle w:val="TableParagraph"/>
              <w:ind w:left="27"/>
              <w:jc w:val="center"/>
              <w:rPr>
                <w:sz w:val="20"/>
                <w:szCs w:val="20"/>
              </w:rPr>
            </w:pPr>
            <w:r w:rsidRPr="00DF0330">
              <w:rPr>
                <w:w w:val="99"/>
                <w:sz w:val="20"/>
                <w:szCs w:val="20"/>
              </w:rPr>
              <w:t>%</w:t>
            </w:r>
          </w:p>
        </w:tc>
      </w:tr>
      <w:tr w:rsidR="004B3FB3" w14:paraId="1747EAC4" w14:textId="77777777" w:rsidTr="001139F6">
        <w:trPr>
          <w:trHeight w:val="302"/>
        </w:trPr>
        <w:tc>
          <w:tcPr>
            <w:tcW w:w="1525" w:type="dxa"/>
            <w:vMerge/>
            <w:tcBorders>
              <w:top w:val="nil"/>
            </w:tcBorders>
          </w:tcPr>
          <w:p w14:paraId="23472DA5" w14:textId="77777777" w:rsidR="004B3FB3" w:rsidRPr="00DF0330" w:rsidRDefault="004B3FB3" w:rsidP="001139F6">
            <w:pPr>
              <w:rPr>
                <w:sz w:val="20"/>
                <w:szCs w:val="20"/>
              </w:rPr>
            </w:pPr>
          </w:p>
        </w:tc>
        <w:tc>
          <w:tcPr>
            <w:tcW w:w="790" w:type="dxa"/>
          </w:tcPr>
          <w:p w14:paraId="7CAED998" w14:textId="77777777" w:rsidR="004B3FB3" w:rsidRPr="00DF0330" w:rsidRDefault="004B3FB3" w:rsidP="001139F6">
            <w:pPr>
              <w:pStyle w:val="TableParagraph"/>
              <w:ind w:right="318"/>
              <w:jc w:val="right"/>
              <w:rPr>
                <w:sz w:val="20"/>
                <w:szCs w:val="20"/>
              </w:rPr>
            </w:pPr>
            <w:r w:rsidRPr="00DF0330">
              <w:rPr>
                <w:w w:val="99"/>
                <w:sz w:val="20"/>
                <w:szCs w:val="20"/>
              </w:rPr>
              <w:t>F</w:t>
            </w:r>
          </w:p>
        </w:tc>
        <w:tc>
          <w:tcPr>
            <w:tcW w:w="789" w:type="dxa"/>
          </w:tcPr>
          <w:p w14:paraId="5ADEA76F" w14:textId="77777777" w:rsidR="004B3FB3" w:rsidRPr="00DF0330" w:rsidRDefault="004B3FB3" w:rsidP="001139F6">
            <w:pPr>
              <w:pStyle w:val="TableParagraph"/>
              <w:ind w:left="11"/>
              <w:jc w:val="center"/>
              <w:rPr>
                <w:sz w:val="20"/>
                <w:szCs w:val="20"/>
              </w:rPr>
            </w:pPr>
            <w:r w:rsidRPr="00DF0330">
              <w:rPr>
                <w:w w:val="99"/>
                <w:sz w:val="20"/>
                <w:szCs w:val="20"/>
              </w:rPr>
              <w:t>%</w:t>
            </w:r>
          </w:p>
        </w:tc>
        <w:tc>
          <w:tcPr>
            <w:tcW w:w="628" w:type="dxa"/>
          </w:tcPr>
          <w:p w14:paraId="2ACA3A0C" w14:textId="77777777" w:rsidR="004B3FB3" w:rsidRPr="00DF0330" w:rsidRDefault="004B3FB3" w:rsidP="001139F6">
            <w:pPr>
              <w:pStyle w:val="TableParagraph"/>
              <w:ind w:left="14"/>
              <w:jc w:val="center"/>
              <w:rPr>
                <w:sz w:val="20"/>
                <w:szCs w:val="20"/>
              </w:rPr>
            </w:pPr>
            <w:r w:rsidRPr="00DF0330">
              <w:rPr>
                <w:w w:val="99"/>
                <w:sz w:val="20"/>
                <w:szCs w:val="20"/>
              </w:rPr>
              <w:t>f</w:t>
            </w:r>
          </w:p>
        </w:tc>
        <w:tc>
          <w:tcPr>
            <w:tcW w:w="791" w:type="dxa"/>
          </w:tcPr>
          <w:p w14:paraId="2B21A757" w14:textId="77777777" w:rsidR="004B3FB3" w:rsidRPr="00DF0330" w:rsidRDefault="004B3FB3" w:rsidP="001139F6">
            <w:pPr>
              <w:pStyle w:val="TableParagraph"/>
              <w:ind w:left="296"/>
              <w:rPr>
                <w:sz w:val="20"/>
                <w:szCs w:val="20"/>
              </w:rPr>
            </w:pPr>
            <w:r w:rsidRPr="00DF0330">
              <w:rPr>
                <w:w w:val="99"/>
                <w:sz w:val="20"/>
                <w:szCs w:val="20"/>
              </w:rPr>
              <w:t>%</w:t>
            </w:r>
          </w:p>
        </w:tc>
        <w:tc>
          <w:tcPr>
            <w:tcW w:w="580" w:type="dxa"/>
          </w:tcPr>
          <w:p w14:paraId="451D8B4C" w14:textId="77777777" w:rsidR="004B3FB3" w:rsidRPr="00DF0330" w:rsidRDefault="004B3FB3" w:rsidP="001139F6">
            <w:pPr>
              <w:pStyle w:val="TableParagraph"/>
              <w:ind w:right="337"/>
              <w:jc w:val="right"/>
              <w:rPr>
                <w:sz w:val="20"/>
                <w:szCs w:val="20"/>
              </w:rPr>
            </w:pPr>
            <w:r w:rsidRPr="00DF0330">
              <w:rPr>
                <w:w w:val="99"/>
                <w:sz w:val="20"/>
                <w:szCs w:val="20"/>
              </w:rPr>
              <w:t>f</w:t>
            </w:r>
          </w:p>
        </w:tc>
        <w:tc>
          <w:tcPr>
            <w:tcW w:w="998" w:type="dxa"/>
          </w:tcPr>
          <w:p w14:paraId="1975C285" w14:textId="77777777" w:rsidR="004B3FB3" w:rsidRPr="00DF0330" w:rsidRDefault="004B3FB3" w:rsidP="001139F6">
            <w:pPr>
              <w:pStyle w:val="TableParagraph"/>
              <w:ind w:left="15"/>
              <w:jc w:val="center"/>
              <w:rPr>
                <w:sz w:val="20"/>
                <w:szCs w:val="20"/>
              </w:rPr>
            </w:pPr>
            <w:r w:rsidRPr="00DF0330">
              <w:rPr>
                <w:w w:val="99"/>
                <w:sz w:val="20"/>
                <w:szCs w:val="20"/>
              </w:rPr>
              <w:t>%</w:t>
            </w:r>
          </w:p>
        </w:tc>
        <w:tc>
          <w:tcPr>
            <w:tcW w:w="628" w:type="dxa"/>
          </w:tcPr>
          <w:p w14:paraId="55B42EF9" w14:textId="77777777" w:rsidR="004B3FB3" w:rsidRPr="00DF0330" w:rsidRDefault="004B3FB3" w:rsidP="001139F6">
            <w:pPr>
              <w:pStyle w:val="TableParagraph"/>
              <w:ind w:left="17"/>
              <w:jc w:val="center"/>
              <w:rPr>
                <w:sz w:val="20"/>
                <w:szCs w:val="20"/>
              </w:rPr>
            </w:pPr>
            <w:r w:rsidRPr="00DF0330">
              <w:rPr>
                <w:w w:val="99"/>
                <w:sz w:val="20"/>
                <w:szCs w:val="20"/>
              </w:rPr>
              <w:t>F</w:t>
            </w:r>
          </w:p>
        </w:tc>
        <w:tc>
          <w:tcPr>
            <w:tcW w:w="789" w:type="dxa"/>
          </w:tcPr>
          <w:p w14:paraId="7C7AEB4F" w14:textId="77777777" w:rsidR="004B3FB3" w:rsidRPr="00DF0330" w:rsidRDefault="004B3FB3" w:rsidP="001139F6">
            <w:pPr>
              <w:pStyle w:val="TableParagraph"/>
              <w:ind w:left="20"/>
              <w:jc w:val="center"/>
              <w:rPr>
                <w:sz w:val="20"/>
                <w:szCs w:val="20"/>
              </w:rPr>
            </w:pPr>
            <w:r w:rsidRPr="00DF0330">
              <w:rPr>
                <w:w w:val="99"/>
                <w:sz w:val="20"/>
                <w:szCs w:val="20"/>
              </w:rPr>
              <w:t>%</w:t>
            </w:r>
          </w:p>
        </w:tc>
        <w:tc>
          <w:tcPr>
            <w:tcW w:w="788" w:type="dxa"/>
            <w:vMerge/>
            <w:tcBorders>
              <w:top w:val="nil"/>
            </w:tcBorders>
          </w:tcPr>
          <w:p w14:paraId="12A22246" w14:textId="77777777" w:rsidR="004B3FB3" w:rsidRPr="00DF0330" w:rsidRDefault="004B3FB3" w:rsidP="001139F6">
            <w:pPr>
              <w:rPr>
                <w:sz w:val="20"/>
                <w:szCs w:val="20"/>
              </w:rPr>
            </w:pPr>
          </w:p>
        </w:tc>
        <w:tc>
          <w:tcPr>
            <w:tcW w:w="788" w:type="dxa"/>
            <w:vMerge/>
            <w:tcBorders>
              <w:top w:val="nil"/>
            </w:tcBorders>
          </w:tcPr>
          <w:p w14:paraId="7109928C" w14:textId="77777777" w:rsidR="004B3FB3" w:rsidRPr="00DF0330" w:rsidRDefault="004B3FB3" w:rsidP="001139F6">
            <w:pPr>
              <w:rPr>
                <w:sz w:val="20"/>
                <w:szCs w:val="20"/>
              </w:rPr>
            </w:pPr>
          </w:p>
        </w:tc>
      </w:tr>
      <w:tr w:rsidR="004B3FB3" w:rsidRPr="004928A6" w14:paraId="666EEFA6" w14:textId="77777777" w:rsidTr="001139F6">
        <w:trPr>
          <w:trHeight w:val="290"/>
        </w:trPr>
        <w:tc>
          <w:tcPr>
            <w:tcW w:w="1525" w:type="dxa"/>
          </w:tcPr>
          <w:p w14:paraId="3D0615E1" w14:textId="77777777" w:rsidR="004B3FB3" w:rsidRPr="004928A6" w:rsidRDefault="004B3FB3" w:rsidP="001139F6">
            <w:pPr>
              <w:pStyle w:val="TableParagraph"/>
              <w:ind w:left="546" w:right="539"/>
              <w:jc w:val="center"/>
              <w:rPr>
                <w:sz w:val="20"/>
                <w:szCs w:val="20"/>
              </w:rPr>
            </w:pPr>
            <w:r w:rsidRPr="004928A6">
              <w:rPr>
                <w:sz w:val="20"/>
                <w:szCs w:val="20"/>
              </w:rPr>
              <w:t>R1</w:t>
            </w:r>
          </w:p>
        </w:tc>
        <w:tc>
          <w:tcPr>
            <w:tcW w:w="790" w:type="dxa"/>
          </w:tcPr>
          <w:p w14:paraId="2D8226D1" w14:textId="77777777" w:rsidR="004B3FB3" w:rsidRPr="004928A6" w:rsidRDefault="004B3FB3" w:rsidP="001139F6">
            <w:pPr>
              <w:pStyle w:val="TableParagraph"/>
              <w:ind w:right="264"/>
              <w:jc w:val="right"/>
              <w:rPr>
                <w:sz w:val="20"/>
                <w:szCs w:val="20"/>
              </w:rPr>
            </w:pPr>
            <w:r w:rsidRPr="004928A6">
              <w:rPr>
                <w:sz w:val="20"/>
                <w:szCs w:val="20"/>
              </w:rPr>
              <w:t>12</w:t>
            </w:r>
          </w:p>
        </w:tc>
        <w:tc>
          <w:tcPr>
            <w:tcW w:w="789" w:type="dxa"/>
          </w:tcPr>
          <w:p w14:paraId="7517DDBD" w14:textId="77777777" w:rsidR="004B3FB3" w:rsidRPr="004928A6" w:rsidRDefault="004B3FB3" w:rsidP="001139F6">
            <w:pPr>
              <w:pStyle w:val="TableParagraph"/>
              <w:ind w:left="107"/>
              <w:rPr>
                <w:sz w:val="20"/>
                <w:szCs w:val="20"/>
              </w:rPr>
            </w:pPr>
            <w:r w:rsidRPr="004928A6">
              <w:rPr>
                <w:sz w:val="20"/>
                <w:szCs w:val="20"/>
              </w:rPr>
              <w:t>48</w:t>
            </w:r>
          </w:p>
        </w:tc>
        <w:tc>
          <w:tcPr>
            <w:tcW w:w="628" w:type="dxa"/>
          </w:tcPr>
          <w:p w14:paraId="2FA2963F" w14:textId="77777777" w:rsidR="004B3FB3" w:rsidRPr="004928A6" w:rsidRDefault="004B3FB3" w:rsidP="001139F6">
            <w:pPr>
              <w:pStyle w:val="TableParagraph"/>
              <w:ind w:left="108"/>
              <w:rPr>
                <w:sz w:val="20"/>
                <w:szCs w:val="20"/>
              </w:rPr>
            </w:pPr>
            <w:r w:rsidRPr="004928A6">
              <w:rPr>
                <w:sz w:val="20"/>
                <w:szCs w:val="20"/>
              </w:rPr>
              <w:t>13</w:t>
            </w:r>
          </w:p>
        </w:tc>
        <w:tc>
          <w:tcPr>
            <w:tcW w:w="791" w:type="dxa"/>
          </w:tcPr>
          <w:p w14:paraId="0B6AA8A9" w14:textId="77777777" w:rsidR="004B3FB3" w:rsidRPr="004928A6" w:rsidRDefault="004B3FB3" w:rsidP="001139F6">
            <w:pPr>
              <w:pStyle w:val="TableParagraph"/>
              <w:ind w:left="274"/>
              <w:rPr>
                <w:sz w:val="20"/>
                <w:szCs w:val="20"/>
              </w:rPr>
            </w:pPr>
            <w:r w:rsidRPr="004928A6">
              <w:rPr>
                <w:sz w:val="20"/>
                <w:szCs w:val="20"/>
              </w:rPr>
              <w:t>52</w:t>
            </w:r>
          </w:p>
        </w:tc>
        <w:tc>
          <w:tcPr>
            <w:tcW w:w="580" w:type="dxa"/>
          </w:tcPr>
          <w:p w14:paraId="15D51099" w14:textId="77777777" w:rsidR="004B3FB3" w:rsidRPr="004928A6" w:rsidRDefault="004B3FB3" w:rsidP="001139F6">
            <w:pPr>
              <w:pStyle w:val="TableParagraph"/>
              <w:ind w:right="258"/>
              <w:jc w:val="right"/>
              <w:rPr>
                <w:sz w:val="20"/>
                <w:szCs w:val="20"/>
              </w:rPr>
            </w:pPr>
            <w:r w:rsidRPr="004928A6">
              <w:rPr>
                <w:sz w:val="20"/>
                <w:szCs w:val="20"/>
              </w:rPr>
              <w:t>25</w:t>
            </w:r>
          </w:p>
        </w:tc>
        <w:tc>
          <w:tcPr>
            <w:tcW w:w="998" w:type="dxa"/>
          </w:tcPr>
          <w:p w14:paraId="29EA6FB6" w14:textId="77777777" w:rsidR="004B3FB3" w:rsidRPr="004928A6" w:rsidRDefault="004B3FB3" w:rsidP="001139F6">
            <w:pPr>
              <w:pStyle w:val="TableParagraph"/>
              <w:ind w:left="196" w:right="184"/>
              <w:jc w:val="center"/>
              <w:rPr>
                <w:sz w:val="20"/>
                <w:szCs w:val="20"/>
              </w:rPr>
            </w:pPr>
            <w:r w:rsidRPr="004928A6">
              <w:rPr>
                <w:sz w:val="20"/>
                <w:szCs w:val="20"/>
              </w:rPr>
              <w:t>100</w:t>
            </w:r>
          </w:p>
        </w:tc>
        <w:tc>
          <w:tcPr>
            <w:tcW w:w="628" w:type="dxa"/>
          </w:tcPr>
          <w:p w14:paraId="21CC6073" w14:textId="77777777" w:rsidR="004B3FB3" w:rsidRPr="004928A6" w:rsidRDefault="004B3FB3" w:rsidP="001139F6">
            <w:pPr>
              <w:pStyle w:val="TableParagraph"/>
              <w:ind w:left="18"/>
              <w:jc w:val="center"/>
              <w:rPr>
                <w:sz w:val="20"/>
                <w:szCs w:val="20"/>
              </w:rPr>
            </w:pPr>
            <w:r w:rsidRPr="004928A6">
              <w:rPr>
                <w:sz w:val="20"/>
                <w:szCs w:val="20"/>
              </w:rPr>
              <w:t>0</w:t>
            </w:r>
          </w:p>
        </w:tc>
        <w:tc>
          <w:tcPr>
            <w:tcW w:w="789" w:type="dxa"/>
          </w:tcPr>
          <w:p w14:paraId="389CF29F" w14:textId="77777777" w:rsidR="004B3FB3" w:rsidRPr="004928A6" w:rsidRDefault="004B3FB3" w:rsidP="001139F6">
            <w:pPr>
              <w:pStyle w:val="TableParagraph"/>
              <w:ind w:left="17"/>
              <w:jc w:val="center"/>
              <w:rPr>
                <w:sz w:val="20"/>
                <w:szCs w:val="20"/>
              </w:rPr>
            </w:pPr>
            <w:r w:rsidRPr="004928A6">
              <w:rPr>
                <w:sz w:val="20"/>
                <w:szCs w:val="20"/>
              </w:rPr>
              <w:t>0</w:t>
            </w:r>
          </w:p>
        </w:tc>
        <w:tc>
          <w:tcPr>
            <w:tcW w:w="788" w:type="dxa"/>
          </w:tcPr>
          <w:p w14:paraId="7814853D" w14:textId="77777777" w:rsidR="004B3FB3" w:rsidRPr="004928A6" w:rsidRDefault="004B3FB3" w:rsidP="001139F6">
            <w:pPr>
              <w:pStyle w:val="TableParagraph"/>
              <w:ind w:left="279"/>
              <w:rPr>
                <w:sz w:val="20"/>
                <w:szCs w:val="20"/>
              </w:rPr>
            </w:pPr>
            <w:r w:rsidRPr="004928A6">
              <w:rPr>
                <w:sz w:val="20"/>
                <w:szCs w:val="20"/>
              </w:rPr>
              <w:t>25</w:t>
            </w:r>
          </w:p>
        </w:tc>
        <w:tc>
          <w:tcPr>
            <w:tcW w:w="788" w:type="dxa"/>
          </w:tcPr>
          <w:p w14:paraId="4648804D" w14:textId="77777777" w:rsidR="004B3FB3" w:rsidRPr="004928A6" w:rsidRDefault="004B3FB3" w:rsidP="001139F6">
            <w:pPr>
              <w:pStyle w:val="TableParagraph"/>
              <w:ind w:left="115"/>
              <w:rPr>
                <w:sz w:val="20"/>
                <w:szCs w:val="20"/>
              </w:rPr>
            </w:pPr>
            <w:r w:rsidRPr="004928A6">
              <w:rPr>
                <w:sz w:val="20"/>
                <w:szCs w:val="20"/>
              </w:rPr>
              <w:t>100</w:t>
            </w:r>
          </w:p>
        </w:tc>
      </w:tr>
      <w:tr w:rsidR="004B3FB3" w:rsidRPr="004928A6" w14:paraId="4CF5439B" w14:textId="77777777" w:rsidTr="001139F6">
        <w:trPr>
          <w:trHeight w:val="290"/>
        </w:trPr>
        <w:tc>
          <w:tcPr>
            <w:tcW w:w="1525" w:type="dxa"/>
          </w:tcPr>
          <w:p w14:paraId="48EC9FCD" w14:textId="77777777" w:rsidR="004B3FB3" w:rsidRPr="004928A6" w:rsidRDefault="004B3FB3" w:rsidP="001139F6">
            <w:pPr>
              <w:pStyle w:val="TableParagraph"/>
              <w:ind w:left="546" w:right="539"/>
              <w:jc w:val="center"/>
              <w:rPr>
                <w:sz w:val="20"/>
                <w:szCs w:val="20"/>
              </w:rPr>
            </w:pPr>
            <w:r w:rsidRPr="004928A6">
              <w:rPr>
                <w:sz w:val="20"/>
                <w:szCs w:val="20"/>
              </w:rPr>
              <w:t>R2</w:t>
            </w:r>
          </w:p>
        </w:tc>
        <w:tc>
          <w:tcPr>
            <w:tcW w:w="790" w:type="dxa"/>
          </w:tcPr>
          <w:p w14:paraId="38BB55E9" w14:textId="77777777" w:rsidR="004B3FB3" w:rsidRPr="004928A6" w:rsidRDefault="004B3FB3" w:rsidP="001139F6">
            <w:pPr>
              <w:pStyle w:val="TableParagraph"/>
              <w:ind w:right="264"/>
              <w:jc w:val="right"/>
              <w:rPr>
                <w:sz w:val="20"/>
                <w:szCs w:val="20"/>
              </w:rPr>
            </w:pPr>
            <w:r w:rsidRPr="004928A6">
              <w:rPr>
                <w:sz w:val="20"/>
                <w:szCs w:val="20"/>
              </w:rPr>
              <w:t>15</w:t>
            </w:r>
          </w:p>
        </w:tc>
        <w:tc>
          <w:tcPr>
            <w:tcW w:w="789" w:type="dxa"/>
          </w:tcPr>
          <w:p w14:paraId="05DBAEB4" w14:textId="77777777" w:rsidR="004B3FB3" w:rsidRPr="004928A6" w:rsidRDefault="004B3FB3" w:rsidP="001139F6">
            <w:pPr>
              <w:pStyle w:val="TableParagraph"/>
              <w:ind w:left="107"/>
              <w:rPr>
                <w:sz w:val="20"/>
                <w:szCs w:val="20"/>
              </w:rPr>
            </w:pPr>
            <w:r w:rsidRPr="004928A6">
              <w:rPr>
                <w:sz w:val="20"/>
                <w:szCs w:val="20"/>
              </w:rPr>
              <w:t>60</w:t>
            </w:r>
          </w:p>
        </w:tc>
        <w:tc>
          <w:tcPr>
            <w:tcW w:w="628" w:type="dxa"/>
          </w:tcPr>
          <w:p w14:paraId="57C9E7CF" w14:textId="77777777" w:rsidR="004B3FB3" w:rsidRPr="004928A6" w:rsidRDefault="004B3FB3" w:rsidP="001139F6">
            <w:pPr>
              <w:pStyle w:val="TableParagraph"/>
              <w:ind w:left="108"/>
              <w:rPr>
                <w:sz w:val="20"/>
                <w:szCs w:val="20"/>
              </w:rPr>
            </w:pPr>
            <w:r w:rsidRPr="004928A6">
              <w:rPr>
                <w:sz w:val="20"/>
                <w:szCs w:val="20"/>
              </w:rPr>
              <w:t>10</w:t>
            </w:r>
          </w:p>
        </w:tc>
        <w:tc>
          <w:tcPr>
            <w:tcW w:w="791" w:type="dxa"/>
          </w:tcPr>
          <w:p w14:paraId="77CEE7C8" w14:textId="77777777" w:rsidR="004B3FB3" w:rsidRPr="004928A6" w:rsidRDefault="004B3FB3" w:rsidP="001139F6">
            <w:pPr>
              <w:pStyle w:val="TableParagraph"/>
              <w:ind w:left="274"/>
              <w:rPr>
                <w:sz w:val="20"/>
                <w:szCs w:val="20"/>
              </w:rPr>
            </w:pPr>
            <w:r w:rsidRPr="004928A6">
              <w:rPr>
                <w:sz w:val="20"/>
                <w:szCs w:val="20"/>
              </w:rPr>
              <w:t>40</w:t>
            </w:r>
          </w:p>
        </w:tc>
        <w:tc>
          <w:tcPr>
            <w:tcW w:w="580" w:type="dxa"/>
          </w:tcPr>
          <w:p w14:paraId="579EDFF6" w14:textId="77777777" w:rsidR="004B3FB3" w:rsidRPr="004928A6" w:rsidRDefault="004B3FB3" w:rsidP="001139F6">
            <w:pPr>
              <w:pStyle w:val="TableParagraph"/>
              <w:ind w:right="258"/>
              <w:jc w:val="right"/>
              <w:rPr>
                <w:sz w:val="20"/>
                <w:szCs w:val="20"/>
              </w:rPr>
            </w:pPr>
            <w:r w:rsidRPr="004928A6">
              <w:rPr>
                <w:sz w:val="20"/>
                <w:szCs w:val="20"/>
              </w:rPr>
              <w:t>25</w:t>
            </w:r>
          </w:p>
        </w:tc>
        <w:tc>
          <w:tcPr>
            <w:tcW w:w="998" w:type="dxa"/>
          </w:tcPr>
          <w:p w14:paraId="0502C766" w14:textId="77777777" w:rsidR="004B3FB3" w:rsidRPr="004928A6" w:rsidRDefault="004B3FB3" w:rsidP="001139F6">
            <w:pPr>
              <w:pStyle w:val="TableParagraph"/>
              <w:ind w:left="196" w:right="184"/>
              <w:rPr>
                <w:sz w:val="20"/>
                <w:szCs w:val="20"/>
                <w:lang w:val="en-ID"/>
              </w:rPr>
            </w:pPr>
            <w:r w:rsidRPr="004928A6">
              <w:rPr>
                <w:sz w:val="20"/>
                <w:szCs w:val="20"/>
                <w:lang w:val="en-ID"/>
              </w:rPr>
              <w:t>100</w:t>
            </w:r>
          </w:p>
        </w:tc>
        <w:tc>
          <w:tcPr>
            <w:tcW w:w="628" w:type="dxa"/>
          </w:tcPr>
          <w:p w14:paraId="56A83E2A" w14:textId="77777777" w:rsidR="004B3FB3" w:rsidRPr="004928A6" w:rsidRDefault="004B3FB3" w:rsidP="001139F6">
            <w:pPr>
              <w:pStyle w:val="TableParagraph"/>
              <w:ind w:left="18"/>
              <w:jc w:val="center"/>
              <w:rPr>
                <w:sz w:val="20"/>
                <w:szCs w:val="20"/>
              </w:rPr>
            </w:pPr>
            <w:r w:rsidRPr="004928A6">
              <w:rPr>
                <w:sz w:val="20"/>
                <w:szCs w:val="20"/>
              </w:rPr>
              <w:t>0</w:t>
            </w:r>
          </w:p>
        </w:tc>
        <w:tc>
          <w:tcPr>
            <w:tcW w:w="789" w:type="dxa"/>
          </w:tcPr>
          <w:p w14:paraId="0F65AE3F" w14:textId="77777777" w:rsidR="004B3FB3" w:rsidRPr="004928A6" w:rsidRDefault="004B3FB3" w:rsidP="001139F6">
            <w:pPr>
              <w:pStyle w:val="TableParagraph"/>
              <w:ind w:left="17"/>
              <w:jc w:val="center"/>
              <w:rPr>
                <w:sz w:val="20"/>
                <w:szCs w:val="20"/>
              </w:rPr>
            </w:pPr>
            <w:r w:rsidRPr="004928A6">
              <w:rPr>
                <w:sz w:val="20"/>
                <w:szCs w:val="20"/>
              </w:rPr>
              <w:t>0</w:t>
            </w:r>
          </w:p>
        </w:tc>
        <w:tc>
          <w:tcPr>
            <w:tcW w:w="788" w:type="dxa"/>
          </w:tcPr>
          <w:p w14:paraId="4ADA6A52" w14:textId="77777777" w:rsidR="004B3FB3" w:rsidRPr="004928A6" w:rsidRDefault="004B3FB3" w:rsidP="001139F6">
            <w:pPr>
              <w:pStyle w:val="TableParagraph"/>
              <w:ind w:left="279"/>
              <w:rPr>
                <w:sz w:val="20"/>
                <w:szCs w:val="20"/>
              </w:rPr>
            </w:pPr>
            <w:r w:rsidRPr="004928A6">
              <w:rPr>
                <w:sz w:val="20"/>
                <w:szCs w:val="20"/>
              </w:rPr>
              <w:t>25</w:t>
            </w:r>
          </w:p>
        </w:tc>
        <w:tc>
          <w:tcPr>
            <w:tcW w:w="788" w:type="dxa"/>
          </w:tcPr>
          <w:p w14:paraId="382DB7E9" w14:textId="77777777" w:rsidR="004B3FB3" w:rsidRPr="004928A6" w:rsidRDefault="004B3FB3" w:rsidP="001139F6">
            <w:pPr>
              <w:pStyle w:val="TableParagraph"/>
              <w:ind w:left="115"/>
              <w:rPr>
                <w:sz w:val="20"/>
                <w:szCs w:val="20"/>
              </w:rPr>
            </w:pPr>
            <w:r w:rsidRPr="004928A6">
              <w:rPr>
                <w:sz w:val="20"/>
                <w:szCs w:val="20"/>
              </w:rPr>
              <w:t>100</w:t>
            </w:r>
          </w:p>
        </w:tc>
      </w:tr>
      <w:tr w:rsidR="004B3FB3" w:rsidRPr="004928A6" w14:paraId="36580BC0" w14:textId="77777777" w:rsidTr="001139F6">
        <w:trPr>
          <w:trHeight w:val="300"/>
        </w:trPr>
        <w:tc>
          <w:tcPr>
            <w:tcW w:w="1525" w:type="dxa"/>
          </w:tcPr>
          <w:p w14:paraId="782F629A" w14:textId="77777777" w:rsidR="004B3FB3" w:rsidRPr="004928A6" w:rsidRDefault="004B3FB3" w:rsidP="001139F6">
            <w:pPr>
              <w:pStyle w:val="TableParagraph"/>
              <w:ind w:left="546" w:right="539"/>
              <w:jc w:val="center"/>
              <w:rPr>
                <w:sz w:val="20"/>
                <w:szCs w:val="20"/>
              </w:rPr>
            </w:pPr>
            <w:r w:rsidRPr="004928A6">
              <w:rPr>
                <w:sz w:val="20"/>
                <w:szCs w:val="20"/>
              </w:rPr>
              <w:t>R3</w:t>
            </w:r>
          </w:p>
        </w:tc>
        <w:tc>
          <w:tcPr>
            <w:tcW w:w="790" w:type="dxa"/>
          </w:tcPr>
          <w:p w14:paraId="4CE6B138" w14:textId="77777777" w:rsidR="004B3FB3" w:rsidRPr="004928A6" w:rsidRDefault="004B3FB3" w:rsidP="001139F6">
            <w:pPr>
              <w:pStyle w:val="TableParagraph"/>
              <w:ind w:right="264"/>
              <w:jc w:val="right"/>
              <w:rPr>
                <w:sz w:val="20"/>
                <w:szCs w:val="20"/>
              </w:rPr>
            </w:pPr>
            <w:r w:rsidRPr="004928A6">
              <w:rPr>
                <w:sz w:val="20"/>
                <w:szCs w:val="20"/>
              </w:rPr>
              <w:t>17</w:t>
            </w:r>
          </w:p>
        </w:tc>
        <w:tc>
          <w:tcPr>
            <w:tcW w:w="789" w:type="dxa"/>
          </w:tcPr>
          <w:p w14:paraId="4929942D" w14:textId="77777777" w:rsidR="004B3FB3" w:rsidRPr="004928A6" w:rsidRDefault="004B3FB3" w:rsidP="001139F6">
            <w:pPr>
              <w:pStyle w:val="TableParagraph"/>
              <w:ind w:left="107"/>
              <w:rPr>
                <w:sz w:val="20"/>
                <w:szCs w:val="20"/>
              </w:rPr>
            </w:pPr>
            <w:r w:rsidRPr="004928A6">
              <w:rPr>
                <w:sz w:val="20"/>
                <w:szCs w:val="20"/>
              </w:rPr>
              <w:t>68</w:t>
            </w:r>
          </w:p>
        </w:tc>
        <w:tc>
          <w:tcPr>
            <w:tcW w:w="628" w:type="dxa"/>
          </w:tcPr>
          <w:p w14:paraId="5B264C3A" w14:textId="77777777" w:rsidR="004B3FB3" w:rsidRPr="004928A6" w:rsidRDefault="004B3FB3" w:rsidP="001139F6">
            <w:pPr>
              <w:pStyle w:val="TableParagraph"/>
              <w:ind w:left="108"/>
              <w:rPr>
                <w:sz w:val="20"/>
                <w:szCs w:val="20"/>
              </w:rPr>
            </w:pPr>
            <w:r w:rsidRPr="004928A6">
              <w:rPr>
                <w:sz w:val="20"/>
                <w:szCs w:val="20"/>
              </w:rPr>
              <w:t>8</w:t>
            </w:r>
          </w:p>
        </w:tc>
        <w:tc>
          <w:tcPr>
            <w:tcW w:w="791" w:type="dxa"/>
          </w:tcPr>
          <w:p w14:paraId="67472AA7" w14:textId="77777777" w:rsidR="004B3FB3" w:rsidRPr="004928A6" w:rsidRDefault="004B3FB3" w:rsidP="001139F6">
            <w:pPr>
              <w:pStyle w:val="TableParagraph"/>
              <w:ind w:left="274"/>
              <w:rPr>
                <w:sz w:val="20"/>
                <w:szCs w:val="20"/>
              </w:rPr>
            </w:pPr>
            <w:r w:rsidRPr="004928A6">
              <w:rPr>
                <w:sz w:val="20"/>
                <w:szCs w:val="20"/>
              </w:rPr>
              <w:t>32</w:t>
            </w:r>
          </w:p>
        </w:tc>
        <w:tc>
          <w:tcPr>
            <w:tcW w:w="580" w:type="dxa"/>
          </w:tcPr>
          <w:p w14:paraId="303C43DA" w14:textId="77777777" w:rsidR="004B3FB3" w:rsidRPr="004928A6" w:rsidRDefault="004B3FB3" w:rsidP="001139F6">
            <w:pPr>
              <w:pStyle w:val="TableParagraph"/>
              <w:ind w:right="258"/>
              <w:jc w:val="right"/>
              <w:rPr>
                <w:sz w:val="20"/>
                <w:szCs w:val="20"/>
              </w:rPr>
            </w:pPr>
            <w:r w:rsidRPr="004928A6">
              <w:rPr>
                <w:sz w:val="20"/>
                <w:szCs w:val="20"/>
              </w:rPr>
              <w:t>24</w:t>
            </w:r>
          </w:p>
        </w:tc>
        <w:tc>
          <w:tcPr>
            <w:tcW w:w="998" w:type="dxa"/>
          </w:tcPr>
          <w:p w14:paraId="1303CD5A" w14:textId="77777777" w:rsidR="004B3FB3" w:rsidRPr="004928A6" w:rsidRDefault="004B3FB3" w:rsidP="001139F6">
            <w:pPr>
              <w:pStyle w:val="TableParagraph"/>
              <w:ind w:left="196" w:right="184"/>
              <w:jc w:val="center"/>
              <w:rPr>
                <w:sz w:val="20"/>
                <w:szCs w:val="20"/>
              </w:rPr>
            </w:pPr>
            <w:r w:rsidRPr="004928A6">
              <w:rPr>
                <w:sz w:val="20"/>
                <w:szCs w:val="20"/>
              </w:rPr>
              <w:t>96</w:t>
            </w:r>
          </w:p>
        </w:tc>
        <w:tc>
          <w:tcPr>
            <w:tcW w:w="628" w:type="dxa"/>
          </w:tcPr>
          <w:p w14:paraId="13E9B04B" w14:textId="77777777" w:rsidR="004B3FB3" w:rsidRPr="004928A6" w:rsidRDefault="004B3FB3" w:rsidP="001139F6">
            <w:pPr>
              <w:pStyle w:val="TableParagraph"/>
              <w:ind w:left="18"/>
              <w:jc w:val="center"/>
              <w:rPr>
                <w:sz w:val="20"/>
                <w:szCs w:val="20"/>
              </w:rPr>
            </w:pPr>
            <w:r w:rsidRPr="004928A6">
              <w:rPr>
                <w:sz w:val="20"/>
                <w:szCs w:val="20"/>
              </w:rPr>
              <w:t>1</w:t>
            </w:r>
          </w:p>
        </w:tc>
        <w:tc>
          <w:tcPr>
            <w:tcW w:w="789" w:type="dxa"/>
          </w:tcPr>
          <w:p w14:paraId="071CE260" w14:textId="77777777" w:rsidR="004B3FB3" w:rsidRPr="004928A6" w:rsidRDefault="004B3FB3" w:rsidP="001139F6">
            <w:pPr>
              <w:pStyle w:val="TableParagraph"/>
              <w:ind w:left="17"/>
              <w:jc w:val="center"/>
              <w:rPr>
                <w:sz w:val="20"/>
                <w:szCs w:val="20"/>
              </w:rPr>
            </w:pPr>
            <w:r w:rsidRPr="004928A6">
              <w:rPr>
                <w:sz w:val="20"/>
                <w:szCs w:val="20"/>
              </w:rPr>
              <w:t>4</w:t>
            </w:r>
          </w:p>
        </w:tc>
        <w:tc>
          <w:tcPr>
            <w:tcW w:w="788" w:type="dxa"/>
          </w:tcPr>
          <w:p w14:paraId="7A252808" w14:textId="77777777" w:rsidR="004B3FB3" w:rsidRPr="004928A6" w:rsidRDefault="004B3FB3" w:rsidP="001139F6">
            <w:pPr>
              <w:pStyle w:val="TableParagraph"/>
              <w:ind w:left="279"/>
              <w:rPr>
                <w:sz w:val="20"/>
                <w:szCs w:val="20"/>
              </w:rPr>
            </w:pPr>
            <w:r w:rsidRPr="004928A6">
              <w:rPr>
                <w:sz w:val="20"/>
                <w:szCs w:val="20"/>
              </w:rPr>
              <w:t>25</w:t>
            </w:r>
          </w:p>
        </w:tc>
        <w:tc>
          <w:tcPr>
            <w:tcW w:w="788" w:type="dxa"/>
          </w:tcPr>
          <w:p w14:paraId="7E7DACB8" w14:textId="77777777" w:rsidR="004B3FB3" w:rsidRPr="004928A6" w:rsidRDefault="004B3FB3" w:rsidP="001139F6">
            <w:pPr>
              <w:pStyle w:val="TableParagraph"/>
              <w:ind w:left="115"/>
              <w:rPr>
                <w:sz w:val="20"/>
                <w:szCs w:val="20"/>
              </w:rPr>
            </w:pPr>
            <w:r w:rsidRPr="004928A6">
              <w:rPr>
                <w:sz w:val="20"/>
                <w:szCs w:val="20"/>
              </w:rPr>
              <w:t>100</w:t>
            </w:r>
          </w:p>
        </w:tc>
      </w:tr>
      <w:tr w:rsidR="004B3FB3" w:rsidRPr="004928A6" w14:paraId="41E31421" w14:textId="77777777" w:rsidTr="001139F6">
        <w:trPr>
          <w:trHeight w:val="290"/>
        </w:trPr>
        <w:tc>
          <w:tcPr>
            <w:tcW w:w="1525" w:type="dxa"/>
          </w:tcPr>
          <w:p w14:paraId="6AC796CB" w14:textId="77777777" w:rsidR="004B3FB3" w:rsidRPr="004928A6" w:rsidRDefault="004B3FB3" w:rsidP="001139F6">
            <w:pPr>
              <w:pStyle w:val="TableParagraph"/>
              <w:ind w:left="546" w:right="539"/>
              <w:jc w:val="center"/>
              <w:rPr>
                <w:sz w:val="20"/>
                <w:szCs w:val="20"/>
              </w:rPr>
            </w:pPr>
            <w:r w:rsidRPr="004928A6">
              <w:rPr>
                <w:sz w:val="20"/>
                <w:szCs w:val="20"/>
              </w:rPr>
              <w:t>R4</w:t>
            </w:r>
          </w:p>
        </w:tc>
        <w:tc>
          <w:tcPr>
            <w:tcW w:w="790" w:type="dxa"/>
          </w:tcPr>
          <w:p w14:paraId="05F0E5FB" w14:textId="77777777" w:rsidR="004B3FB3" w:rsidRPr="004928A6" w:rsidRDefault="004B3FB3" w:rsidP="001139F6">
            <w:pPr>
              <w:pStyle w:val="TableParagraph"/>
              <w:ind w:right="264"/>
              <w:jc w:val="right"/>
              <w:rPr>
                <w:sz w:val="20"/>
                <w:szCs w:val="20"/>
              </w:rPr>
            </w:pPr>
            <w:r w:rsidRPr="004928A6">
              <w:rPr>
                <w:sz w:val="20"/>
                <w:szCs w:val="20"/>
              </w:rPr>
              <w:t>14</w:t>
            </w:r>
          </w:p>
        </w:tc>
        <w:tc>
          <w:tcPr>
            <w:tcW w:w="789" w:type="dxa"/>
          </w:tcPr>
          <w:p w14:paraId="05B387F5" w14:textId="77777777" w:rsidR="004B3FB3" w:rsidRPr="004928A6" w:rsidRDefault="004B3FB3" w:rsidP="001139F6">
            <w:pPr>
              <w:pStyle w:val="TableParagraph"/>
              <w:ind w:left="107"/>
              <w:rPr>
                <w:sz w:val="20"/>
                <w:szCs w:val="20"/>
              </w:rPr>
            </w:pPr>
            <w:r w:rsidRPr="004928A6">
              <w:rPr>
                <w:sz w:val="20"/>
                <w:szCs w:val="20"/>
              </w:rPr>
              <w:t>56</w:t>
            </w:r>
          </w:p>
        </w:tc>
        <w:tc>
          <w:tcPr>
            <w:tcW w:w="628" w:type="dxa"/>
          </w:tcPr>
          <w:p w14:paraId="53737734" w14:textId="77777777" w:rsidR="004B3FB3" w:rsidRPr="004928A6" w:rsidRDefault="004B3FB3" w:rsidP="001139F6">
            <w:pPr>
              <w:pStyle w:val="TableParagraph"/>
              <w:ind w:left="108"/>
              <w:rPr>
                <w:sz w:val="20"/>
                <w:szCs w:val="20"/>
              </w:rPr>
            </w:pPr>
            <w:r w:rsidRPr="004928A6">
              <w:rPr>
                <w:sz w:val="20"/>
                <w:szCs w:val="20"/>
              </w:rPr>
              <w:t>11</w:t>
            </w:r>
          </w:p>
        </w:tc>
        <w:tc>
          <w:tcPr>
            <w:tcW w:w="791" w:type="dxa"/>
          </w:tcPr>
          <w:p w14:paraId="0FB0DE62" w14:textId="77777777" w:rsidR="004B3FB3" w:rsidRPr="004928A6" w:rsidRDefault="004B3FB3" w:rsidP="001139F6">
            <w:pPr>
              <w:pStyle w:val="TableParagraph"/>
              <w:ind w:left="274"/>
              <w:rPr>
                <w:sz w:val="20"/>
                <w:szCs w:val="20"/>
              </w:rPr>
            </w:pPr>
            <w:r w:rsidRPr="004928A6">
              <w:rPr>
                <w:sz w:val="20"/>
                <w:szCs w:val="20"/>
              </w:rPr>
              <w:t>44</w:t>
            </w:r>
          </w:p>
        </w:tc>
        <w:tc>
          <w:tcPr>
            <w:tcW w:w="580" w:type="dxa"/>
          </w:tcPr>
          <w:p w14:paraId="0F501CF0" w14:textId="77777777" w:rsidR="004B3FB3" w:rsidRPr="004928A6" w:rsidRDefault="004B3FB3" w:rsidP="001139F6">
            <w:pPr>
              <w:pStyle w:val="TableParagraph"/>
              <w:ind w:right="258"/>
              <w:jc w:val="right"/>
              <w:rPr>
                <w:sz w:val="20"/>
                <w:szCs w:val="20"/>
              </w:rPr>
            </w:pPr>
            <w:r w:rsidRPr="004928A6">
              <w:rPr>
                <w:sz w:val="20"/>
                <w:szCs w:val="20"/>
              </w:rPr>
              <w:t>23</w:t>
            </w:r>
          </w:p>
        </w:tc>
        <w:tc>
          <w:tcPr>
            <w:tcW w:w="998" w:type="dxa"/>
          </w:tcPr>
          <w:p w14:paraId="0F72D3AB" w14:textId="77777777" w:rsidR="004B3FB3" w:rsidRPr="004928A6" w:rsidRDefault="004B3FB3" w:rsidP="001139F6">
            <w:pPr>
              <w:pStyle w:val="TableParagraph"/>
              <w:ind w:left="196" w:right="184"/>
              <w:jc w:val="center"/>
              <w:rPr>
                <w:sz w:val="20"/>
                <w:szCs w:val="20"/>
              </w:rPr>
            </w:pPr>
            <w:r w:rsidRPr="004928A6">
              <w:rPr>
                <w:sz w:val="20"/>
                <w:szCs w:val="20"/>
              </w:rPr>
              <w:t>92</w:t>
            </w:r>
          </w:p>
        </w:tc>
        <w:tc>
          <w:tcPr>
            <w:tcW w:w="628" w:type="dxa"/>
          </w:tcPr>
          <w:p w14:paraId="432F0E9A" w14:textId="77777777" w:rsidR="004B3FB3" w:rsidRPr="004928A6" w:rsidRDefault="004B3FB3" w:rsidP="001139F6">
            <w:pPr>
              <w:pStyle w:val="TableParagraph"/>
              <w:ind w:left="18"/>
              <w:jc w:val="center"/>
              <w:rPr>
                <w:sz w:val="20"/>
                <w:szCs w:val="20"/>
              </w:rPr>
            </w:pPr>
            <w:r w:rsidRPr="004928A6">
              <w:rPr>
                <w:sz w:val="20"/>
                <w:szCs w:val="20"/>
              </w:rPr>
              <w:t>2</w:t>
            </w:r>
          </w:p>
        </w:tc>
        <w:tc>
          <w:tcPr>
            <w:tcW w:w="789" w:type="dxa"/>
          </w:tcPr>
          <w:p w14:paraId="7F500EB8" w14:textId="77777777" w:rsidR="004B3FB3" w:rsidRPr="004928A6" w:rsidRDefault="004B3FB3" w:rsidP="001139F6">
            <w:pPr>
              <w:pStyle w:val="TableParagraph"/>
              <w:ind w:left="258" w:right="241"/>
              <w:jc w:val="center"/>
              <w:rPr>
                <w:sz w:val="20"/>
                <w:szCs w:val="20"/>
              </w:rPr>
            </w:pPr>
            <w:r w:rsidRPr="004928A6">
              <w:rPr>
                <w:sz w:val="20"/>
                <w:szCs w:val="20"/>
              </w:rPr>
              <w:t>8</w:t>
            </w:r>
          </w:p>
        </w:tc>
        <w:tc>
          <w:tcPr>
            <w:tcW w:w="788" w:type="dxa"/>
          </w:tcPr>
          <w:p w14:paraId="3D51B4CF" w14:textId="77777777" w:rsidR="004B3FB3" w:rsidRPr="004928A6" w:rsidRDefault="004B3FB3" w:rsidP="001139F6">
            <w:pPr>
              <w:pStyle w:val="TableParagraph"/>
              <w:ind w:left="279"/>
              <w:rPr>
                <w:sz w:val="20"/>
                <w:szCs w:val="20"/>
              </w:rPr>
            </w:pPr>
            <w:r w:rsidRPr="004928A6">
              <w:rPr>
                <w:sz w:val="20"/>
                <w:szCs w:val="20"/>
              </w:rPr>
              <w:t>25</w:t>
            </w:r>
          </w:p>
        </w:tc>
        <w:tc>
          <w:tcPr>
            <w:tcW w:w="788" w:type="dxa"/>
          </w:tcPr>
          <w:p w14:paraId="02924EBB" w14:textId="77777777" w:rsidR="004B3FB3" w:rsidRPr="004928A6" w:rsidRDefault="004B3FB3" w:rsidP="001139F6">
            <w:pPr>
              <w:pStyle w:val="TableParagraph"/>
              <w:ind w:left="115"/>
              <w:rPr>
                <w:sz w:val="20"/>
                <w:szCs w:val="20"/>
              </w:rPr>
            </w:pPr>
            <w:r w:rsidRPr="004928A6">
              <w:rPr>
                <w:sz w:val="20"/>
                <w:szCs w:val="20"/>
              </w:rPr>
              <w:t>100</w:t>
            </w:r>
          </w:p>
        </w:tc>
      </w:tr>
      <w:tr w:rsidR="004B3FB3" w:rsidRPr="004928A6" w14:paraId="50052C7C" w14:textId="77777777" w:rsidTr="001139F6">
        <w:trPr>
          <w:trHeight w:val="290"/>
        </w:trPr>
        <w:tc>
          <w:tcPr>
            <w:tcW w:w="1525" w:type="dxa"/>
          </w:tcPr>
          <w:p w14:paraId="3F8818AC" w14:textId="77777777" w:rsidR="004B3FB3" w:rsidRPr="004928A6" w:rsidRDefault="004B3FB3" w:rsidP="001139F6">
            <w:pPr>
              <w:pStyle w:val="TableParagraph"/>
              <w:ind w:left="546" w:right="539"/>
              <w:jc w:val="center"/>
              <w:rPr>
                <w:sz w:val="20"/>
                <w:szCs w:val="20"/>
              </w:rPr>
            </w:pPr>
            <w:r w:rsidRPr="004928A6">
              <w:rPr>
                <w:sz w:val="20"/>
                <w:szCs w:val="20"/>
              </w:rPr>
              <w:t>R5</w:t>
            </w:r>
          </w:p>
        </w:tc>
        <w:tc>
          <w:tcPr>
            <w:tcW w:w="790" w:type="dxa"/>
          </w:tcPr>
          <w:p w14:paraId="6327516E" w14:textId="77777777" w:rsidR="004B3FB3" w:rsidRPr="004928A6" w:rsidRDefault="004B3FB3" w:rsidP="001139F6">
            <w:pPr>
              <w:pStyle w:val="TableParagraph"/>
              <w:ind w:right="264"/>
              <w:jc w:val="right"/>
              <w:rPr>
                <w:sz w:val="20"/>
                <w:szCs w:val="20"/>
              </w:rPr>
            </w:pPr>
            <w:r w:rsidRPr="004928A6">
              <w:rPr>
                <w:sz w:val="20"/>
                <w:szCs w:val="20"/>
              </w:rPr>
              <w:t>15</w:t>
            </w:r>
          </w:p>
        </w:tc>
        <w:tc>
          <w:tcPr>
            <w:tcW w:w="789" w:type="dxa"/>
          </w:tcPr>
          <w:p w14:paraId="766BC5B8" w14:textId="77777777" w:rsidR="004B3FB3" w:rsidRPr="004928A6" w:rsidRDefault="004B3FB3" w:rsidP="001139F6">
            <w:pPr>
              <w:pStyle w:val="TableParagraph"/>
              <w:ind w:left="107"/>
              <w:rPr>
                <w:sz w:val="20"/>
                <w:szCs w:val="20"/>
              </w:rPr>
            </w:pPr>
            <w:r w:rsidRPr="004928A6">
              <w:rPr>
                <w:sz w:val="20"/>
                <w:szCs w:val="20"/>
              </w:rPr>
              <w:t>60</w:t>
            </w:r>
          </w:p>
        </w:tc>
        <w:tc>
          <w:tcPr>
            <w:tcW w:w="628" w:type="dxa"/>
          </w:tcPr>
          <w:p w14:paraId="1F8D1F1A" w14:textId="77777777" w:rsidR="004B3FB3" w:rsidRPr="004928A6" w:rsidRDefault="004B3FB3" w:rsidP="001139F6">
            <w:pPr>
              <w:pStyle w:val="TableParagraph"/>
              <w:ind w:left="108"/>
              <w:rPr>
                <w:sz w:val="20"/>
                <w:szCs w:val="20"/>
              </w:rPr>
            </w:pPr>
            <w:r w:rsidRPr="004928A6">
              <w:rPr>
                <w:sz w:val="20"/>
                <w:szCs w:val="20"/>
              </w:rPr>
              <w:t>10</w:t>
            </w:r>
          </w:p>
        </w:tc>
        <w:tc>
          <w:tcPr>
            <w:tcW w:w="791" w:type="dxa"/>
          </w:tcPr>
          <w:p w14:paraId="03EEFAA5" w14:textId="77777777" w:rsidR="004B3FB3" w:rsidRPr="004928A6" w:rsidRDefault="004B3FB3" w:rsidP="001139F6">
            <w:pPr>
              <w:pStyle w:val="TableParagraph"/>
              <w:ind w:left="274"/>
              <w:rPr>
                <w:sz w:val="20"/>
                <w:szCs w:val="20"/>
              </w:rPr>
            </w:pPr>
            <w:r w:rsidRPr="004928A6">
              <w:rPr>
                <w:sz w:val="20"/>
                <w:szCs w:val="20"/>
              </w:rPr>
              <w:t>40</w:t>
            </w:r>
          </w:p>
        </w:tc>
        <w:tc>
          <w:tcPr>
            <w:tcW w:w="580" w:type="dxa"/>
          </w:tcPr>
          <w:p w14:paraId="02124963" w14:textId="77777777" w:rsidR="004B3FB3" w:rsidRPr="004928A6" w:rsidRDefault="004B3FB3" w:rsidP="001139F6">
            <w:pPr>
              <w:pStyle w:val="TableParagraph"/>
              <w:ind w:right="258"/>
              <w:jc w:val="right"/>
              <w:rPr>
                <w:sz w:val="20"/>
                <w:szCs w:val="20"/>
              </w:rPr>
            </w:pPr>
            <w:r w:rsidRPr="004928A6">
              <w:rPr>
                <w:sz w:val="20"/>
                <w:szCs w:val="20"/>
              </w:rPr>
              <w:t>25</w:t>
            </w:r>
          </w:p>
        </w:tc>
        <w:tc>
          <w:tcPr>
            <w:tcW w:w="998" w:type="dxa"/>
          </w:tcPr>
          <w:p w14:paraId="12960C58" w14:textId="77777777" w:rsidR="004B3FB3" w:rsidRPr="004928A6" w:rsidRDefault="004B3FB3" w:rsidP="001139F6">
            <w:pPr>
              <w:pStyle w:val="TableParagraph"/>
              <w:ind w:left="196" w:right="184"/>
              <w:jc w:val="center"/>
              <w:rPr>
                <w:sz w:val="20"/>
                <w:szCs w:val="20"/>
              </w:rPr>
            </w:pPr>
            <w:r w:rsidRPr="004928A6">
              <w:rPr>
                <w:sz w:val="20"/>
                <w:szCs w:val="20"/>
              </w:rPr>
              <w:t>100</w:t>
            </w:r>
          </w:p>
        </w:tc>
        <w:tc>
          <w:tcPr>
            <w:tcW w:w="628" w:type="dxa"/>
          </w:tcPr>
          <w:p w14:paraId="21645A59" w14:textId="77777777" w:rsidR="004B3FB3" w:rsidRPr="004928A6" w:rsidRDefault="004B3FB3" w:rsidP="001139F6">
            <w:pPr>
              <w:pStyle w:val="TableParagraph"/>
              <w:ind w:left="18"/>
              <w:jc w:val="center"/>
              <w:rPr>
                <w:sz w:val="20"/>
                <w:szCs w:val="20"/>
              </w:rPr>
            </w:pPr>
            <w:r w:rsidRPr="004928A6">
              <w:rPr>
                <w:sz w:val="20"/>
                <w:szCs w:val="20"/>
              </w:rPr>
              <w:t>0</w:t>
            </w:r>
          </w:p>
        </w:tc>
        <w:tc>
          <w:tcPr>
            <w:tcW w:w="789" w:type="dxa"/>
          </w:tcPr>
          <w:p w14:paraId="21EAD2AA" w14:textId="77777777" w:rsidR="004B3FB3" w:rsidRPr="004928A6" w:rsidRDefault="004B3FB3" w:rsidP="001139F6">
            <w:pPr>
              <w:pStyle w:val="TableParagraph"/>
              <w:ind w:left="17"/>
              <w:jc w:val="center"/>
              <w:rPr>
                <w:sz w:val="20"/>
                <w:szCs w:val="20"/>
              </w:rPr>
            </w:pPr>
            <w:r w:rsidRPr="004928A6">
              <w:rPr>
                <w:sz w:val="20"/>
                <w:szCs w:val="20"/>
              </w:rPr>
              <w:t>0</w:t>
            </w:r>
          </w:p>
        </w:tc>
        <w:tc>
          <w:tcPr>
            <w:tcW w:w="788" w:type="dxa"/>
          </w:tcPr>
          <w:p w14:paraId="48A07E6D" w14:textId="77777777" w:rsidR="004B3FB3" w:rsidRPr="004928A6" w:rsidRDefault="004B3FB3" w:rsidP="001139F6">
            <w:pPr>
              <w:pStyle w:val="TableParagraph"/>
              <w:ind w:left="279"/>
              <w:rPr>
                <w:sz w:val="20"/>
                <w:szCs w:val="20"/>
              </w:rPr>
            </w:pPr>
            <w:r w:rsidRPr="004928A6">
              <w:rPr>
                <w:sz w:val="20"/>
                <w:szCs w:val="20"/>
              </w:rPr>
              <w:t>25</w:t>
            </w:r>
          </w:p>
        </w:tc>
        <w:tc>
          <w:tcPr>
            <w:tcW w:w="788" w:type="dxa"/>
          </w:tcPr>
          <w:p w14:paraId="501EFE0E" w14:textId="77777777" w:rsidR="004B3FB3" w:rsidRPr="004928A6" w:rsidRDefault="004B3FB3" w:rsidP="001139F6">
            <w:pPr>
              <w:pStyle w:val="TableParagraph"/>
              <w:ind w:left="115"/>
              <w:rPr>
                <w:sz w:val="20"/>
                <w:szCs w:val="20"/>
              </w:rPr>
            </w:pPr>
            <w:r w:rsidRPr="004928A6">
              <w:rPr>
                <w:sz w:val="20"/>
                <w:szCs w:val="20"/>
              </w:rPr>
              <w:t>100</w:t>
            </w:r>
          </w:p>
        </w:tc>
      </w:tr>
      <w:tr w:rsidR="004B3FB3" w:rsidRPr="004928A6" w14:paraId="4E6E37BF" w14:textId="77777777" w:rsidTr="001139F6">
        <w:trPr>
          <w:trHeight w:val="290"/>
        </w:trPr>
        <w:tc>
          <w:tcPr>
            <w:tcW w:w="1525" w:type="dxa"/>
            <w:tcBorders>
              <w:top w:val="single" w:sz="4" w:space="0" w:color="000000"/>
              <w:left w:val="single" w:sz="4" w:space="0" w:color="000000"/>
              <w:bottom w:val="single" w:sz="4" w:space="0" w:color="000000"/>
              <w:right w:val="single" w:sz="4" w:space="0" w:color="000000"/>
            </w:tcBorders>
          </w:tcPr>
          <w:p w14:paraId="7188833C" w14:textId="77777777" w:rsidR="004B3FB3" w:rsidRPr="004928A6" w:rsidRDefault="004B3FB3" w:rsidP="001139F6">
            <w:pPr>
              <w:pStyle w:val="TableParagraph"/>
              <w:ind w:left="546" w:right="539"/>
              <w:jc w:val="center"/>
              <w:rPr>
                <w:sz w:val="20"/>
                <w:szCs w:val="20"/>
              </w:rPr>
            </w:pPr>
            <w:r w:rsidRPr="004928A6">
              <w:rPr>
                <w:sz w:val="20"/>
                <w:szCs w:val="20"/>
              </w:rPr>
              <w:t>R6</w:t>
            </w:r>
          </w:p>
        </w:tc>
        <w:tc>
          <w:tcPr>
            <w:tcW w:w="790" w:type="dxa"/>
            <w:tcBorders>
              <w:top w:val="single" w:sz="4" w:space="0" w:color="000000"/>
              <w:left w:val="single" w:sz="4" w:space="0" w:color="000000"/>
              <w:bottom w:val="single" w:sz="4" w:space="0" w:color="000000"/>
              <w:right w:val="single" w:sz="4" w:space="0" w:color="000000"/>
            </w:tcBorders>
          </w:tcPr>
          <w:p w14:paraId="1D1F8E1C" w14:textId="77777777" w:rsidR="004B3FB3" w:rsidRPr="004928A6" w:rsidRDefault="004B3FB3" w:rsidP="001139F6">
            <w:pPr>
              <w:pStyle w:val="TableParagraph"/>
              <w:ind w:right="264"/>
              <w:jc w:val="right"/>
              <w:rPr>
                <w:sz w:val="20"/>
                <w:szCs w:val="20"/>
              </w:rPr>
            </w:pPr>
            <w:r w:rsidRPr="004928A6">
              <w:rPr>
                <w:sz w:val="20"/>
                <w:szCs w:val="20"/>
              </w:rPr>
              <w:t>12</w:t>
            </w:r>
          </w:p>
        </w:tc>
        <w:tc>
          <w:tcPr>
            <w:tcW w:w="789" w:type="dxa"/>
            <w:tcBorders>
              <w:top w:val="single" w:sz="4" w:space="0" w:color="000000"/>
              <w:left w:val="single" w:sz="4" w:space="0" w:color="000000"/>
              <w:bottom w:val="single" w:sz="4" w:space="0" w:color="000000"/>
              <w:right w:val="single" w:sz="4" w:space="0" w:color="000000"/>
            </w:tcBorders>
          </w:tcPr>
          <w:p w14:paraId="5E9B7EA5" w14:textId="77777777" w:rsidR="004B3FB3" w:rsidRPr="004928A6" w:rsidRDefault="004B3FB3" w:rsidP="001139F6">
            <w:pPr>
              <w:pStyle w:val="TableParagraph"/>
              <w:ind w:left="107"/>
              <w:rPr>
                <w:sz w:val="20"/>
                <w:szCs w:val="20"/>
              </w:rPr>
            </w:pPr>
            <w:r w:rsidRPr="004928A6">
              <w:rPr>
                <w:sz w:val="20"/>
                <w:szCs w:val="20"/>
              </w:rPr>
              <w:t>48</w:t>
            </w:r>
          </w:p>
        </w:tc>
        <w:tc>
          <w:tcPr>
            <w:tcW w:w="628" w:type="dxa"/>
            <w:tcBorders>
              <w:top w:val="single" w:sz="4" w:space="0" w:color="000000"/>
              <w:left w:val="single" w:sz="4" w:space="0" w:color="000000"/>
              <w:bottom w:val="single" w:sz="4" w:space="0" w:color="000000"/>
              <w:right w:val="single" w:sz="4" w:space="0" w:color="000000"/>
            </w:tcBorders>
          </w:tcPr>
          <w:p w14:paraId="0E565BCF" w14:textId="77777777" w:rsidR="004B3FB3" w:rsidRPr="004928A6" w:rsidRDefault="004B3FB3" w:rsidP="001139F6">
            <w:pPr>
              <w:pStyle w:val="TableParagraph"/>
              <w:ind w:left="108"/>
              <w:rPr>
                <w:sz w:val="20"/>
                <w:szCs w:val="20"/>
              </w:rPr>
            </w:pPr>
            <w:r w:rsidRPr="004928A6">
              <w:rPr>
                <w:sz w:val="20"/>
                <w:szCs w:val="20"/>
              </w:rPr>
              <w:t>13</w:t>
            </w:r>
          </w:p>
        </w:tc>
        <w:tc>
          <w:tcPr>
            <w:tcW w:w="791" w:type="dxa"/>
            <w:tcBorders>
              <w:top w:val="single" w:sz="4" w:space="0" w:color="000000"/>
              <w:left w:val="single" w:sz="4" w:space="0" w:color="000000"/>
              <w:bottom w:val="single" w:sz="4" w:space="0" w:color="000000"/>
              <w:right w:val="single" w:sz="4" w:space="0" w:color="000000"/>
            </w:tcBorders>
          </w:tcPr>
          <w:p w14:paraId="220CBBD7" w14:textId="77777777" w:rsidR="004B3FB3" w:rsidRPr="004928A6" w:rsidRDefault="004B3FB3" w:rsidP="001139F6">
            <w:pPr>
              <w:pStyle w:val="TableParagraph"/>
              <w:ind w:left="274"/>
              <w:rPr>
                <w:sz w:val="20"/>
                <w:szCs w:val="20"/>
              </w:rPr>
            </w:pPr>
            <w:r w:rsidRPr="004928A6">
              <w:rPr>
                <w:sz w:val="20"/>
                <w:szCs w:val="20"/>
              </w:rPr>
              <w:t>52</w:t>
            </w:r>
          </w:p>
        </w:tc>
        <w:tc>
          <w:tcPr>
            <w:tcW w:w="580" w:type="dxa"/>
            <w:tcBorders>
              <w:top w:val="single" w:sz="4" w:space="0" w:color="000000"/>
              <w:left w:val="single" w:sz="4" w:space="0" w:color="000000"/>
              <w:bottom w:val="single" w:sz="4" w:space="0" w:color="000000"/>
              <w:right w:val="single" w:sz="4" w:space="0" w:color="000000"/>
            </w:tcBorders>
          </w:tcPr>
          <w:p w14:paraId="5D8EDDF4" w14:textId="77777777" w:rsidR="004B3FB3" w:rsidRPr="004928A6" w:rsidRDefault="004B3FB3" w:rsidP="001139F6">
            <w:pPr>
              <w:pStyle w:val="TableParagraph"/>
              <w:ind w:right="258"/>
              <w:jc w:val="right"/>
              <w:rPr>
                <w:sz w:val="20"/>
                <w:szCs w:val="20"/>
              </w:rPr>
            </w:pPr>
            <w:r w:rsidRPr="004928A6">
              <w:rPr>
                <w:sz w:val="20"/>
                <w:szCs w:val="20"/>
              </w:rPr>
              <w:t>23</w:t>
            </w:r>
          </w:p>
        </w:tc>
        <w:tc>
          <w:tcPr>
            <w:tcW w:w="998" w:type="dxa"/>
            <w:tcBorders>
              <w:top w:val="single" w:sz="4" w:space="0" w:color="000000"/>
              <w:left w:val="single" w:sz="4" w:space="0" w:color="000000"/>
              <w:bottom w:val="single" w:sz="4" w:space="0" w:color="000000"/>
              <w:right w:val="single" w:sz="4" w:space="0" w:color="000000"/>
            </w:tcBorders>
          </w:tcPr>
          <w:p w14:paraId="4CE5B1FB" w14:textId="77777777" w:rsidR="004B3FB3" w:rsidRPr="004928A6" w:rsidRDefault="004B3FB3" w:rsidP="001139F6">
            <w:pPr>
              <w:pStyle w:val="TableParagraph"/>
              <w:ind w:left="196" w:right="184"/>
              <w:jc w:val="center"/>
              <w:rPr>
                <w:sz w:val="20"/>
                <w:szCs w:val="20"/>
              </w:rPr>
            </w:pPr>
            <w:r w:rsidRPr="004928A6">
              <w:rPr>
                <w:sz w:val="20"/>
                <w:szCs w:val="20"/>
              </w:rPr>
              <w:t>92</w:t>
            </w:r>
          </w:p>
        </w:tc>
        <w:tc>
          <w:tcPr>
            <w:tcW w:w="628" w:type="dxa"/>
            <w:tcBorders>
              <w:top w:val="single" w:sz="4" w:space="0" w:color="000000"/>
              <w:left w:val="single" w:sz="4" w:space="0" w:color="000000"/>
              <w:bottom w:val="single" w:sz="4" w:space="0" w:color="000000"/>
              <w:right w:val="single" w:sz="4" w:space="0" w:color="000000"/>
            </w:tcBorders>
          </w:tcPr>
          <w:p w14:paraId="22E9C9F2" w14:textId="77777777" w:rsidR="004B3FB3" w:rsidRPr="004928A6" w:rsidRDefault="004B3FB3" w:rsidP="001139F6">
            <w:pPr>
              <w:pStyle w:val="TableParagraph"/>
              <w:ind w:left="18"/>
              <w:jc w:val="center"/>
              <w:rPr>
                <w:sz w:val="20"/>
                <w:szCs w:val="20"/>
              </w:rPr>
            </w:pPr>
            <w:r w:rsidRPr="004928A6">
              <w:rPr>
                <w:sz w:val="20"/>
                <w:szCs w:val="20"/>
              </w:rPr>
              <w:t>2</w:t>
            </w:r>
          </w:p>
        </w:tc>
        <w:tc>
          <w:tcPr>
            <w:tcW w:w="789" w:type="dxa"/>
            <w:tcBorders>
              <w:top w:val="single" w:sz="4" w:space="0" w:color="000000"/>
              <w:left w:val="single" w:sz="4" w:space="0" w:color="000000"/>
              <w:bottom w:val="single" w:sz="4" w:space="0" w:color="000000"/>
              <w:right w:val="single" w:sz="4" w:space="0" w:color="000000"/>
            </w:tcBorders>
          </w:tcPr>
          <w:p w14:paraId="7DF501A2" w14:textId="77777777" w:rsidR="004B3FB3" w:rsidRPr="004928A6" w:rsidRDefault="004B3FB3" w:rsidP="001139F6">
            <w:pPr>
              <w:pStyle w:val="TableParagraph"/>
              <w:ind w:left="17"/>
              <w:jc w:val="center"/>
              <w:rPr>
                <w:sz w:val="20"/>
                <w:szCs w:val="20"/>
              </w:rPr>
            </w:pPr>
            <w:r w:rsidRPr="004928A6">
              <w:rPr>
                <w:sz w:val="20"/>
                <w:szCs w:val="20"/>
              </w:rPr>
              <w:t>8</w:t>
            </w:r>
          </w:p>
        </w:tc>
        <w:tc>
          <w:tcPr>
            <w:tcW w:w="788" w:type="dxa"/>
            <w:tcBorders>
              <w:top w:val="single" w:sz="4" w:space="0" w:color="000000"/>
              <w:left w:val="single" w:sz="4" w:space="0" w:color="000000"/>
              <w:bottom w:val="single" w:sz="4" w:space="0" w:color="000000"/>
              <w:right w:val="single" w:sz="4" w:space="0" w:color="000000"/>
            </w:tcBorders>
          </w:tcPr>
          <w:p w14:paraId="3B4C90F3" w14:textId="77777777" w:rsidR="004B3FB3" w:rsidRPr="004928A6" w:rsidRDefault="004B3FB3" w:rsidP="001139F6">
            <w:pPr>
              <w:pStyle w:val="TableParagraph"/>
              <w:ind w:left="279"/>
              <w:rPr>
                <w:sz w:val="20"/>
                <w:szCs w:val="20"/>
              </w:rPr>
            </w:pPr>
            <w:r w:rsidRPr="004928A6">
              <w:rPr>
                <w:sz w:val="20"/>
                <w:szCs w:val="20"/>
              </w:rPr>
              <w:t>25</w:t>
            </w:r>
          </w:p>
        </w:tc>
        <w:tc>
          <w:tcPr>
            <w:tcW w:w="788" w:type="dxa"/>
            <w:tcBorders>
              <w:top w:val="single" w:sz="4" w:space="0" w:color="000000"/>
              <w:left w:val="single" w:sz="4" w:space="0" w:color="000000"/>
              <w:bottom w:val="single" w:sz="4" w:space="0" w:color="000000"/>
              <w:right w:val="single" w:sz="4" w:space="0" w:color="000000"/>
            </w:tcBorders>
          </w:tcPr>
          <w:p w14:paraId="03617FBD" w14:textId="77777777" w:rsidR="004B3FB3" w:rsidRPr="004928A6" w:rsidRDefault="004B3FB3" w:rsidP="001139F6">
            <w:pPr>
              <w:pStyle w:val="TableParagraph"/>
              <w:ind w:left="115"/>
              <w:rPr>
                <w:sz w:val="20"/>
                <w:szCs w:val="20"/>
              </w:rPr>
            </w:pPr>
            <w:r w:rsidRPr="004928A6">
              <w:rPr>
                <w:sz w:val="20"/>
                <w:szCs w:val="20"/>
              </w:rPr>
              <w:t>100</w:t>
            </w:r>
          </w:p>
        </w:tc>
      </w:tr>
      <w:tr w:rsidR="004B3FB3" w:rsidRPr="004928A6" w14:paraId="048AD34A" w14:textId="77777777" w:rsidTr="001139F6">
        <w:trPr>
          <w:trHeight w:val="290"/>
        </w:trPr>
        <w:tc>
          <w:tcPr>
            <w:tcW w:w="1525" w:type="dxa"/>
            <w:tcBorders>
              <w:top w:val="single" w:sz="4" w:space="0" w:color="000000"/>
              <w:left w:val="single" w:sz="4" w:space="0" w:color="000000"/>
              <w:bottom w:val="single" w:sz="4" w:space="0" w:color="000000"/>
              <w:right w:val="single" w:sz="4" w:space="0" w:color="000000"/>
            </w:tcBorders>
          </w:tcPr>
          <w:p w14:paraId="755D7C2A" w14:textId="77777777" w:rsidR="004B3FB3" w:rsidRPr="004928A6" w:rsidRDefault="004B3FB3" w:rsidP="001139F6">
            <w:pPr>
              <w:pStyle w:val="TableParagraph"/>
              <w:ind w:left="546" w:right="539"/>
              <w:jc w:val="center"/>
              <w:rPr>
                <w:sz w:val="20"/>
                <w:szCs w:val="20"/>
              </w:rPr>
            </w:pPr>
            <w:r w:rsidRPr="004928A6">
              <w:rPr>
                <w:sz w:val="20"/>
                <w:szCs w:val="20"/>
              </w:rPr>
              <w:t>R7</w:t>
            </w:r>
          </w:p>
        </w:tc>
        <w:tc>
          <w:tcPr>
            <w:tcW w:w="790" w:type="dxa"/>
            <w:tcBorders>
              <w:top w:val="single" w:sz="4" w:space="0" w:color="000000"/>
              <w:left w:val="single" w:sz="4" w:space="0" w:color="000000"/>
              <w:bottom w:val="single" w:sz="4" w:space="0" w:color="000000"/>
              <w:right w:val="single" w:sz="4" w:space="0" w:color="000000"/>
            </w:tcBorders>
          </w:tcPr>
          <w:p w14:paraId="1E715909" w14:textId="77777777" w:rsidR="004B3FB3" w:rsidRPr="004928A6" w:rsidRDefault="004B3FB3" w:rsidP="001139F6">
            <w:pPr>
              <w:pStyle w:val="TableParagraph"/>
              <w:ind w:right="264"/>
              <w:jc w:val="right"/>
              <w:rPr>
                <w:sz w:val="20"/>
                <w:szCs w:val="20"/>
              </w:rPr>
            </w:pPr>
            <w:r w:rsidRPr="004928A6">
              <w:rPr>
                <w:sz w:val="20"/>
                <w:szCs w:val="20"/>
              </w:rPr>
              <w:t>15</w:t>
            </w:r>
          </w:p>
        </w:tc>
        <w:tc>
          <w:tcPr>
            <w:tcW w:w="789" w:type="dxa"/>
            <w:tcBorders>
              <w:top w:val="single" w:sz="4" w:space="0" w:color="000000"/>
              <w:left w:val="single" w:sz="4" w:space="0" w:color="000000"/>
              <w:bottom w:val="single" w:sz="4" w:space="0" w:color="000000"/>
              <w:right w:val="single" w:sz="4" w:space="0" w:color="000000"/>
            </w:tcBorders>
          </w:tcPr>
          <w:p w14:paraId="7D7178D2" w14:textId="77777777" w:rsidR="004B3FB3" w:rsidRPr="004928A6" w:rsidRDefault="004B3FB3" w:rsidP="001139F6">
            <w:pPr>
              <w:pStyle w:val="TableParagraph"/>
              <w:ind w:left="107"/>
              <w:rPr>
                <w:sz w:val="20"/>
                <w:szCs w:val="20"/>
              </w:rPr>
            </w:pPr>
            <w:r w:rsidRPr="004928A6">
              <w:rPr>
                <w:sz w:val="20"/>
                <w:szCs w:val="20"/>
              </w:rPr>
              <w:t>60</w:t>
            </w:r>
          </w:p>
        </w:tc>
        <w:tc>
          <w:tcPr>
            <w:tcW w:w="628" w:type="dxa"/>
            <w:tcBorders>
              <w:top w:val="single" w:sz="4" w:space="0" w:color="000000"/>
              <w:left w:val="single" w:sz="4" w:space="0" w:color="000000"/>
              <w:bottom w:val="single" w:sz="4" w:space="0" w:color="000000"/>
              <w:right w:val="single" w:sz="4" w:space="0" w:color="000000"/>
            </w:tcBorders>
          </w:tcPr>
          <w:p w14:paraId="0535063B" w14:textId="77777777" w:rsidR="004B3FB3" w:rsidRPr="004928A6" w:rsidRDefault="004B3FB3" w:rsidP="001139F6">
            <w:pPr>
              <w:pStyle w:val="TableParagraph"/>
              <w:ind w:left="108"/>
              <w:rPr>
                <w:sz w:val="20"/>
                <w:szCs w:val="20"/>
              </w:rPr>
            </w:pPr>
            <w:r w:rsidRPr="004928A6">
              <w:rPr>
                <w:sz w:val="20"/>
                <w:szCs w:val="20"/>
              </w:rPr>
              <w:t>10</w:t>
            </w:r>
          </w:p>
        </w:tc>
        <w:tc>
          <w:tcPr>
            <w:tcW w:w="791" w:type="dxa"/>
            <w:tcBorders>
              <w:top w:val="single" w:sz="4" w:space="0" w:color="000000"/>
              <w:left w:val="single" w:sz="4" w:space="0" w:color="000000"/>
              <w:bottom w:val="single" w:sz="4" w:space="0" w:color="000000"/>
              <w:right w:val="single" w:sz="4" w:space="0" w:color="000000"/>
            </w:tcBorders>
          </w:tcPr>
          <w:p w14:paraId="5E3CB550" w14:textId="77777777" w:rsidR="004B3FB3" w:rsidRPr="004928A6" w:rsidRDefault="004B3FB3" w:rsidP="001139F6">
            <w:pPr>
              <w:pStyle w:val="TableParagraph"/>
              <w:ind w:left="274"/>
              <w:rPr>
                <w:sz w:val="20"/>
                <w:szCs w:val="20"/>
              </w:rPr>
            </w:pPr>
            <w:r w:rsidRPr="004928A6">
              <w:rPr>
                <w:sz w:val="20"/>
                <w:szCs w:val="20"/>
              </w:rPr>
              <w:t>40</w:t>
            </w:r>
          </w:p>
        </w:tc>
        <w:tc>
          <w:tcPr>
            <w:tcW w:w="580" w:type="dxa"/>
            <w:tcBorders>
              <w:top w:val="single" w:sz="4" w:space="0" w:color="000000"/>
              <w:left w:val="single" w:sz="4" w:space="0" w:color="000000"/>
              <w:bottom w:val="single" w:sz="4" w:space="0" w:color="000000"/>
              <w:right w:val="single" w:sz="4" w:space="0" w:color="000000"/>
            </w:tcBorders>
          </w:tcPr>
          <w:p w14:paraId="5A049A86" w14:textId="77777777" w:rsidR="004B3FB3" w:rsidRPr="004928A6" w:rsidRDefault="004B3FB3" w:rsidP="001139F6">
            <w:pPr>
              <w:pStyle w:val="TableParagraph"/>
              <w:ind w:right="258"/>
              <w:jc w:val="right"/>
              <w:rPr>
                <w:sz w:val="20"/>
                <w:szCs w:val="20"/>
              </w:rPr>
            </w:pPr>
            <w:r w:rsidRPr="004928A6">
              <w:rPr>
                <w:sz w:val="20"/>
                <w:szCs w:val="20"/>
              </w:rPr>
              <w:t>25</w:t>
            </w:r>
          </w:p>
        </w:tc>
        <w:tc>
          <w:tcPr>
            <w:tcW w:w="998" w:type="dxa"/>
            <w:tcBorders>
              <w:top w:val="single" w:sz="4" w:space="0" w:color="000000"/>
              <w:left w:val="single" w:sz="4" w:space="0" w:color="000000"/>
              <w:bottom w:val="single" w:sz="4" w:space="0" w:color="000000"/>
              <w:right w:val="single" w:sz="4" w:space="0" w:color="000000"/>
            </w:tcBorders>
          </w:tcPr>
          <w:p w14:paraId="7DA8E60F" w14:textId="77777777" w:rsidR="004B3FB3" w:rsidRPr="004928A6" w:rsidRDefault="004B3FB3" w:rsidP="001139F6">
            <w:pPr>
              <w:pStyle w:val="TableParagraph"/>
              <w:ind w:left="196" w:right="184"/>
              <w:jc w:val="center"/>
              <w:rPr>
                <w:sz w:val="20"/>
                <w:szCs w:val="20"/>
              </w:rPr>
            </w:pPr>
            <w:r w:rsidRPr="004928A6">
              <w:rPr>
                <w:sz w:val="20"/>
                <w:szCs w:val="20"/>
              </w:rPr>
              <w:t>100</w:t>
            </w:r>
          </w:p>
        </w:tc>
        <w:tc>
          <w:tcPr>
            <w:tcW w:w="628" w:type="dxa"/>
            <w:tcBorders>
              <w:top w:val="single" w:sz="4" w:space="0" w:color="000000"/>
              <w:left w:val="single" w:sz="4" w:space="0" w:color="000000"/>
              <w:bottom w:val="single" w:sz="4" w:space="0" w:color="000000"/>
              <w:right w:val="single" w:sz="4" w:space="0" w:color="000000"/>
            </w:tcBorders>
          </w:tcPr>
          <w:p w14:paraId="538ED66B" w14:textId="77777777" w:rsidR="004B3FB3" w:rsidRPr="004928A6" w:rsidRDefault="004B3FB3" w:rsidP="001139F6">
            <w:pPr>
              <w:pStyle w:val="TableParagraph"/>
              <w:ind w:left="18"/>
              <w:jc w:val="center"/>
              <w:rPr>
                <w:sz w:val="20"/>
                <w:szCs w:val="20"/>
              </w:rPr>
            </w:pPr>
            <w:r w:rsidRPr="004928A6">
              <w:rPr>
                <w:sz w:val="20"/>
                <w:szCs w:val="20"/>
              </w:rPr>
              <w:t>0</w:t>
            </w:r>
          </w:p>
        </w:tc>
        <w:tc>
          <w:tcPr>
            <w:tcW w:w="789" w:type="dxa"/>
            <w:tcBorders>
              <w:top w:val="single" w:sz="4" w:space="0" w:color="000000"/>
              <w:left w:val="single" w:sz="4" w:space="0" w:color="000000"/>
              <w:bottom w:val="single" w:sz="4" w:space="0" w:color="000000"/>
              <w:right w:val="single" w:sz="4" w:space="0" w:color="000000"/>
            </w:tcBorders>
          </w:tcPr>
          <w:p w14:paraId="29C4A236" w14:textId="77777777" w:rsidR="004B3FB3" w:rsidRPr="004928A6" w:rsidRDefault="004B3FB3" w:rsidP="001139F6">
            <w:pPr>
              <w:pStyle w:val="TableParagraph"/>
              <w:ind w:left="17"/>
              <w:jc w:val="center"/>
              <w:rPr>
                <w:sz w:val="20"/>
                <w:szCs w:val="20"/>
              </w:rPr>
            </w:pPr>
            <w:r w:rsidRPr="004928A6">
              <w:rPr>
                <w:sz w:val="20"/>
                <w:szCs w:val="20"/>
              </w:rPr>
              <w:t>0</w:t>
            </w:r>
          </w:p>
        </w:tc>
        <w:tc>
          <w:tcPr>
            <w:tcW w:w="788" w:type="dxa"/>
            <w:tcBorders>
              <w:top w:val="single" w:sz="4" w:space="0" w:color="000000"/>
              <w:left w:val="single" w:sz="4" w:space="0" w:color="000000"/>
              <w:bottom w:val="single" w:sz="4" w:space="0" w:color="000000"/>
              <w:right w:val="single" w:sz="4" w:space="0" w:color="000000"/>
            </w:tcBorders>
          </w:tcPr>
          <w:p w14:paraId="778FB533" w14:textId="77777777" w:rsidR="004B3FB3" w:rsidRPr="004928A6" w:rsidRDefault="004B3FB3" w:rsidP="001139F6">
            <w:pPr>
              <w:pStyle w:val="TableParagraph"/>
              <w:ind w:left="279"/>
              <w:rPr>
                <w:sz w:val="20"/>
                <w:szCs w:val="20"/>
              </w:rPr>
            </w:pPr>
            <w:r w:rsidRPr="004928A6">
              <w:rPr>
                <w:sz w:val="20"/>
                <w:szCs w:val="20"/>
              </w:rPr>
              <w:t>25</w:t>
            </w:r>
          </w:p>
        </w:tc>
        <w:tc>
          <w:tcPr>
            <w:tcW w:w="788" w:type="dxa"/>
            <w:tcBorders>
              <w:top w:val="single" w:sz="4" w:space="0" w:color="000000"/>
              <w:left w:val="single" w:sz="4" w:space="0" w:color="000000"/>
              <w:bottom w:val="single" w:sz="4" w:space="0" w:color="000000"/>
              <w:right w:val="single" w:sz="4" w:space="0" w:color="000000"/>
            </w:tcBorders>
          </w:tcPr>
          <w:p w14:paraId="5F275F95" w14:textId="77777777" w:rsidR="004B3FB3" w:rsidRPr="004928A6" w:rsidRDefault="004B3FB3" w:rsidP="001139F6">
            <w:pPr>
              <w:pStyle w:val="TableParagraph"/>
              <w:ind w:left="115"/>
              <w:rPr>
                <w:sz w:val="20"/>
                <w:szCs w:val="20"/>
              </w:rPr>
            </w:pPr>
            <w:r w:rsidRPr="004928A6">
              <w:rPr>
                <w:sz w:val="20"/>
                <w:szCs w:val="20"/>
              </w:rPr>
              <w:t>100</w:t>
            </w:r>
          </w:p>
        </w:tc>
      </w:tr>
      <w:tr w:rsidR="004B3FB3" w:rsidRPr="004928A6" w14:paraId="236B33FB" w14:textId="77777777" w:rsidTr="001139F6">
        <w:trPr>
          <w:trHeight w:val="290"/>
        </w:trPr>
        <w:tc>
          <w:tcPr>
            <w:tcW w:w="1525" w:type="dxa"/>
            <w:tcBorders>
              <w:top w:val="single" w:sz="4" w:space="0" w:color="000000"/>
              <w:left w:val="single" w:sz="4" w:space="0" w:color="000000"/>
              <w:bottom w:val="single" w:sz="4" w:space="0" w:color="000000"/>
              <w:right w:val="single" w:sz="4" w:space="0" w:color="000000"/>
            </w:tcBorders>
          </w:tcPr>
          <w:p w14:paraId="5CD87088" w14:textId="77777777" w:rsidR="004B3FB3" w:rsidRPr="004928A6" w:rsidRDefault="004B3FB3" w:rsidP="001139F6">
            <w:pPr>
              <w:pStyle w:val="TableParagraph"/>
              <w:ind w:left="546" w:right="539"/>
              <w:jc w:val="center"/>
              <w:rPr>
                <w:sz w:val="20"/>
                <w:szCs w:val="20"/>
              </w:rPr>
            </w:pPr>
            <w:r w:rsidRPr="004928A6">
              <w:rPr>
                <w:sz w:val="20"/>
                <w:szCs w:val="20"/>
              </w:rPr>
              <w:t>R8</w:t>
            </w:r>
          </w:p>
        </w:tc>
        <w:tc>
          <w:tcPr>
            <w:tcW w:w="790" w:type="dxa"/>
            <w:tcBorders>
              <w:top w:val="single" w:sz="4" w:space="0" w:color="000000"/>
              <w:left w:val="single" w:sz="4" w:space="0" w:color="000000"/>
              <w:bottom w:val="single" w:sz="4" w:space="0" w:color="000000"/>
              <w:right w:val="single" w:sz="4" w:space="0" w:color="000000"/>
            </w:tcBorders>
          </w:tcPr>
          <w:p w14:paraId="76620983" w14:textId="77777777" w:rsidR="004B3FB3" w:rsidRPr="004928A6" w:rsidRDefault="004B3FB3" w:rsidP="001139F6">
            <w:pPr>
              <w:pStyle w:val="TableParagraph"/>
              <w:ind w:right="264"/>
              <w:jc w:val="right"/>
              <w:rPr>
                <w:sz w:val="20"/>
                <w:szCs w:val="20"/>
              </w:rPr>
            </w:pPr>
            <w:r w:rsidRPr="004928A6">
              <w:rPr>
                <w:sz w:val="20"/>
                <w:szCs w:val="20"/>
              </w:rPr>
              <w:t>15</w:t>
            </w:r>
          </w:p>
        </w:tc>
        <w:tc>
          <w:tcPr>
            <w:tcW w:w="789" w:type="dxa"/>
            <w:tcBorders>
              <w:top w:val="single" w:sz="4" w:space="0" w:color="000000"/>
              <w:left w:val="single" w:sz="4" w:space="0" w:color="000000"/>
              <w:bottom w:val="single" w:sz="4" w:space="0" w:color="000000"/>
              <w:right w:val="single" w:sz="4" w:space="0" w:color="000000"/>
            </w:tcBorders>
          </w:tcPr>
          <w:p w14:paraId="2A13ED50" w14:textId="77777777" w:rsidR="004B3FB3" w:rsidRPr="004928A6" w:rsidRDefault="004B3FB3" w:rsidP="001139F6">
            <w:pPr>
              <w:pStyle w:val="TableParagraph"/>
              <w:ind w:left="107"/>
              <w:rPr>
                <w:sz w:val="20"/>
                <w:szCs w:val="20"/>
              </w:rPr>
            </w:pPr>
            <w:r w:rsidRPr="004928A6">
              <w:rPr>
                <w:sz w:val="20"/>
                <w:szCs w:val="20"/>
              </w:rPr>
              <w:t>60</w:t>
            </w:r>
          </w:p>
        </w:tc>
        <w:tc>
          <w:tcPr>
            <w:tcW w:w="628" w:type="dxa"/>
            <w:tcBorders>
              <w:top w:val="single" w:sz="4" w:space="0" w:color="000000"/>
              <w:left w:val="single" w:sz="4" w:space="0" w:color="000000"/>
              <w:bottom w:val="single" w:sz="4" w:space="0" w:color="000000"/>
              <w:right w:val="single" w:sz="4" w:space="0" w:color="000000"/>
            </w:tcBorders>
          </w:tcPr>
          <w:p w14:paraId="5983E051" w14:textId="77777777" w:rsidR="004B3FB3" w:rsidRPr="004928A6" w:rsidRDefault="004B3FB3" w:rsidP="001139F6">
            <w:pPr>
              <w:pStyle w:val="TableParagraph"/>
              <w:ind w:left="108"/>
              <w:rPr>
                <w:sz w:val="20"/>
                <w:szCs w:val="20"/>
              </w:rPr>
            </w:pPr>
            <w:r w:rsidRPr="004928A6">
              <w:rPr>
                <w:sz w:val="20"/>
                <w:szCs w:val="20"/>
              </w:rPr>
              <w:t>10</w:t>
            </w:r>
          </w:p>
        </w:tc>
        <w:tc>
          <w:tcPr>
            <w:tcW w:w="791" w:type="dxa"/>
            <w:tcBorders>
              <w:top w:val="single" w:sz="4" w:space="0" w:color="000000"/>
              <w:left w:val="single" w:sz="4" w:space="0" w:color="000000"/>
              <w:bottom w:val="single" w:sz="4" w:space="0" w:color="000000"/>
              <w:right w:val="single" w:sz="4" w:space="0" w:color="000000"/>
            </w:tcBorders>
          </w:tcPr>
          <w:p w14:paraId="33415D7E" w14:textId="77777777" w:rsidR="004B3FB3" w:rsidRPr="004928A6" w:rsidRDefault="004B3FB3" w:rsidP="001139F6">
            <w:pPr>
              <w:pStyle w:val="TableParagraph"/>
              <w:ind w:left="274"/>
              <w:rPr>
                <w:sz w:val="20"/>
                <w:szCs w:val="20"/>
              </w:rPr>
            </w:pPr>
            <w:r w:rsidRPr="004928A6">
              <w:rPr>
                <w:sz w:val="20"/>
                <w:szCs w:val="20"/>
              </w:rPr>
              <w:t>40</w:t>
            </w:r>
          </w:p>
        </w:tc>
        <w:tc>
          <w:tcPr>
            <w:tcW w:w="580" w:type="dxa"/>
            <w:tcBorders>
              <w:top w:val="single" w:sz="4" w:space="0" w:color="000000"/>
              <w:left w:val="single" w:sz="4" w:space="0" w:color="000000"/>
              <w:bottom w:val="single" w:sz="4" w:space="0" w:color="000000"/>
              <w:right w:val="single" w:sz="4" w:space="0" w:color="000000"/>
            </w:tcBorders>
          </w:tcPr>
          <w:p w14:paraId="6DAC6AFC" w14:textId="77777777" w:rsidR="004B3FB3" w:rsidRPr="004928A6" w:rsidRDefault="004B3FB3" w:rsidP="001139F6">
            <w:pPr>
              <w:pStyle w:val="TableParagraph"/>
              <w:ind w:right="258"/>
              <w:jc w:val="right"/>
              <w:rPr>
                <w:sz w:val="20"/>
                <w:szCs w:val="20"/>
              </w:rPr>
            </w:pPr>
            <w:r w:rsidRPr="004928A6">
              <w:rPr>
                <w:sz w:val="20"/>
                <w:szCs w:val="20"/>
              </w:rPr>
              <w:t>24</w:t>
            </w:r>
          </w:p>
        </w:tc>
        <w:tc>
          <w:tcPr>
            <w:tcW w:w="998" w:type="dxa"/>
            <w:tcBorders>
              <w:top w:val="single" w:sz="4" w:space="0" w:color="000000"/>
              <w:left w:val="single" w:sz="4" w:space="0" w:color="000000"/>
              <w:bottom w:val="single" w:sz="4" w:space="0" w:color="000000"/>
              <w:right w:val="single" w:sz="4" w:space="0" w:color="000000"/>
            </w:tcBorders>
          </w:tcPr>
          <w:p w14:paraId="0A9138F1" w14:textId="77777777" w:rsidR="004B3FB3" w:rsidRPr="004928A6" w:rsidRDefault="004B3FB3" w:rsidP="001139F6">
            <w:pPr>
              <w:pStyle w:val="TableParagraph"/>
              <w:ind w:left="196" w:right="184"/>
              <w:jc w:val="center"/>
              <w:rPr>
                <w:sz w:val="20"/>
                <w:szCs w:val="20"/>
              </w:rPr>
            </w:pPr>
            <w:r w:rsidRPr="004928A6">
              <w:rPr>
                <w:sz w:val="20"/>
                <w:szCs w:val="20"/>
              </w:rPr>
              <w:t>96</w:t>
            </w:r>
          </w:p>
        </w:tc>
        <w:tc>
          <w:tcPr>
            <w:tcW w:w="628" w:type="dxa"/>
            <w:tcBorders>
              <w:top w:val="single" w:sz="4" w:space="0" w:color="000000"/>
              <w:left w:val="single" w:sz="4" w:space="0" w:color="000000"/>
              <w:bottom w:val="single" w:sz="4" w:space="0" w:color="000000"/>
              <w:right w:val="single" w:sz="4" w:space="0" w:color="000000"/>
            </w:tcBorders>
          </w:tcPr>
          <w:p w14:paraId="00421E8A" w14:textId="77777777" w:rsidR="004B3FB3" w:rsidRPr="004928A6" w:rsidRDefault="004B3FB3" w:rsidP="001139F6">
            <w:pPr>
              <w:pStyle w:val="TableParagraph"/>
              <w:ind w:left="18"/>
              <w:jc w:val="center"/>
              <w:rPr>
                <w:sz w:val="20"/>
                <w:szCs w:val="20"/>
              </w:rPr>
            </w:pPr>
            <w:r w:rsidRPr="004928A6">
              <w:rPr>
                <w:sz w:val="20"/>
                <w:szCs w:val="20"/>
              </w:rPr>
              <w:t>1</w:t>
            </w:r>
          </w:p>
        </w:tc>
        <w:tc>
          <w:tcPr>
            <w:tcW w:w="789" w:type="dxa"/>
            <w:tcBorders>
              <w:top w:val="single" w:sz="4" w:space="0" w:color="000000"/>
              <w:left w:val="single" w:sz="4" w:space="0" w:color="000000"/>
              <w:bottom w:val="single" w:sz="4" w:space="0" w:color="000000"/>
              <w:right w:val="single" w:sz="4" w:space="0" w:color="000000"/>
            </w:tcBorders>
          </w:tcPr>
          <w:p w14:paraId="039A5553" w14:textId="77777777" w:rsidR="004B3FB3" w:rsidRPr="004928A6" w:rsidRDefault="004B3FB3" w:rsidP="001139F6">
            <w:pPr>
              <w:pStyle w:val="TableParagraph"/>
              <w:ind w:left="17"/>
              <w:jc w:val="center"/>
              <w:rPr>
                <w:sz w:val="20"/>
                <w:szCs w:val="20"/>
              </w:rPr>
            </w:pPr>
            <w:r w:rsidRPr="004928A6">
              <w:rPr>
                <w:sz w:val="20"/>
                <w:szCs w:val="20"/>
              </w:rPr>
              <w:t>4</w:t>
            </w:r>
          </w:p>
        </w:tc>
        <w:tc>
          <w:tcPr>
            <w:tcW w:w="788" w:type="dxa"/>
            <w:tcBorders>
              <w:top w:val="single" w:sz="4" w:space="0" w:color="000000"/>
              <w:left w:val="single" w:sz="4" w:space="0" w:color="000000"/>
              <w:bottom w:val="single" w:sz="4" w:space="0" w:color="000000"/>
              <w:right w:val="single" w:sz="4" w:space="0" w:color="000000"/>
            </w:tcBorders>
          </w:tcPr>
          <w:p w14:paraId="52C805AD" w14:textId="77777777" w:rsidR="004B3FB3" w:rsidRPr="004928A6" w:rsidRDefault="004B3FB3" w:rsidP="001139F6">
            <w:pPr>
              <w:pStyle w:val="TableParagraph"/>
              <w:ind w:left="279"/>
              <w:rPr>
                <w:sz w:val="20"/>
                <w:szCs w:val="20"/>
              </w:rPr>
            </w:pPr>
            <w:r w:rsidRPr="004928A6">
              <w:rPr>
                <w:sz w:val="20"/>
                <w:szCs w:val="20"/>
              </w:rPr>
              <w:t>25</w:t>
            </w:r>
          </w:p>
        </w:tc>
        <w:tc>
          <w:tcPr>
            <w:tcW w:w="788" w:type="dxa"/>
            <w:tcBorders>
              <w:top w:val="single" w:sz="4" w:space="0" w:color="000000"/>
              <w:left w:val="single" w:sz="4" w:space="0" w:color="000000"/>
              <w:bottom w:val="single" w:sz="4" w:space="0" w:color="000000"/>
              <w:right w:val="single" w:sz="4" w:space="0" w:color="000000"/>
            </w:tcBorders>
          </w:tcPr>
          <w:p w14:paraId="5E8EB2B8" w14:textId="77777777" w:rsidR="004B3FB3" w:rsidRPr="004928A6" w:rsidRDefault="004B3FB3" w:rsidP="001139F6">
            <w:pPr>
              <w:pStyle w:val="TableParagraph"/>
              <w:ind w:left="115"/>
              <w:rPr>
                <w:sz w:val="20"/>
                <w:szCs w:val="20"/>
              </w:rPr>
            </w:pPr>
            <w:r w:rsidRPr="004928A6">
              <w:rPr>
                <w:sz w:val="20"/>
                <w:szCs w:val="20"/>
              </w:rPr>
              <w:t>100</w:t>
            </w:r>
          </w:p>
        </w:tc>
      </w:tr>
      <w:tr w:rsidR="004B3FB3" w:rsidRPr="004928A6" w14:paraId="7579E0EC" w14:textId="77777777" w:rsidTr="001139F6">
        <w:trPr>
          <w:trHeight w:val="290"/>
        </w:trPr>
        <w:tc>
          <w:tcPr>
            <w:tcW w:w="1525" w:type="dxa"/>
            <w:tcBorders>
              <w:top w:val="single" w:sz="4" w:space="0" w:color="000000"/>
              <w:left w:val="single" w:sz="4" w:space="0" w:color="000000"/>
              <w:bottom w:val="single" w:sz="4" w:space="0" w:color="000000"/>
              <w:right w:val="single" w:sz="4" w:space="0" w:color="000000"/>
            </w:tcBorders>
          </w:tcPr>
          <w:p w14:paraId="62B5F6AE" w14:textId="77777777" w:rsidR="004B3FB3" w:rsidRPr="004928A6" w:rsidRDefault="004B3FB3" w:rsidP="001139F6">
            <w:pPr>
              <w:pStyle w:val="TableParagraph"/>
              <w:ind w:left="546" w:right="539"/>
              <w:jc w:val="center"/>
              <w:rPr>
                <w:sz w:val="20"/>
                <w:szCs w:val="20"/>
              </w:rPr>
            </w:pPr>
            <w:r w:rsidRPr="004928A6">
              <w:rPr>
                <w:sz w:val="20"/>
                <w:szCs w:val="20"/>
              </w:rPr>
              <w:t>R9</w:t>
            </w:r>
          </w:p>
        </w:tc>
        <w:tc>
          <w:tcPr>
            <w:tcW w:w="790" w:type="dxa"/>
            <w:tcBorders>
              <w:top w:val="single" w:sz="4" w:space="0" w:color="000000"/>
              <w:left w:val="single" w:sz="4" w:space="0" w:color="000000"/>
              <w:bottom w:val="single" w:sz="4" w:space="0" w:color="000000"/>
              <w:right w:val="single" w:sz="4" w:space="0" w:color="000000"/>
            </w:tcBorders>
          </w:tcPr>
          <w:p w14:paraId="79C54A86" w14:textId="77777777" w:rsidR="004B3FB3" w:rsidRPr="004928A6" w:rsidRDefault="004B3FB3" w:rsidP="001139F6">
            <w:pPr>
              <w:pStyle w:val="TableParagraph"/>
              <w:ind w:right="264"/>
              <w:jc w:val="right"/>
              <w:rPr>
                <w:sz w:val="20"/>
                <w:szCs w:val="20"/>
              </w:rPr>
            </w:pPr>
            <w:r w:rsidRPr="004928A6">
              <w:rPr>
                <w:sz w:val="20"/>
                <w:szCs w:val="20"/>
              </w:rPr>
              <w:t>15</w:t>
            </w:r>
          </w:p>
        </w:tc>
        <w:tc>
          <w:tcPr>
            <w:tcW w:w="789" w:type="dxa"/>
            <w:tcBorders>
              <w:top w:val="single" w:sz="4" w:space="0" w:color="000000"/>
              <w:left w:val="single" w:sz="4" w:space="0" w:color="000000"/>
              <w:bottom w:val="single" w:sz="4" w:space="0" w:color="000000"/>
              <w:right w:val="single" w:sz="4" w:space="0" w:color="000000"/>
            </w:tcBorders>
          </w:tcPr>
          <w:p w14:paraId="20C8E44D" w14:textId="77777777" w:rsidR="004B3FB3" w:rsidRPr="004928A6" w:rsidRDefault="004B3FB3" w:rsidP="001139F6">
            <w:pPr>
              <w:pStyle w:val="TableParagraph"/>
              <w:ind w:left="107"/>
              <w:rPr>
                <w:sz w:val="20"/>
                <w:szCs w:val="20"/>
              </w:rPr>
            </w:pPr>
            <w:r w:rsidRPr="004928A6">
              <w:rPr>
                <w:sz w:val="20"/>
                <w:szCs w:val="20"/>
              </w:rPr>
              <w:t>60</w:t>
            </w:r>
          </w:p>
        </w:tc>
        <w:tc>
          <w:tcPr>
            <w:tcW w:w="628" w:type="dxa"/>
            <w:tcBorders>
              <w:top w:val="single" w:sz="4" w:space="0" w:color="000000"/>
              <w:left w:val="single" w:sz="4" w:space="0" w:color="000000"/>
              <w:bottom w:val="single" w:sz="4" w:space="0" w:color="000000"/>
              <w:right w:val="single" w:sz="4" w:space="0" w:color="000000"/>
            </w:tcBorders>
          </w:tcPr>
          <w:p w14:paraId="55EB2DEC" w14:textId="77777777" w:rsidR="004B3FB3" w:rsidRPr="004928A6" w:rsidRDefault="004B3FB3" w:rsidP="001139F6">
            <w:pPr>
              <w:pStyle w:val="TableParagraph"/>
              <w:ind w:left="108"/>
              <w:rPr>
                <w:sz w:val="20"/>
                <w:szCs w:val="20"/>
              </w:rPr>
            </w:pPr>
            <w:r w:rsidRPr="004928A6">
              <w:rPr>
                <w:sz w:val="20"/>
                <w:szCs w:val="20"/>
              </w:rPr>
              <w:t>10</w:t>
            </w:r>
          </w:p>
        </w:tc>
        <w:tc>
          <w:tcPr>
            <w:tcW w:w="791" w:type="dxa"/>
            <w:tcBorders>
              <w:top w:val="single" w:sz="4" w:space="0" w:color="000000"/>
              <w:left w:val="single" w:sz="4" w:space="0" w:color="000000"/>
              <w:bottom w:val="single" w:sz="4" w:space="0" w:color="000000"/>
              <w:right w:val="single" w:sz="4" w:space="0" w:color="000000"/>
            </w:tcBorders>
          </w:tcPr>
          <w:p w14:paraId="3A4D894E" w14:textId="77777777" w:rsidR="004B3FB3" w:rsidRPr="004928A6" w:rsidRDefault="004B3FB3" w:rsidP="001139F6">
            <w:pPr>
              <w:pStyle w:val="TableParagraph"/>
              <w:ind w:left="274"/>
              <w:rPr>
                <w:sz w:val="20"/>
                <w:szCs w:val="20"/>
              </w:rPr>
            </w:pPr>
            <w:r w:rsidRPr="004928A6">
              <w:rPr>
                <w:sz w:val="20"/>
                <w:szCs w:val="20"/>
              </w:rPr>
              <w:t>40</w:t>
            </w:r>
          </w:p>
        </w:tc>
        <w:tc>
          <w:tcPr>
            <w:tcW w:w="580" w:type="dxa"/>
            <w:tcBorders>
              <w:top w:val="single" w:sz="4" w:space="0" w:color="000000"/>
              <w:left w:val="single" w:sz="4" w:space="0" w:color="000000"/>
              <w:bottom w:val="single" w:sz="4" w:space="0" w:color="000000"/>
              <w:right w:val="single" w:sz="4" w:space="0" w:color="000000"/>
            </w:tcBorders>
          </w:tcPr>
          <w:p w14:paraId="4B99559E" w14:textId="77777777" w:rsidR="004B3FB3" w:rsidRPr="004928A6" w:rsidRDefault="004B3FB3" w:rsidP="001139F6">
            <w:pPr>
              <w:pStyle w:val="TableParagraph"/>
              <w:ind w:right="258"/>
              <w:jc w:val="right"/>
              <w:rPr>
                <w:sz w:val="20"/>
                <w:szCs w:val="20"/>
              </w:rPr>
            </w:pPr>
            <w:r w:rsidRPr="004928A6">
              <w:rPr>
                <w:sz w:val="20"/>
                <w:szCs w:val="20"/>
              </w:rPr>
              <w:t>20</w:t>
            </w:r>
          </w:p>
        </w:tc>
        <w:tc>
          <w:tcPr>
            <w:tcW w:w="998" w:type="dxa"/>
            <w:tcBorders>
              <w:top w:val="single" w:sz="4" w:space="0" w:color="000000"/>
              <w:left w:val="single" w:sz="4" w:space="0" w:color="000000"/>
              <w:bottom w:val="single" w:sz="4" w:space="0" w:color="000000"/>
              <w:right w:val="single" w:sz="4" w:space="0" w:color="000000"/>
            </w:tcBorders>
          </w:tcPr>
          <w:p w14:paraId="547677E6" w14:textId="77777777" w:rsidR="004B3FB3" w:rsidRPr="004928A6" w:rsidRDefault="004B3FB3" w:rsidP="001139F6">
            <w:pPr>
              <w:pStyle w:val="TableParagraph"/>
              <w:ind w:left="196" w:right="184"/>
              <w:jc w:val="center"/>
              <w:rPr>
                <w:sz w:val="20"/>
                <w:szCs w:val="20"/>
              </w:rPr>
            </w:pPr>
            <w:r w:rsidRPr="004928A6">
              <w:rPr>
                <w:sz w:val="20"/>
                <w:szCs w:val="20"/>
              </w:rPr>
              <w:t>80</w:t>
            </w:r>
          </w:p>
        </w:tc>
        <w:tc>
          <w:tcPr>
            <w:tcW w:w="628" w:type="dxa"/>
            <w:tcBorders>
              <w:top w:val="single" w:sz="4" w:space="0" w:color="000000"/>
              <w:left w:val="single" w:sz="4" w:space="0" w:color="000000"/>
              <w:bottom w:val="single" w:sz="4" w:space="0" w:color="000000"/>
              <w:right w:val="single" w:sz="4" w:space="0" w:color="000000"/>
            </w:tcBorders>
          </w:tcPr>
          <w:p w14:paraId="5FE282CD" w14:textId="77777777" w:rsidR="004B3FB3" w:rsidRPr="004928A6" w:rsidRDefault="004B3FB3" w:rsidP="001139F6">
            <w:pPr>
              <w:pStyle w:val="TableParagraph"/>
              <w:ind w:left="18"/>
              <w:jc w:val="center"/>
              <w:rPr>
                <w:sz w:val="20"/>
                <w:szCs w:val="20"/>
              </w:rPr>
            </w:pPr>
            <w:r w:rsidRPr="004928A6">
              <w:rPr>
                <w:sz w:val="20"/>
                <w:szCs w:val="20"/>
              </w:rPr>
              <w:t>5</w:t>
            </w:r>
          </w:p>
        </w:tc>
        <w:tc>
          <w:tcPr>
            <w:tcW w:w="789" w:type="dxa"/>
            <w:tcBorders>
              <w:top w:val="single" w:sz="4" w:space="0" w:color="000000"/>
              <w:left w:val="single" w:sz="4" w:space="0" w:color="000000"/>
              <w:bottom w:val="single" w:sz="4" w:space="0" w:color="000000"/>
              <w:right w:val="single" w:sz="4" w:space="0" w:color="000000"/>
            </w:tcBorders>
          </w:tcPr>
          <w:p w14:paraId="0FC0E0EC" w14:textId="77777777" w:rsidR="004B3FB3" w:rsidRPr="004928A6" w:rsidRDefault="004B3FB3" w:rsidP="001139F6">
            <w:pPr>
              <w:pStyle w:val="TableParagraph"/>
              <w:ind w:left="17"/>
              <w:jc w:val="center"/>
              <w:rPr>
                <w:sz w:val="20"/>
                <w:szCs w:val="20"/>
              </w:rPr>
            </w:pPr>
            <w:r w:rsidRPr="004928A6">
              <w:rPr>
                <w:sz w:val="20"/>
                <w:szCs w:val="20"/>
              </w:rPr>
              <w:t>20</w:t>
            </w:r>
          </w:p>
        </w:tc>
        <w:tc>
          <w:tcPr>
            <w:tcW w:w="788" w:type="dxa"/>
            <w:tcBorders>
              <w:top w:val="single" w:sz="4" w:space="0" w:color="000000"/>
              <w:left w:val="single" w:sz="4" w:space="0" w:color="000000"/>
              <w:bottom w:val="single" w:sz="4" w:space="0" w:color="000000"/>
              <w:right w:val="single" w:sz="4" w:space="0" w:color="000000"/>
            </w:tcBorders>
          </w:tcPr>
          <w:p w14:paraId="7581672B" w14:textId="77777777" w:rsidR="004B3FB3" w:rsidRPr="004928A6" w:rsidRDefault="004B3FB3" w:rsidP="001139F6">
            <w:pPr>
              <w:pStyle w:val="TableParagraph"/>
              <w:ind w:left="279"/>
              <w:rPr>
                <w:sz w:val="20"/>
                <w:szCs w:val="20"/>
              </w:rPr>
            </w:pPr>
            <w:r w:rsidRPr="004928A6">
              <w:rPr>
                <w:sz w:val="20"/>
                <w:szCs w:val="20"/>
              </w:rPr>
              <w:t>25</w:t>
            </w:r>
          </w:p>
        </w:tc>
        <w:tc>
          <w:tcPr>
            <w:tcW w:w="788" w:type="dxa"/>
            <w:tcBorders>
              <w:top w:val="single" w:sz="4" w:space="0" w:color="000000"/>
              <w:left w:val="single" w:sz="4" w:space="0" w:color="000000"/>
              <w:bottom w:val="single" w:sz="4" w:space="0" w:color="000000"/>
              <w:right w:val="single" w:sz="4" w:space="0" w:color="000000"/>
            </w:tcBorders>
          </w:tcPr>
          <w:p w14:paraId="005FC79F" w14:textId="77777777" w:rsidR="004B3FB3" w:rsidRPr="004928A6" w:rsidRDefault="004B3FB3" w:rsidP="001139F6">
            <w:pPr>
              <w:pStyle w:val="TableParagraph"/>
              <w:ind w:left="115"/>
              <w:rPr>
                <w:sz w:val="20"/>
                <w:szCs w:val="20"/>
              </w:rPr>
            </w:pPr>
            <w:r w:rsidRPr="004928A6">
              <w:rPr>
                <w:sz w:val="20"/>
                <w:szCs w:val="20"/>
              </w:rPr>
              <w:t>100</w:t>
            </w:r>
          </w:p>
        </w:tc>
      </w:tr>
      <w:tr w:rsidR="004B3FB3" w:rsidRPr="004928A6" w14:paraId="4BC178DC" w14:textId="77777777" w:rsidTr="001139F6">
        <w:trPr>
          <w:trHeight w:val="290"/>
        </w:trPr>
        <w:tc>
          <w:tcPr>
            <w:tcW w:w="1525" w:type="dxa"/>
            <w:tcBorders>
              <w:top w:val="single" w:sz="4" w:space="0" w:color="000000"/>
              <w:left w:val="single" w:sz="4" w:space="0" w:color="000000"/>
              <w:bottom w:val="single" w:sz="4" w:space="0" w:color="000000"/>
              <w:right w:val="single" w:sz="4" w:space="0" w:color="000000"/>
            </w:tcBorders>
          </w:tcPr>
          <w:p w14:paraId="5FB6A67C" w14:textId="77777777" w:rsidR="004B3FB3" w:rsidRPr="004928A6" w:rsidRDefault="004B3FB3" w:rsidP="001139F6">
            <w:pPr>
              <w:pStyle w:val="TableParagraph"/>
              <w:ind w:left="546" w:right="539"/>
              <w:jc w:val="center"/>
              <w:rPr>
                <w:sz w:val="20"/>
                <w:szCs w:val="20"/>
                <w:lang w:val="en-ID"/>
              </w:rPr>
            </w:pPr>
            <w:r w:rsidRPr="004928A6">
              <w:rPr>
                <w:sz w:val="20"/>
                <w:szCs w:val="20"/>
              </w:rPr>
              <w:t>R</w:t>
            </w:r>
            <w:r w:rsidRPr="004928A6">
              <w:rPr>
                <w:sz w:val="20"/>
                <w:szCs w:val="20"/>
                <w:lang w:val="en-ID"/>
              </w:rPr>
              <w:t>10</w:t>
            </w:r>
          </w:p>
        </w:tc>
        <w:tc>
          <w:tcPr>
            <w:tcW w:w="790" w:type="dxa"/>
            <w:tcBorders>
              <w:top w:val="single" w:sz="4" w:space="0" w:color="000000"/>
              <w:left w:val="single" w:sz="4" w:space="0" w:color="000000"/>
              <w:bottom w:val="single" w:sz="4" w:space="0" w:color="000000"/>
              <w:right w:val="single" w:sz="4" w:space="0" w:color="000000"/>
            </w:tcBorders>
          </w:tcPr>
          <w:p w14:paraId="7D1DC8B9" w14:textId="77777777" w:rsidR="004B3FB3" w:rsidRPr="004928A6" w:rsidRDefault="004B3FB3" w:rsidP="001139F6">
            <w:pPr>
              <w:pStyle w:val="TableParagraph"/>
              <w:ind w:right="264"/>
              <w:jc w:val="right"/>
              <w:rPr>
                <w:sz w:val="20"/>
                <w:szCs w:val="20"/>
              </w:rPr>
            </w:pPr>
            <w:r w:rsidRPr="004928A6">
              <w:rPr>
                <w:sz w:val="20"/>
                <w:szCs w:val="20"/>
              </w:rPr>
              <w:t>13</w:t>
            </w:r>
          </w:p>
        </w:tc>
        <w:tc>
          <w:tcPr>
            <w:tcW w:w="789" w:type="dxa"/>
            <w:tcBorders>
              <w:top w:val="single" w:sz="4" w:space="0" w:color="000000"/>
              <w:left w:val="single" w:sz="4" w:space="0" w:color="000000"/>
              <w:bottom w:val="single" w:sz="4" w:space="0" w:color="000000"/>
              <w:right w:val="single" w:sz="4" w:space="0" w:color="000000"/>
            </w:tcBorders>
          </w:tcPr>
          <w:p w14:paraId="7AAA4DB3" w14:textId="77777777" w:rsidR="004B3FB3" w:rsidRPr="004928A6" w:rsidRDefault="004B3FB3" w:rsidP="001139F6">
            <w:pPr>
              <w:pStyle w:val="TableParagraph"/>
              <w:ind w:left="107"/>
              <w:rPr>
                <w:sz w:val="20"/>
                <w:szCs w:val="20"/>
              </w:rPr>
            </w:pPr>
            <w:r w:rsidRPr="004928A6">
              <w:rPr>
                <w:sz w:val="20"/>
                <w:szCs w:val="20"/>
              </w:rPr>
              <w:t>52</w:t>
            </w:r>
          </w:p>
        </w:tc>
        <w:tc>
          <w:tcPr>
            <w:tcW w:w="628" w:type="dxa"/>
            <w:tcBorders>
              <w:top w:val="single" w:sz="4" w:space="0" w:color="000000"/>
              <w:left w:val="single" w:sz="4" w:space="0" w:color="000000"/>
              <w:bottom w:val="single" w:sz="4" w:space="0" w:color="000000"/>
              <w:right w:val="single" w:sz="4" w:space="0" w:color="000000"/>
            </w:tcBorders>
          </w:tcPr>
          <w:p w14:paraId="7273CCD4" w14:textId="77777777" w:rsidR="004B3FB3" w:rsidRPr="004928A6" w:rsidRDefault="004B3FB3" w:rsidP="001139F6">
            <w:pPr>
              <w:pStyle w:val="TableParagraph"/>
              <w:ind w:left="108"/>
              <w:rPr>
                <w:sz w:val="20"/>
                <w:szCs w:val="20"/>
              </w:rPr>
            </w:pPr>
            <w:r w:rsidRPr="004928A6">
              <w:rPr>
                <w:sz w:val="20"/>
                <w:szCs w:val="20"/>
              </w:rPr>
              <w:t>12</w:t>
            </w:r>
          </w:p>
        </w:tc>
        <w:tc>
          <w:tcPr>
            <w:tcW w:w="791" w:type="dxa"/>
            <w:tcBorders>
              <w:top w:val="single" w:sz="4" w:space="0" w:color="000000"/>
              <w:left w:val="single" w:sz="4" w:space="0" w:color="000000"/>
              <w:bottom w:val="single" w:sz="4" w:space="0" w:color="000000"/>
              <w:right w:val="single" w:sz="4" w:space="0" w:color="000000"/>
            </w:tcBorders>
          </w:tcPr>
          <w:p w14:paraId="5F85C425" w14:textId="77777777" w:rsidR="004B3FB3" w:rsidRPr="004928A6" w:rsidRDefault="004B3FB3" w:rsidP="001139F6">
            <w:pPr>
              <w:pStyle w:val="TableParagraph"/>
              <w:ind w:left="274"/>
              <w:rPr>
                <w:sz w:val="20"/>
                <w:szCs w:val="20"/>
              </w:rPr>
            </w:pPr>
            <w:r w:rsidRPr="004928A6">
              <w:rPr>
                <w:sz w:val="20"/>
                <w:szCs w:val="20"/>
              </w:rPr>
              <w:t>48</w:t>
            </w:r>
          </w:p>
        </w:tc>
        <w:tc>
          <w:tcPr>
            <w:tcW w:w="580" w:type="dxa"/>
            <w:tcBorders>
              <w:top w:val="single" w:sz="4" w:space="0" w:color="000000"/>
              <w:left w:val="single" w:sz="4" w:space="0" w:color="000000"/>
              <w:bottom w:val="single" w:sz="4" w:space="0" w:color="000000"/>
              <w:right w:val="single" w:sz="4" w:space="0" w:color="000000"/>
            </w:tcBorders>
          </w:tcPr>
          <w:p w14:paraId="29C2A545" w14:textId="77777777" w:rsidR="004B3FB3" w:rsidRPr="004928A6" w:rsidRDefault="004B3FB3" w:rsidP="001139F6">
            <w:pPr>
              <w:pStyle w:val="TableParagraph"/>
              <w:ind w:right="258"/>
              <w:jc w:val="right"/>
              <w:rPr>
                <w:sz w:val="20"/>
                <w:szCs w:val="20"/>
              </w:rPr>
            </w:pPr>
            <w:r w:rsidRPr="004928A6">
              <w:rPr>
                <w:sz w:val="20"/>
                <w:szCs w:val="20"/>
              </w:rPr>
              <w:t>25</w:t>
            </w:r>
          </w:p>
        </w:tc>
        <w:tc>
          <w:tcPr>
            <w:tcW w:w="998" w:type="dxa"/>
            <w:tcBorders>
              <w:top w:val="single" w:sz="4" w:space="0" w:color="000000"/>
              <w:left w:val="single" w:sz="4" w:space="0" w:color="000000"/>
              <w:bottom w:val="single" w:sz="4" w:space="0" w:color="000000"/>
              <w:right w:val="single" w:sz="4" w:space="0" w:color="000000"/>
            </w:tcBorders>
          </w:tcPr>
          <w:p w14:paraId="2B4B1C23" w14:textId="77777777" w:rsidR="004B3FB3" w:rsidRPr="004928A6" w:rsidRDefault="004B3FB3" w:rsidP="001139F6">
            <w:pPr>
              <w:pStyle w:val="TableParagraph"/>
              <w:ind w:left="196" w:right="184"/>
              <w:jc w:val="center"/>
              <w:rPr>
                <w:sz w:val="20"/>
                <w:szCs w:val="20"/>
              </w:rPr>
            </w:pPr>
            <w:r w:rsidRPr="004928A6">
              <w:rPr>
                <w:sz w:val="20"/>
                <w:szCs w:val="20"/>
              </w:rPr>
              <w:t>100</w:t>
            </w:r>
          </w:p>
        </w:tc>
        <w:tc>
          <w:tcPr>
            <w:tcW w:w="628" w:type="dxa"/>
            <w:tcBorders>
              <w:top w:val="single" w:sz="4" w:space="0" w:color="000000"/>
              <w:left w:val="single" w:sz="4" w:space="0" w:color="000000"/>
              <w:bottom w:val="single" w:sz="4" w:space="0" w:color="000000"/>
              <w:right w:val="single" w:sz="4" w:space="0" w:color="000000"/>
            </w:tcBorders>
          </w:tcPr>
          <w:p w14:paraId="7B833CE8" w14:textId="77777777" w:rsidR="004B3FB3" w:rsidRPr="004928A6" w:rsidRDefault="004B3FB3" w:rsidP="001139F6">
            <w:pPr>
              <w:pStyle w:val="TableParagraph"/>
              <w:ind w:left="18"/>
              <w:jc w:val="center"/>
              <w:rPr>
                <w:sz w:val="20"/>
                <w:szCs w:val="20"/>
              </w:rPr>
            </w:pPr>
            <w:r w:rsidRPr="004928A6">
              <w:rPr>
                <w:sz w:val="20"/>
                <w:szCs w:val="20"/>
              </w:rPr>
              <w:t>0</w:t>
            </w:r>
          </w:p>
        </w:tc>
        <w:tc>
          <w:tcPr>
            <w:tcW w:w="789" w:type="dxa"/>
            <w:tcBorders>
              <w:top w:val="single" w:sz="4" w:space="0" w:color="000000"/>
              <w:left w:val="single" w:sz="4" w:space="0" w:color="000000"/>
              <w:bottom w:val="single" w:sz="4" w:space="0" w:color="000000"/>
              <w:right w:val="single" w:sz="4" w:space="0" w:color="000000"/>
            </w:tcBorders>
          </w:tcPr>
          <w:p w14:paraId="74C49A72" w14:textId="77777777" w:rsidR="004B3FB3" w:rsidRPr="004928A6" w:rsidRDefault="004B3FB3" w:rsidP="001139F6">
            <w:pPr>
              <w:pStyle w:val="TableParagraph"/>
              <w:ind w:left="17"/>
              <w:jc w:val="center"/>
              <w:rPr>
                <w:sz w:val="20"/>
                <w:szCs w:val="20"/>
              </w:rPr>
            </w:pPr>
            <w:r w:rsidRPr="004928A6">
              <w:rPr>
                <w:sz w:val="20"/>
                <w:szCs w:val="20"/>
              </w:rPr>
              <w:t>0</w:t>
            </w:r>
          </w:p>
        </w:tc>
        <w:tc>
          <w:tcPr>
            <w:tcW w:w="788" w:type="dxa"/>
            <w:tcBorders>
              <w:top w:val="single" w:sz="4" w:space="0" w:color="000000"/>
              <w:left w:val="single" w:sz="4" w:space="0" w:color="000000"/>
              <w:bottom w:val="single" w:sz="4" w:space="0" w:color="000000"/>
              <w:right w:val="single" w:sz="4" w:space="0" w:color="000000"/>
            </w:tcBorders>
          </w:tcPr>
          <w:p w14:paraId="35660585" w14:textId="77777777" w:rsidR="004B3FB3" w:rsidRPr="004928A6" w:rsidRDefault="004B3FB3" w:rsidP="001139F6">
            <w:pPr>
              <w:pStyle w:val="TableParagraph"/>
              <w:ind w:left="279"/>
              <w:rPr>
                <w:sz w:val="20"/>
                <w:szCs w:val="20"/>
              </w:rPr>
            </w:pPr>
            <w:r w:rsidRPr="004928A6">
              <w:rPr>
                <w:sz w:val="20"/>
                <w:szCs w:val="20"/>
              </w:rPr>
              <w:t>25</w:t>
            </w:r>
          </w:p>
        </w:tc>
        <w:tc>
          <w:tcPr>
            <w:tcW w:w="788" w:type="dxa"/>
            <w:tcBorders>
              <w:top w:val="single" w:sz="4" w:space="0" w:color="000000"/>
              <w:left w:val="single" w:sz="4" w:space="0" w:color="000000"/>
              <w:bottom w:val="single" w:sz="4" w:space="0" w:color="000000"/>
              <w:right w:val="single" w:sz="4" w:space="0" w:color="000000"/>
            </w:tcBorders>
          </w:tcPr>
          <w:p w14:paraId="25EE8DC5" w14:textId="77777777" w:rsidR="004B3FB3" w:rsidRPr="004928A6" w:rsidRDefault="004B3FB3" w:rsidP="001139F6">
            <w:pPr>
              <w:pStyle w:val="TableParagraph"/>
              <w:ind w:left="115"/>
              <w:rPr>
                <w:sz w:val="20"/>
                <w:szCs w:val="20"/>
              </w:rPr>
            </w:pPr>
            <w:r w:rsidRPr="004928A6">
              <w:rPr>
                <w:sz w:val="20"/>
                <w:szCs w:val="20"/>
              </w:rPr>
              <w:t>100</w:t>
            </w:r>
          </w:p>
        </w:tc>
      </w:tr>
    </w:tbl>
    <w:p w14:paraId="584675E6" w14:textId="77777777" w:rsidR="004B3FB3" w:rsidRPr="00002D5C" w:rsidRDefault="004B3FB3" w:rsidP="004B3FB3">
      <w:pPr>
        <w:pStyle w:val="BodyText"/>
        <w:rPr>
          <w:b/>
          <w:sz w:val="24"/>
          <w:szCs w:val="24"/>
        </w:rPr>
      </w:pPr>
    </w:p>
    <w:p w14:paraId="2225DA90" w14:textId="77777777" w:rsidR="004B3FB3" w:rsidRPr="00EA1B37" w:rsidRDefault="004B3FB3" w:rsidP="00A43231">
      <w:pPr>
        <w:pStyle w:val="BodyText"/>
        <w:spacing w:line="276" w:lineRule="auto"/>
        <w:ind w:right="119" w:firstLine="720"/>
        <w:jc w:val="both"/>
        <w:rPr>
          <w:rFonts w:ascii="Century" w:hAnsi="Century"/>
          <w:sz w:val="24"/>
          <w:szCs w:val="24"/>
        </w:rPr>
      </w:pPr>
      <w:r w:rsidRPr="00EA1B37">
        <w:rPr>
          <w:rFonts w:ascii="Century" w:hAnsi="Century"/>
          <w:sz w:val="24"/>
          <w:szCs w:val="24"/>
        </w:rPr>
        <w:t>Berdasarkan</w:t>
      </w:r>
      <w:r w:rsidR="00790BBE">
        <w:rPr>
          <w:rFonts w:ascii="Century" w:hAnsi="Century"/>
          <w:sz w:val="24"/>
          <w:szCs w:val="24"/>
        </w:rPr>
        <w:t xml:space="preserve"> data analisis tabel  8 menggu</w:t>
      </w:r>
      <w:r w:rsidRPr="00EA1B37">
        <w:rPr>
          <w:rFonts w:ascii="Century" w:hAnsi="Century"/>
          <w:sz w:val="24"/>
          <w:szCs w:val="24"/>
        </w:rPr>
        <w:t>nakan analisis univariat frekuensi dan persentasi di atas, terlihat hasil menunjukan bahwa setiap</w:t>
      </w:r>
      <w:r w:rsidRPr="00EA1B37">
        <w:rPr>
          <w:rFonts w:ascii="Century" w:hAnsi="Century"/>
          <w:spacing w:val="1"/>
          <w:sz w:val="24"/>
          <w:szCs w:val="24"/>
        </w:rPr>
        <w:t xml:space="preserve"> </w:t>
      </w:r>
      <w:r w:rsidRPr="00EA1B37">
        <w:rPr>
          <w:rFonts w:ascii="Century" w:hAnsi="Century"/>
          <w:sz w:val="24"/>
          <w:szCs w:val="24"/>
        </w:rPr>
        <w:t>responden menjawab pertanyaan benar dengan prosentasi berturut-turut yaitu 48%, 60%, 68%,</w:t>
      </w:r>
      <w:r w:rsidRPr="00EA1B37">
        <w:rPr>
          <w:rFonts w:ascii="Century" w:hAnsi="Century"/>
          <w:spacing w:val="-57"/>
          <w:sz w:val="24"/>
          <w:szCs w:val="24"/>
        </w:rPr>
        <w:t xml:space="preserve"> </w:t>
      </w:r>
      <w:r w:rsidRPr="00EA1B37">
        <w:rPr>
          <w:rFonts w:ascii="Century" w:hAnsi="Century"/>
          <w:sz w:val="24"/>
          <w:szCs w:val="24"/>
        </w:rPr>
        <w:t xml:space="preserve">56%, 60%, 48%, 60%, 60%, 60%, 52%. Setelah diberikan pemaparan terkait pemberdayaan kekerasan pada perempuan dan anak ,menunjukan hasil jawaban yang benar </w:t>
      </w:r>
      <w:r w:rsidRPr="00EA1B37">
        <w:rPr>
          <w:rFonts w:ascii="Century" w:hAnsi="Century"/>
          <w:spacing w:val="-57"/>
          <w:sz w:val="24"/>
          <w:szCs w:val="24"/>
        </w:rPr>
        <w:t xml:space="preserve">   </w:t>
      </w:r>
      <w:r w:rsidRPr="00EA1B37">
        <w:rPr>
          <w:rFonts w:ascii="Century" w:hAnsi="Century"/>
          <w:sz w:val="24"/>
          <w:szCs w:val="24"/>
        </w:rPr>
        <w:t>dengan prsentasi 100%, 100%, 96%, 92%, 100%, 92%, 100%, 96%, 80%, 100%. Sehingga setelah adanya edukasi terkait</w:t>
      </w:r>
      <w:r w:rsidRPr="00EA1B37">
        <w:rPr>
          <w:rFonts w:ascii="Century" w:hAnsi="Century"/>
          <w:spacing w:val="1"/>
          <w:sz w:val="24"/>
          <w:szCs w:val="24"/>
        </w:rPr>
        <w:t xml:space="preserve"> </w:t>
      </w:r>
      <w:r w:rsidRPr="00EA1B37">
        <w:rPr>
          <w:rFonts w:ascii="Century" w:hAnsi="Century"/>
          <w:sz w:val="24"/>
          <w:szCs w:val="24"/>
        </w:rPr>
        <w:t>pemberdayaan perempuan dan anak, terjadi peningkatan wawasan dan pemahaman</w:t>
      </w:r>
      <w:r w:rsidRPr="00EA1B37">
        <w:rPr>
          <w:rFonts w:ascii="Century" w:hAnsi="Century"/>
          <w:spacing w:val="-1"/>
          <w:sz w:val="24"/>
          <w:szCs w:val="24"/>
        </w:rPr>
        <w:t xml:space="preserve"> </w:t>
      </w:r>
      <w:r w:rsidRPr="00EA1B37">
        <w:rPr>
          <w:rFonts w:ascii="Century" w:hAnsi="Century"/>
          <w:sz w:val="24"/>
          <w:szCs w:val="24"/>
        </w:rPr>
        <w:t>relawan.</w:t>
      </w:r>
    </w:p>
    <w:p w14:paraId="78316541" w14:textId="7C430F18" w:rsidR="004B3FB3" w:rsidRPr="00EA1B37" w:rsidRDefault="004B3FB3" w:rsidP="00A43734">
      <w:pPr>
        <w:pStyle w:val="BodyText"/>
        <w:spacing w:line="360" w:lineRule="auto"/>
        <w:ind w:right="120"/>
        <w:jc w:val="both"/>
        <w:rPr>
          <w:rFonts w:ascii="Century" w:hAnsi="Century"/>
          <w:sz w:val="24"/>
          <w:szCs w:val="24"/>
        </w:rPr>
      </w:pPr>
    </w:p>
    <w:p w14:paraId="1A0665AD" w14:textId="77777777" w:rsidR="004B3FB3" w:rsidRPr="00D85570" w:rsidRDefault="004B3FB3" w:rsidP="004B3FB3">
      <w:pPr>
        <w:pStyle w:val="BodyText"/>
        <w:spacing w:line="360" w:lineRule="auto"/>
        <w:ind w:right="120" w:firstLine="720"/>
        <w:jc w:val="center"/>
        <w:rPr>
          <w:sz w:val="24"/>
          <w:szCs w:val="24"/>
        </w:rPr>
      </w:pPr>
      <w:r>
        <w:rPr>
          <w:noProof/>
          <w:lang w:val="en-US"/>
        </w:rPr>
        <w:drawing>
          <wp:inline distT="0" distB="0" distL="0" distR="0" wp14:anchorId="663A595B" wp14:editId="6782EF1E">
            <wp:extent cx="4572000" cy="2743200"/>
            <wp:effectExtent l="0" t="0" r="0" b="0"/>
            <wp:docPr id="82" name="Chart 82">
              <a:extLst xmlns:a="http://schemas.openxmlformats.org/drawingml/2006/main">
                <a:ext uri="{FF2B5EF4-FFF2-40B4-BE49-F238E27FC236}">
                  <a16:creationId xmlns:a16="http://schemas.microsoft.com/office/drawing/2014/main" id="{30DB9489-672A-48A0-9BD7-78C8538338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2776974" w14:textId="4333F5CD" w:rsidR="004B3FB3" w:rsidRPr="00A43231" w:rsidRDefault="000939F2" w:rsidP="004B3FB3">
      <w:pPr>
        <w:ind w:firstLine="720"/>
        <w:jc w:val="center"/>
        <w:rPr>
          <w:lang w:val="en-ID"/>
        </w:rPr>
      </w:pPr>
      <w:r>
        <w:t>Gambar 4</w:t>
      </w:r>
      <w:r w:rsidR="004B3FB3" w:rsidRPr="00A43231">
        <w:t>. Grafik Pretest-Postest</w:t>
      </w:r>
    </w:p>
    <w:p w14:paraId="720EF88A" w14:textId="66B19B77" w:rsidR="004B3FB3" w:rsidRDefault="004B3FB3" w:rsidP="00A43231">
      <w:pPr>
        <w:pStyle w:val="BodyText"/>
        <w:spacing w:line="276" w:lineRule="auto"/>
        <w:ind w:right="117"/>
        <w:jc w:val="both"/>
        <w:rPr>
          <w:rFonts w:ascii="Century" w:eastAsia="Verdana" w:hAnsi="Century"/>
          <w:b/>
        </w:rPr>
      </w:pPr>
    </w:p>
    <w:p w14:paraId="46A624A8" w14:textId="77777777" w:rsidR="00EA11A5" w:rsidRPr="00EA1B37" w:rsidRDefault="00EA11A5" w:rsidP="00A43231">
      <w:pPr>
        <w:pStyle w:val="BodyText"/>
        <w:spacing w:line="276" w:lineRule="auto"/>
        <w:ind w:right="117"/>
        <w:jc w:val="both"/>
        <w:rPr>
          <w:rFonts w:ascii="Century" w:eastAsia="Verdana" w:hAnsi="Century"/>
          <w:b/>
        </w:rPr>
      </w:pPr>
    </w:p>
    <w:p w14:paraId="7FCA5593" w14:textId="6D7BACE0" w:rsidR="004B3FB3" w:rsidRPr="00A43231" w:rsidRDefault="004B3FB3" w:rsidP="00A43231">
      <w:pPr>
        <w:pStyle w:val="Heading2"/>
        <w:keepNext w:val="0"/>
        <w:widowControl w:val="0"/>
        <w:tabs>
          <w:tab w:val="left" w:pos="828"/>
        </w:tabs>
        <w:autoSpaceDE w:val="0"/>
        <w:autoSpaceDN w:val="0"/>
        <w:spacing w:before="0" w:after="0" w:line="276" w:lineRule="auto"/>
        <w:jc w:val="both"/>
        <w:rPr>
          <w:rFonts w:ascii="Century" w:hAnsi="Century"/>
          <w:i w:val="0"/>
          <w:sz w:val="24"/>
          <w:szCs w:val="24"/>
        </w:rPr>
      </w:pPr>
      <w:r w:rsidRPr="008B3882">
        <w:rPr>
          <w:rFonts w:ascii="Century" w:hAnsi="Century"/>
          <w:i w:val="0"/>
          <w:w w:val="105"/>
          <w:sz w:val="24"/>
          <w:szCs w:val="24"/>
        </w:rPr>
        <w:lastRenderedPageBreak/>
        <w:t xml:space="preserve">Kendala </w:t>
      </w:r>
    </w:p>
    <w:p w14:paraId="1041D3ED" w14:textId="7D1E908B" w:rsidR="004B3FB3" w:rsidRPr="00EA1B37" w:rsidRDefault="00311FFA" w:rsidP="008F45EA">
      <w:pPr>
        <w:widowControl w:val="0"/>
        <w:tabs>
          <w:tab w:val="left" w:pos="426"/>
        </w:tabs>
        <w:autoSpaceDE w:val="0"/>
        <w:autoSpaceDN w:val="0"/>
        <w:spacing w:line="276" w:lineRule="auto"/>
        <w:ind w:right="-1"/>
        <w:jc w:val="both"/>
        <w:rPr>
          <w:rFonts w:ascii="Century" w:hAnsi="Century"/>
        </w:rPr>
      </w:pPr>
      <w:r>
        <w:rPr>
          <w:rFonts w:ascii="Century" w:hAnsi="Century"/>
          <w:bCs/>
        </w:rPr>
        <w:tab/>
        <w:t>Hambatan p</w:t>
      </w:r>
      <w:r w:rsidR="004B3FB3" w:rsidRPr="00EA1B37">
        <w:rPr>
          <w:rFonts w:ascii="Century" w:hAnsi="Century"/>
          <w:bCs/>
        </w:rPr>
        <w:t xml:space="preserve">elaksanaan kegiatan ini dilakukan di masa transisi menuju </w:t>
      </w:r>
      <w:r w:rsidR="004B3FB3" w:rsidRPr="00EA1B37">
        <w:rPr>
          <w:rFonts w:ascii="Century" w:hAnsi="Century"/>
          <w:bCs/>
          <w:i/>
          <w:iCs/>
        </w:rPr>
        <w:t xml:space="preserve">new normal, </w:t>
      </w:r>
      <w:r w:rsidR="004B3FB3" w:rsidRPr="00EA1B37">
        <w:rPr>
          <w:rFonts w:ascii="Century" w:hAnsi="Century"/>
          <w:bCs/>
          <w:iCs/>
        </w:rPr>
        <w:t>dan sebagian lagi di masa PPKM</w:t>
      </w:r>
      <w:r>
        <w:rPr>
          <w:rFonts w:ascii="Century" w:hAnsi="Century"/>
          <w:bCs/>
          <w:iCs/>
        </w:rPr>
        <w:t>,</w:t>
      </w:r>
      <w:r w:rsidR="004B3FB3" w:rsidRPr="00EA1B37">
        <w:rPr>
          <w:rFonts w:ascii="Century" w:hAnsi="Century"/>
          <w:bCs/>
          <w:i/>
          <w:iCs/>
        </w:rPr>
        <w:t xml:space="preserve"> </w:t>
      </w:r>
      <w:r>
        <w:rPr>
          <w:rFonts w:ascii="Century" w:hAnsi="Century"/>
          <w:bCs/>
        </w:rPr>
        <w:t>o</w:t>
      </w:r>
      <w:r w:rsidR="004B3FB3" w:rsidRPr="00EA1B37">
        <w:rPr>
          <w:rFonts w:ascii="Century" w:hAnsi="Century"/>
          <w:bCs/>
        </w:rPr>
        <w:t>leh karena itu pada tahap awal pelaksanaan kegiatan ini baik narasumber, fasilitator, menjaga jarak (</w:t>
      </w:r>
      <w:r w:rsidR="004B3FB3" w:rsidRPr="00EA1B37">
        <w:rPr>
          <w:rFonts w:ascii="Century" w:hAnsi="Century"/>
          <w:bCs/>
          <w:i/>
          <w:iCs/>
        </w:rPr>
        <w:t>social distancing</w:t>
      </w:r>
      <w:r w:rsidR="004B3FB3" w:rsidRPr="00EA1B37">
        <w:rPr>
          <w:rFonts w:ascii="Century" w:hAnsi="Century"/>
          <w:bCs/>
        </w:rPr>
        <w:t xml:space="preserve">) dan </w:t>
      </w:r>
      <w:r w:rsidR="00742427">
        <w:rPr>
          <w:rFonts w:ascii="Century" w:hAnsi="Century"/>
          <w:bCs/>
        </w:rPr>
        <w:t xml:space="preserve">patuh prokes 5M </w:t>
      </w:r>
      <w:r w:rsidR="004B3FB3" w:rsidRPr="00EA1B37">
        <w:rPr>
          <w:rFonts w:ascii="Century" w:hAnsi="Century"/>
          <w:bCs/>
        </w:rPr>
        <w:t>agar terhindar dari wabah pandemi covi</w:t>
      </w:r>
      <w:r w:rsidR="00742427">
        <w:rPr>
          <w:rFonts w:ascii="Century" w:hAnsi="Century"/>
          <w:bCs/>
        </w:rPr>
        <w:t>d-19</w:t>
      </w:r>
      <w:r w:rsidR="004B3FB3" w:rsidRPr="00EA1B37">
        <w:rPr>
          <w:rFonts w:ascii="Century" w:hAnsi="Century"/>
          <w:bCs/>
        </w:rPr>
        <w:t xml:space="preserve">. </w:t>
      </w:r>
      <w:r w:rsidR="004B3FB3" w:rsidRPr="00EA1B37">
        <w:rPr>
          <w:rFonts w:ascii="Century" w:hAnsi="Century"/>
          <w:w w:val="105"/>
        </w:rPr>
        <w:t xml:space="preserve">Banyak peserta yang ingin ikut hadir, namun terpaksa dibatasi </w:t>
      </w:r>
      <w:r w:rsidR="004B3FB3" w:rsidRPr="00EA1B37">
        <w:rPr>
          <w:rFonts w:ascii="Century" w:hAnsi="Century"/>
          <w:spacing w:val="5"/>
          <w:shd w:val="clear" w:color="auto" w:fill="FFFFFF"/>
        </w:rPr>
        <w:t xml:space="preserve">agar tak terjadi kerumunan demi antisipasi penularan wabah pandemi yang masih zona merah. </w:t>
      </w:r>
    </w:p>
    <w:p w14:paraId="486BF7C0" w14:textId="207B5F22" w:rsidR="004B3FB3" w:rsidRPr="00EA1B37" w:rsidRDefault="004B3FB3" w:rsidP="008F45EA">
      <w:pPr>
        <w:spacing w:line="276" w:lineRule="auto"/>
        <w:ind w:firstLine="360"/>
        <w:jc w:val="both"/>
        <w:rPr>
          <w:rFonts w:ascii="Century" w:hAnsi="Century"/>
          <w:lang w:val="id-ID"/>
        </w:rPr>
      </w:pPr>
      <w:r w:rsidRPr="00EA1B37">
        <w:rPr>
          <w:rFonts w:ascii="Century" w:hAnsi="Century"/>
          <w:lang w:val="id-ID"/>
        </w:rPr>
        <w:t>Evaluasi pasca kegiat</w:t>
      </w:r>
      <w:r w:rsidR="00742427">
        <w:rPr>
          <w:rFonts w:ascii="Century" w:hAnsi="Century"/>
          <w:lang w:val="id-ID"/>
        </w:rPr>
        <w:t xml:space="preserve">an </w:t>
      </w:r>
      <w:r w:rsidRPr="00EA1B37">
        <w:rPr>
          <w:rFonts w:ascii="Century" w:hAnsi="Century"/>
          <w:lang w:val="id-ID"/>
        </w:rPr>
        <w:t xml:space="preserve">dilaksanakan setiap bulan selama 4 </w:t>
      </w:r>
      <w:r w:rsidRPr="00EA1B37">
        <w:rPr>
          <w:rFonts w:ascii="Century" w:hAnsi="Century"/>
          <w:lang w:val="en-ID"/>
        </w:rPr>
        <w:t xml:space="preserve">minggu </w:t>
      </w:r>
      <w:r w:rsidR="00742427">
        <w:rPr>
          <w:rFonts w:ascii="Century" w:hAnsi="Century"/>
          <w:lang w:val="id-ID"/>
        </w:rPr>
        <w:t xml:space="preserve">berturut-turut. </w:t>
      </w:r>
      <w:r w:rsidR="00742427">
        <w:rPr>
          <w:rFonts w:ascii="Century" w:hAnsi="Century"/>
          <w:lang w:val="en-ID"/>
        </w:rPr>
        <w:t>I</w:t>
      </w:r>
      <w:r w:rsidRPr="00EA1B37">
        <w:rPr>
          <w:rFonts w:ascii="Century" w:hAnsi="Century"/>
          <w:lang w:val="id-ID"/>
        </w:rPr>
        <w:t xml:space="preserve">ndikator pencapaian tujuan dari kegiatan ini </w:t>
      </w:r>
      <w:proofErr w:type="gramStart"/>
      <w:r w:rsidRPr="00EA1B37">
        <w:rPr>
          <w:rFonts w:ascii="Century" w:hAnsi="Century"/>
          <w:lang w:val="id-ID"/>
        </w:rPr>
        <w:t xml:space="preserve">adalah </w:t>
      </w:r>
      <w:r w:rsidR="00B4762B">
        <w:rPr>
          <w:rFonts w:ascii="Century" w:hAnsi="Century"/>
          <w:lang w:val="en-ID"/>
        </w:rPr>
        <w:t>:</w:t>
      </w:r>
      <w:proofErr w:type="gramEnd"/>
      <w:r w:rsidR="00B4762B">
        <w:rPr>
          <w:rFonts w:ascii="Century" w:hAnsi="Century"/>
          <w:lang w:val="en-ID"/>
        </w:rPr>
        <w:t xml:space="preserve"> (1) </w:t>
      </w:r>
      <w:r w:rsidRPr="00EA1B37">
        <w:rPr>
          <w:rFonts w:ascii="Century" w:hAnsi="Century"/>
          <w:lang w:val="id-ID"/>
        </w:rPr>
        <w:t>secara kuantitatif berkurangnya angka kekerasan</w:t>
      </w:r>
      <w:r w:rsidR="00B4762B">
        <w:rPr>
          <w:rFonts w:ascii="Century" w:hAnsi="Century"/>
          <w:lang w:val="en-ID"/>
        </w:rPr>
        <w:t xml:space="preserve">; (2) </w:t>
      </w:r>
      <w:r w:rsidRPr="00EA1B37">
        <w:rPr>
          <w:rFonts w:ascii="Century" w:hAnsi="Century"/>
          <w:lang w:val="id-ID"/>
        </w:rPr>
        <w:t>secara kualitatif men</w:t>
      </w:r>
      <w:r w:rsidR="00841364">
        <w:rPr>
          <w:rFonts w:ascii="Century" w:hAnsi="Century"/>
          <w:lang w:val="id-ID"/>
        </w:rPr>
        <w:t xml:space="preserve">ingkatnya pemahaman </w:t>
      </w:r>
      <w:r w:rsidRPr="00EA1B37">
        <w:rPr>
          <w:rFonts w:ascii="Century" w:hAnsi="Century"/>
          <w:lang w:val="id-ID"/>
        </w:rPr>
        <w:t xml:space="preserve">masyarakat </w:t>
      </w:r>
      <w:r w:rsidRPr="00EA1B37">
        <w:rPr>
          <w:rFonts w:ascii="Century" w:hAnsi="Century"/>
          <w:lang w:val="en-ID"/>
        </w:rPr>
        <w:t xml:space="preserve">khususnya </w:t>
      </w:r>
      <w:r w:rsidR="00B4762B">
        <w:rPr>
          <w:rFonts w:ascii="Century" w:hAnsi="Century"/>
          <w:lang w:val="en-ID"/>
        </w:rPr>
        <w:t>relawan</w:t>
      </w:r>
      <w:r w:rsidR="00E83976">
        <w:rPr>
          <w:rFonts w:ascii="Century" w:hAnsi="Century"/>
          <w:lang w:val="en-ID"/>
        </w:rPr>
        <w:t xml:space="preserve"> tentang bentuk serta</w:t>
      </w:r>
      <w:r w:rsidR="00841364">
        <w:rPr>
          <w:rFonts w:ascii="Century" w:hAnsi="Century"/>
          <w:lang w:val="en-ID"/>
        </w:rPr>
        <w:t xml:space="preserve"> antisipasi kekerasan para perempuan dan anak</w:t>
      </w:r>
      <w:r w:rsidR="00B4762B">
        <w:rPr>
          <w:rFonts w:ascii="Century" w:hAnsi="Century"/>
          <w:lang w:val="en-ID"/>
        </w:rPr>
        <w:t xml:space="preserve">. </w:t>
      </w:r>
      <w:r w:rsidRPr="00EA1B37">
        <w:rPr>
          <w:rFonts w:ascii="Century" w:hAnsi="Century"/>
          <w:lang w:val="en-ID"/>
        </w:rPr>
        <w:t xml:space="preserve">Tindak lanjut para relawan dalam antisipasi kekerasan terhadap perempuan dan anak salah satunya adalah selalu waspada dengan tidak mengedepankan budaya </w:t>
      </w:r>
      <w:r w:rsidRPr="00B4762B">
        <w:rPr>
          <w:rFonts w:ascii="Century" w:hAnsi="Century"/>
          <w:i/>
          <w:lang w:val="en-ID"/>
        </w:rPr>
        <w:t>permisif</w:t>
      </w:r>
      <w:r w:rsidRPr="00EA1B37">
        <w:rPr>
          <w:rFonts w:ascii="Century" w:hAnsi="Century"/>
          <w:lang w:val="en-ID"/>
        </w:rPr>
        <w:t xml:space="preserve"> yang hanya diam ketika kekerasan terjadi di lingkungannya, yakni dengan mendampingi korban untuk tidak takut melaporkan ke pihak terkait</w:t>
      </w:r>
      <w:r w:rsidR="00B4762B">
        <w:rPr>
          <w:rFonts w:ascii="Century" w:hAnsi="Century"/>
          <w:lang w:val="en-ID"/>
        </w:rPr>
        <w:t>.</w:t>
      </w:r>
    </w:p>
    <w:p w14:paraId="710C539E" w14:textId="77777777" w:rsidR="004B3FB3" w:rsidRDefault="004B3FB3" w:rsidP="008B3882">
      <w:pPr>
        <w:ind w:left="720"/>
        <w:jc w:val="both"/>
        <w:rPr>
          <w:rFonts w:ascii="Century" w:hAnsi="Century"/>
          <w:b/>
          <w:lang w:val="en-ID"/>
        </w:rPr>
      </w:pPr>
    </w:p>
    <w:p w14:paraId="3153E54F" w14:textId="77777777" w:rsidR="0062033E" w:rsidRPr="00E01DF5" w:rsidRDefault="009D2660" w:rsidP="007949D7">
      <w:pPr>
        <w:pStyle w:val="IEEEHeading1"/>
        <w:numPr>
          <w:ilvl w:val="0"/>
          <w:numId w:val="11"/>
        </w:numPr>
        <w:spacing w:before="0" w:after="0" w:line="276" w:lineRule="auto"/>
        <w:jc w:val="left"/>
        <w:rPr>
          <w:rFonts w:ascii="Century" w:hAnsi="Century"/>
          <w:b/>
          <w:sz w:val="25"/>
          <w:szCs w:val="25"/>
          <w:lang w:val="en-US"/>
        </w:rPr>
      </w:pPr>
      <w:r w:rsidRPr="00E01DF5">
        <w:rPr>
          <w:rFonts w:ascii="Century" w:hAnsi="Century"/>
          <w:b/>
          <w:sz w:val="25"/>
          <w:szCs w:val="25"/>
          <w:lang w:val="id-ID"/>
        </w:rPr>
        <w:t xml:space="preserve">SIMPULAN </w:t>
      </w:r>
      <w:r w:rsidR="00F870D3" w:rsidRPr="00E01DF5">
        <w:rPr>
          <w:rFonts w:ascii="Century" w:hAnsi="Century"/>
          <w:b/>
          <w:sz w:val="25"/>
          <w:szCs w:val="25"/>
          <w:lang w:val="id-ID"/>
        </w:rPr>
        <w:t>DAN</w:t>
      </w:r>
      <w:r w:rsidR="00633178" w:rsidRPr="00E01DF5">
        <w:rPr>
          <w:rFonts w:ascii="Century" w:hAnsi="Century"/>
          <w:b/>
          <w:sz w:val="25"/>
          <w:szCs w:val="25"/>
          <w:lang w:val="id-ID"/>
        </w:rPr>
        <w:t xml:space="preserve"> SARAN</w:t>
      </w:r>
    </w:p>
    <w:p w14:paraId="3615199C" w14:textId="213EB802" w:rsidR="0040277B" w:rsidRPr="0040277B" w:rsidRDefault="00A5734E" w:rsidP="0040277B">
      <w:pPr>
        <w:spacing w:line="276" w:lineRule="auto"/>
        <w:ind w:firstLine="360"/>
        <w:jc w:val="both"/>
        <w:rPr>
          <w:rFonts w:ascii="Century" w:hAnsi="Century"/>
          <w:lang w:val="en-ID" w:eastAsia="sr-Cyrl-RS"/>
        </w:rPr>
      </w:pPr>
      <w:r w:rsidRPr="00ED278C">
        <w:rPr>
          <w:rFonts w:ascii="Century" w:hAnsi="Century"/>
          <w:w w:val="105"/>
        </w:rPr>
        <w:t xml:space="preserve">Program diselenggarakan dengan baik dan berjalan dengan lancar sesuai dengan rencana kegiatan yang telah disusun. </w:t>
      </w:r>
      <w:r w:rsidR="0040277B">
        <w:rPr>
          <w:rFonts w:ascii="Century" w:hAnsi="Century"/>
          <w:bCs/>
          <w:color w:val="000000" w:themeColor="text1"/>
        </w:rPr>
        <w:t xml:space="preserve">Tujuan kegiatan ini </w:t>
      </w:r>
      <w:r w:rsidR="00544BAC">
        <w:rPr>
          <w:rFonts w:ascii="Century" w:hAnsi="Century"/>
          <w:bCs/>
          <w:color w:val="000000" w:themeColor="text1"/>
        </w:rPr>
        <w:t>telah tercapai. R</w:t>
      </w:r>
      <w:r w:rsidR="0040277B">
        <w:rPr>
          <w:rFonts w:ascii="Century" w:hAnsi="Century"/>
          <w:bCs/>
          <w:color w:val="000000" w:themeColor="text1"/>
        </w:rPr>
        <w:t xml:space="preserve">elawan memahami </w:t>
      </w:r>
      <w:r w:rsidR="0040277B" w:rsidRPr="0040277B">
        <w:rPr>
          <w:rFonts w:ascii="Century" w:hAnsi="Century"/>
          <w:bCs/>
          <w:color w:val="000000" w:themeColor="text1"/>
        </w:rPr>
        <w:t>informasi bentuk-bentuk, penyebab, dampak kekerasan yang banyak dialami oleh perempuan</w:t>
      </w:r>
      <w:r w:rsidR="0040277B">
        <w:rPr>
          <w:rFonts w:ascii="Century" w:hAnsi="Century"/>
          <w:bCs/>
          <w:color w:val="000000" w:themeColor="text1"/>
          <w:lang w:val="en-ID"/>
        </w:rPr>
        <w:t xml:space="preserve"> dan anak, agar mampu meng</w:t>
      </w:r>
      <w:r w:rsidR="0040277B" w:rsidRPr="0040277B">
        <w:rPr>
          <w:rFonts w:ascii="Century" w:hAnsi="Century"/>
        </w:rPr>
        <w:t xml:space="preserve">edukasi </w:t>
      </w:r>
      <w:r w:rsidR="003F4431">
        <w:rPr>
          <w:rFonts w:ascii="Century" w:hAnsi="Century"/>
        </w:rPr>
        <w:t xml:space="preserve">masyarakat tentang </w:t>
      </w:r>
      <w:r w:rsidR="0040277B">
        <w:rPr>
          <w:rFonts w:ascii="Century" w:hAnsi="Century"/>
        </w:rPr>
        <w:t>adanya</w:t>
      </w:r>
      <w:r w:rsidR="00544BAC">
        <w:rPr>
          <w:rFonts w:ascii="Century" w:hAnsi="Century"/>
        </w:rPr>
        <w:t xml:space="preserve"> </w:t>
      </w:r>
      <w:r w:rsidR="0040277B" w:rsidRPr="0040277B">
        <w:rPr>
          <w:rFonts w:ascii="Century" w:hAnsi="Century"/>
        </w:rPr>
        <w:t xml:space="preserve">Undang-undang penghapusan </w:t>
      </w:r>
      <w:r w:rsidR="0040277B" w:rsidRPr="0040277B">
        <w:rPr>
          <w:rFonts w:ascii="Century" w:hAnsi="Century"/>
          <w:iCs/>
          <w:lang w:val="en-ID"/>
        </w:rPr>
        <w:t>kekeras</w:t>
      </w:r>
      <w:r w:rsidR="00E865B8">
        <w:rPr>
          <w:rFonts w:ascii="Century" w:hAnsi="Century"/>
          <w:iCs/>
          <w:lang w:val="en-ID"/>
        </w:rPr>
        <w:t xml:space="preserve">an pada perempuan dan </w:t>
      </w:r>
      <w:r w:rsidR="0040277B" w:rsidRPr="0040277B">
        <w:rPr>
          <w:rFonts w:ascii="Century" w:hAnsi="Century"/>
          <w:iCs/>
          <w:lang w:val="en-ID"/>
        </w:rPr>
        <w:t>anak.</w:t>
      </w:r>
      <w:r w:rsidR="0040277B" w:rsidRPr="0040277B">
        <w:rPr>
          <w:rFonts w:ascii="Century" w:hAnsi="Century"/>
          <w:bCs/>
          <w:color w:val="000000" w:themeColor="text1"/>
          <w:lang w:val="en-ID"/>
        </w:rPr>
        <w:t xml:space="preserve"> </w:t>
      </w:r>
    </w:p>
    <w:p w14:paraId="7A90D95E" w14:textId="2D5E0548" w:rsidR="00A5734E" w:rsidRPr="00ED278C" w:rsidRDefault="00A5734E" w:rsidP="0040277B">
      <w:pPr>
        <w:pStyle w:val="NormalWeb"/>
        <w:spacing w:before="0" w:beforeAutospacing="0" w:after="0" w:afterAutospacing="0" w:line="276" w:lineRule="auto"/>
        <w:ind w:firstLine="360"/>
        <w:jc w:val="both"/>
        <w:rPr>
          <w:rFonts w:ascii="Century" w:hAnsi="Century"/>
          <w:w w:val="105"/>
        </w:rPr>
      </w:pPr>
      <w:r w:rsidRPr="00ED278C">
        <w:rPr>
          <w:rFonts w:ascii="Century" w:hAnsi="Century"/>
          <w:w w:val="105"/>
        </w:rPr>
        <w:t xml:space="preserve">Kegiatan ini mendapat sambutan sangat baik terbukti dengan keaktifan peserta mengikuti serangkaian kegiatan dengan konsisten tidak meninggalkan tempat atau </w:t>
      </w:r>
      <w:r w:rsidRPr="00ED278C">
        <w:rPr>
          <w:rFonts w:ascii="Century" w:hAnsi="Century"/>
          <w:i/>
          <w:w w:val="105"/>
        </w:rPr>
        <w:t xml:space="preserve">leave zoom meeting </w:t>
      </w:r>
      <w:r w:rsidRPr="00ED278C">
        <w:rPr>
          <w:rFonts w:ascii="Century" w:hAnsi="Century"/>
          <w:w w:val="105"/>
        </w:rPr>
        <w:t>sebelum waktu berakhir.</w:t>
      </w:r>
      <w:r w:rsidRPr="00ED278C">
        <w:rPr>
          <w:rFonts w:ascii="Century" w:hAnsi="Century"/>
        </w:rPr>
        <w:t xml:space="preserve"> </w:t>
      </w:r>
      <w:r w:rsidRPr="00ED278C">
        <w:rPr>
          <w:rFonts w:ascii="Century" w:hAnsi="Century"/>
          <w:w w:val="105"/>
        </w:rPr>
        <w:t xml:space="preserve">Telah terbentuk Komunitas Peduli Perempuan dan Anak, </w:t>
      </w:r>
      <w:r w:rsidR="00E865B8">
        <w:rPr>
          <w:rFonts w:ascii="Century" w:hAnsi="Century"/>
          <w:w w:val="105"/>
        </w:rPr>
        <w:t>dengan</w:t>
      </w:r>
      <w:r w:rsidRPr="00ED278C">
        <w:rPr>
          <w:rFonts w:ascii="Century" w:hAnsi="Century"/>
          <w:w w:val="105"/>
        </w:rPr>
        <w:t xml:space="preserve"> </w:t>
      </w:r>
      <w:proofErr w:type="gramStart"/>
      <w:r w:rsidRPr="00ED278C">
        <w:rPr>
          <w:rFonts w:ascii="Century" w:hAnsi="Century"/>
          <w:w w:val="105"/>
        </w:rPr>
        <w:t>motto :</w:t>
      </w:r>
      <w:proofErr w:type="gramEnd"/>
      <w:r w:rsidRPr="00ED278C">
        <w:rPr>
          <w:rFonts w:ascii="Century" w:hAnsi="Century"/>
          <w:w w:val="105"/>
        </w:rPr>
        <w:t xml:space="preserve"> </w:t>
      </w:r>
      <w:r w:rsidR="009B479F" w:rsidRPr="00ED278C">
        <w:rPr>
          <w:rFonts w:ascii="Century" w:hAnsi="Century"/>
          <w:i/>
          <w:w w:val="105"/>
        </w:rPr>
        <w:t xml:space="preserve">self love and care, </w:t>
      </w:r>
      <w:r w:rsidR="009B479F" w:rsidRPr="00ED278C">
        <w:rPr>
          <w:rFonts w:ascii="Century" w:hAnsi="Century"/>
          <w:w w:val="105"/>
        </w:rPr>
        <w:t>sebagai payung organisasi relawan.</w:t>
      </w:r>
    </w:p>
    <w:p w14:paraId="21EFEAE7" w14:textId="72F56830" w:rsidR="00633178" w:rsidRPr="00ED278C" w:rsidRDefault="00A5734E" w:rsidP="007949D7">
      <w:pPr>
        <w:pStyle w:val="NormalWeb"/>
        <w:spacing w:before="0" w:beforeAutospacing="0" w:after="0" w:afterAutospacing="0" w:line="276" w:lineRule="auto"/>
        <w:ind w:firstLine="360"/>
        <w:jc w:val="both"/>
        <w:rPr>
          <w:rStyle w:val="longtext"/>
          <w:rFonts w:ascii="Century" w:hAnsi="Century"/>
          <w:shd w:val="clear" w:color="auto" w:fill="FFFFFF"/>
          <w:lang w:val="id-ID"/>
        </w:rPr>
      </w:pPr>
      <w:r w:rsidRPr="00ED278C">
        <w:rPr>
          <w:rFonts w:ascii="Century" w:hAnsi="Century"/>
          <w:lang w:val="sv-SE"/>
        </w:rPr>
        <w:t xml:space="preserve">Tindakan yang perlu dilakukan </w:t>
      </w:r>
      <w:r w:rsidR="00F414A4">
        <w:rPr>
          <w:rFonts w:ascii="Century" w:hAnsi="Century"/>
          <w:lang w:val="sv-SE"/>
        </w:rPr>
        <w:t xml:space="preserve">adalah </w:t>
      </w:r>
      <w:r w:rsidRPr="00ED278C">
        <w:rPr>
          <w:rFonts w:ascii="Century" w:hAnsi="Century"/>
          <w:lang w:val="sv-SE"/>
        </w:rPr>
        <w:t>memberikan kesadaran se</w:t>
      </w:r>
      <w:r w:rsidR="00F414A4">
        <w:rPr>
          <w:rFonts w:ascii="Century" w:hAnsi="Century"/>
          <w:lang w:val="sv-SE"/>
        </w:rPr>
        <w:t xml:space="preserve">rta kepedulian pada masyarakat. Jika mengetahui bahkan </w:t>
      </w:r>
      <w:r w:rsidRPr="00ED278C">
        <w:rPr>
          <w:rFonts w:ascii="Century" w:hAnsi="Century"/>
          <w:lang w:val="sv-SE"/>
        </w:rPr>
        <w:t xml:space="preserve">melihat adanya perilaku kekerasan di lingkungannya agar tidak membiarkan atau bersikap </w:t>
      </w:r>
      <w:r w:rsidRPr="00ED278C">
        <w:rPr>
          <w:rFonts w:ascii="Century" w:hAnsi="Century"/>
          <w:i/>
          <w:lang w:val="sv-SE"/>
        </w:rPr>
        <w:t>permisif</w:t>
      </w:r>
      <w:r w:rsidRPr="00ED278C">
        <w:rPr>
          <w:rFonts w:ascii="Century" w:hAnsi="Century"/>
          <w:lang w:val="sv-SE"/>
        </w:rPr>
        <w:t>. Tahap awal adalah dengan menyelamatkan korban dan memberikan pendampingan pada korban kekerasan. Di</w:t>
      </w:r>
      <w:r w:rsidR="00F414A4">
        <w:rPr>
          <w:rFonts w:ascii="Century" w:hAnsi="Century"/>
          <w:lang w:val="sv-SE"/>
        </w:rPr>
        <w:t xml:space="preserve"> </w:t>
      </w:r>
      <w:r w:rsidRPr="00ED278C">
        <w:rPr>
          <w:rFonts w:ascii="Century" w:hAnsi="Century"/>
          <w:lang w:val="sv-SE"/>
        </w:rPr>
        <w:t xml:space="preserve">samping itu juga diharapkan agar pengabdian masyarakat </w:t>
      </w:r>
      <w:r w:rsidR="00D33468" w:rsidRPr="00ED278C">
        <w:rPr>
          <w:rFonts w:ascii="Century" w:hAnsi="Century"/>
          <w:lang w:val="sv-SE"/>
        </w:rPr>
        <w:t xml:space="preserve">berupa kampanye </w:t>
      </w:r>
      <w:r w:rsidRPr="00ED278C">
        <w:rPr>
          <w:rFonts w:ascii="Century" w:hAnsi="Century"/>
          <w:lang w:val="sv-SE"/>
        </w:rPr>
        <w:t>antisipasi kekerasan juga dilakukan di lokasi lain</w:t>
      </w:r>
      <w:r w:rsidR="00D33468" w:rsidRPr="00ED278C">
        <w:rPr>
          <w:rFonts w:ascii="Century" w:hAnsi="Century"/>
          <w:lang w:val="sv-SE"/>
        </w:rPr>
        <w:t xml:space="preserve"> yang banyak terjadi tindak kekerasan terutama pada perempuan dan anak.</w:t>
      </w:r>
    </w:p>
    <w:p w14:paraId="0C136E39" w14:textId="77777777" w:rsidR="00BB64E7" w:rsidRPr="00420C35" w:rsidRDefault="00BB64E7" w:rsidP="007949D7">
      <w:pPr>
        <w:pStyle w:val="IEEEParagraph"/>
        <w:spacing w:line="276" w:lineRule="auto"/>
        <w:ind w:firstLine="0"/>
        <w:rPr>
          <w:rFonts w:ascii="Century" w:hAnsi="Century"/>
          <w:lang w:val="en-US"/>
        </w:rPr>
      </w:pPr>
    </w:p>
    <w:p w14:paraId="60782D10" w14:textId="77777777" w:rsidR="003950A4" w:rsidRPr="00E01DF5" w:rsidRDefault="009570BE" w:rsidP="007949D7">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en-US"/>
        </w:rPr>
        <w:t>UCAPAN TERIMA KASIH</w:t>
      </w:r>
    </w:p>
    <w:p w14:paraId="40ABED2A" w14:textId="41383719" w:rsidR="005D79BF" w:rsidRPr="000E46E7" w:rsidRDefault="00C45719" w:rsidP="000E46E7">
      <w:pPr>
        <w:spacing w:after="160" w:line="276" w:lineRule="auto"/>
        <w:ind w:firstLine="720"/>
        <w:jc w:val="both"/>
        <w:rPr>
          <w:rFonts w:ascii="Century" w:eastAsia="Times New Roman" w:hAnsi="Century"/>
          <w:b/>
        </w:rPr>
      </w:pPr>
      <w:r w:rsidRPr="0071307D">
        <w:rPr>
          <w:rFonts w:ascii="Century" w:hAnsi="Century"/>
          <w:bCs/>
        </w:rPr>
        <w:t xml:space="preserve">Ucapan terima </w:t>
      </w:r>
      <w:r w:rsidR="00790BBE">
        <w:rPr>
          <w:rFonts w:ascii="Century" w:hAnsi="Century"/>
          <w:bCs/>
        </w:rPr>
        <w:t xml:space="preserve">kasih, </w:t>
      </w:r>
      <w:proofErr w:type="gramStart"/>
      <w:r w:rsidR="00630F4D">
        <w:rPr>
          <w:rFonts w:ascii="Century" w:hAnsi="Century"/>
          <w:bCs/>
        </w:rPr>
        <w:t>tim</w:t>
      </w:r>
      <w:proofErr w:type="gramEnd"/>
      <w:r w:rsidRPr="0071307D">
        <w:rPr>
          <w:rFonts w:ascii="Century" w:hAnsi="Century"/>
          <w:bCs/>
        </w:rPr>
        <w:t xml:space="preserve"> haturkan kepada Kementrian Ristek/BRIN Republik Indonesia yang telah mendanai kegiatan ini melalui hibah Program</w:t>
      </w:r>
      <w:r w:rsidR="000E46E7">
        <w:rPr>
          <w:rFonts w:ascii="Century" w:hAnsi="Century"/>
          <w:bCs/>
        </w:rPr>
        <w:t xml:space="preserve"> Kemitraan Masyarakat</w:t>
      </w:r>
      <w:r w:rsidRPr="0071307D">
        <w:rPr>
          <w:rFonts w:ascii="Century" w:hAnsi="Century"/>
          <w:bCs/>
        </w:rPr>
        <w:t xml:space="preserve">. Tak lupa apresiasi tak terhingga </w:t>
      </w:r>
      <w:r w:rsidR="004431B2">
        <w:rPr>
          <w:rFonts w:ascii="Century" w:hAnsi="Century"/>
          <w:bCs/>
        </w:rPr>
        <w:t xml:space="preserve">kepada </w:t>
      </w:r>
      <w:r w:rsidRPr="0071307D">
        <w:rPr>
          <w:rFonts w:ascii="Century" w:hAnsi="Century"/>
          <w:bCs/>
        </w:rPr>
        <w:t xml:space="preserve">Ketua LPPM UHAMKA dan </w:t>
      </w:r>
      <w:proofErr w:type="gramStart"/>
      <w:r w:rsidRPr="0071307D">
        <w:rPr>
          <w:rFonts w:ascii="Century" w:hAnsi="Century"/>
          <w:bCs/>
        </w:rPr>
        <w:t>tim</w:t>
      </w:r>
      <w:proofErr w:type="gramEnd"/>
      <w:r w:rsidR="004431B2">
        <w:rPr>
          <w:rFonts w:ascii="Century" w:hAnsi="Century"/>
          <w:bCs/>
        </w:rPr>
        <w:t xml:space="preserve"> </w:t>
      </w:r>
      <w:r w:rsidR="004431B2" w:rsidRPr="0071307D">
        <w:rPr>
          <w:rFonts w:ascii="Century" w:hAnsi="Century"/>
          <w:bCs/>
        </w:rPr>
        <w:t>atas dukungan</w:t>
      </w:r>
      <w:r w:rsidR="004431B2">
        <w:rPr>
          <w:rFonts w:ascii="Century" w:hAnsi="Century"/>
          <w:bCs/>
        </w:rPr>
        <w:t xml:space="preserve"> yang luar biasa</w:t>
      </w:r>
      <w:r w:rsidRPr="0071307D">
        <w:rPr>
          <w:rFonts w:ascii="Century" w:hAnsi="Century"/>
          <w:bCs/>
        </w:rPr>
        <w:t xml:space="preserve">. Selain itu juga </w:t>
      </w:r>
      <w:r w:rsidRPr="0071307D">
        <w:rPr>
          <w:rFonts w:ascii="Century" w:hAnsi="Century"/>
          <w:bCs/>
        </w:rPr>
        <w:lastRenderedPageBreak/>
        <w:t xml:space="preserve">terima kasih kami sampaikan pada </w:t>
      </w:r>
      <w:r w:rsidR="000E46E7">
        <w:rPr>
          <w:rFonts w:ascii="Century" w:hAnsi="Century"/>
          <w:bCs/>
        </w:rPr>
        <w:t>mitra yang telah mendukung pelaksanaan kegiatan ini</w:t>
      </w:r>
      <w:r w:rsidR="00864914">
        <w:rPr>
          <w:rFonts w:ascii="Century" w:hAnsi="Century"/>
          <w:bCs/>
        </w:rPr>
        <w:t xml:space="preserve">, serta </w:t>
      </w:r>
      <w:r w:rsidRPr="0071307D">
        <w:rPr>
          <w:rFonts w:ascii="Century" w:hAnsi="Century"/>
          <w:bCs/>
        </w:rPr>
        <w:t xml:space="preserve">kepada semua pihak yang tak dapat disebutkan satu persatu yang telah banyak membantu pelaksanan kegiatan ini. </w:t>
      </w:r>
    </w:p>
    <w:p w14:paraId="0E34BA92" w14:textId="5CC6DB6F" w:rsidR="0018755D" w:rsidRPr="000E46E7" w:rsidRDefault="00633178" w:rsidP="000E46E7">
      <w:pPr>
        <w:pStyle w:val="IEEEHeading1"/>
        <w:numPr>
          <w:ilvl w:val="0"/>
          <w:numId w:val="0"/>
        </w:numPr>
        <w:spacing w:before="0" w:after="0" w:line="276" w:lineRule="auto"/>
        <w:jc w:val="left"/>
        <w:rPr>
          <w:rFonts w:ascii="Century" w:hAnsi="Century"/>
          <w:b/>
          <w:sz w:val="25"/>
          <w:szCs w:val="25"/>
          <w:lang w:val="id-ID"/>
        </w:rPr>
      </w:pPr>
      <w:r w:rsidRPr="00E01DF5">
        <w:rPr>
          <w:rFonts w:ascii="Century" w:hAnsi="Century"/>
          <w:b/>
          <w:sz w:val="25"/>
          <w:szCs w:val="25"/>
          <w:lang w:val="id-ID"/>
        </w:rPr>
        <w:t>DAFTAR RUJUKAN</w:t>
      </w:r>
    </w:p>
    <w:p w14:paraId="60205E20" w14:textId="42E1B2F1" w:rsidR="00A13C91" w:rsidRPr="007949D7" w:rsidRDefault="0018755D" w:rsidP="00A13C91">
      <w:pPr>
        <w:widowControl w:val="0"/>
        <w:autoSpaceDE w:val="0"/>
        <w:autoSpaceDN w:val="0"/>
        <w:adjustRightInd w:val="0"/>
        <w:ind w:left="480" w:hanging="480"/>
        <w:rPr>
          <w:rFonts w:ascii="Century" w:hAnsi="Century"/>
          <w:noProof/>
          <w:sz w:val="22"/>
          <w:szCs w:val="22"/>
        </w:rPr>
      </w:pPr>
      <w:r w:rsidRPr="007949D7">
        <w:rPr>
          <w:rFonts w:ascii="Century" w:hAnsi="Century"/>
          <w:sz w:val="22"/>
          <w:szCs w:val="22"/>
          <w:lang w:val="en-ID" w:eastAsia="sr-Cyrl-RS"/>
        </w:rPr>
        <w:fldChar w:fldCharType="begin" w:fldLock="1"/>
      </w:r>
      <w:r w:rsidRPr="007949D7">
        <w:rPr>
          <w:rFonts w:ascii="Century" w:hAnsi="Century"/>
          <w:sz w:val="22"/>
          <w:szCs w:val="22"/>
          <w:lang w:val="en-ID" w:eastAsia="sr-Cyrl-RS"/>
        </w:rPr>
        <w:instrText xml:space="preserve">ADDIN Mendeley Bibliography CSL_BIBLIOGRAPHY </w:instrText>
      </w:r>
      <w:r w:rsidRPr="007949D7">
        <w:rPr>
          <w:rFonts w:ascii="Century" w:hAnsi="Century"/>
          <w:sz w:val="22"/>
          <w:szCs w:val="22"/>
          <w:lang w:val="en-ID" w:eastAsia="sr-Cyrl-RS"/>
        </w:rPr>
        <w:fldChar w:fldCharType="separate"/>
      </w:r>
      <w:r w:rsidR="00A13C91" w:rsidRPr="007949D7">
        <w:rPr>
          <w:rFonts w:ascii="Century" w:hAnsi="Century"/>
          <w:noProof/>
          <w:sz w:val="22"/>
          <w:szCs w:val="22"/>
        </w:rPr>
        <w:t xml:space="preserve">Anderson, K., &amp; van Ee, E. (2018). Mothers and children exposed to intimate partner violence: a review of treatment interventions. </w:t>
      </w:r>
      <w:r w:rsidR="00A13C91" w:rsidRPr="007949D7">
        <w:rPr>
          <w:rFonts w:ascii="Century" w:hAnsi="Century"/>
          <w:i/>
          <w:iCs/>
          <w:noProof/>
          <w:sz w:val="22"/>
          <w:szCs w:val="22"/>
        </w:rPr>
        <w:t>International Journal of Environmental Research and Public Health</w:t>
      </w:r>
      <w:r w:rsidR="00A13C91" w:rsidRPr="007949D7">
        <w:rPr>
          <w:rFonts w:ascii="Century" w:hAnsi="Century"/>
          <w:noProof/>
          <w:sz w:val="22"/>
          <w:szCs w:val="22"/>
        </w:rPr>
        <w:t xml:space="preserve">, </w:t>
      </w:r>
      <w:r w:rsidR="00A13C91" w:rsidRPr="007949D7">
        <w:rPr>
          <w:rFonts w:ascii="Century" w:hAnsi="Century"/>
          <w:i/>
          <w:iCs/>
          <w:noProof/>
          <w:sz w:val="22"/>
          <w:szCs w:val="22"/>
        </w:rPr>
        <w:t>15</w:t>
      </w:r>
      <w:r w:rsidR="00A13C91" w:rsidRPr="007949D7">
        <w:rPr>
          <w:rFonts w:ascii="Century" w:hAnsi="Century"/>
          <w:noProof/>
          <w:sz w:val="22"/>
          <w:szCs w:val="22"/>
        </w:rPr>
        <w:t>(9). https://doi.org/10.3390/ijerph15091955</w:t>
      </w:r>
    </w:p>
    <w:p w14:paraId="54C7E397" w14:textId="77777777" w:rsidR="00A13C91" w:rsidRPr="007949D7" w:rsidRDefault="00A13C91" w:rsidP="00A13C91">
      <w:pPr>
        <w:widowControl w:val="0"/>
        <w:autoSpaceDE w:val="0"/>
        <w:autoSpaceDN w:val="0"/>
        <w:adjustRightInd w:val="0"/>
        <w:ind w:left="480" w:hanging="480"/>
        <w:rPr>
          <w:rFonts w:ascii="Century" w:hAnsi="Century"/>
          <w:noProof/>
          <w:sz w:val="22"/>
          <w:szCs w:val="22"/>
        </w:rPr>
      </w:pPr>
      <w:r w:rsidRPr="007949D7">
        <w:rPr>
          <w:rFonts w:ascii="Century" w:hAnsi="Century"/>
          <w:noProof/>
          <w:sz w:val="22"/>
          <w:szCs w:val="22"/>
        </w:rPr>
        <w:t xml:space="preserve">Coloroso, B. (2017). </w:t>
      </w:r>
      <w:r w:rsidRPr="007949D7">
        <w:rPr>
          <w:rFonts w:ascii="Century" w:hAnsi="Century"/>
          <w:i/>
          <w:iCs/>
          <w:noProof/>
          <w:sz w:val="22"/>
          <w:szCs w:val="22"/>
        </w:rPr>
        <w:t>The Bully, The Bullied, and The Bystander</w:t>
      </w:r>
      <w:r w:rsidRPr="007949D7">
        <w:rPr>
          <w:rFonts w:ascii="Century" w:hAnsi="Century"/>
          <w:noProof/>
          <w:sz w:val="22"/>
          <w:szCs w:val="22"/>
        </w:rPr>
        <w:t>. Harper Collins Publishers.</w:t>
      </w:r>
    </w:p>
    <w:p w14:paraId="1372FC43" w14:textId="77777777" w:rsidR="00A13C91" w:rsidRPr="007949D7" w:rsidRDefault="00A13C91" w:rsidP="00A13C91">
      <w:pPr>
        <w:widowControl w:val="0"/>
        <w:autoSpaceDE w:val="0"/>
        <w:autoSpaceDN w:val="0"/>
        <w:adjustRightInd w:val="0"/>
        <w:ind w:left="480" w:hanging="480"/>
        <w:rPr>
          <w:rFonts w:ascii="Century" w:hAnsi="Century"/>
          <w:noProof/>
          <w:sz w:val="22"/>
          <w:szCs w:val="22"/>
        </w:rPr>
      </w:pPr>
      <w:r w:rsidRPr="007949D7">
        <w:rPr>
          <w:rFonts w:ascii="Century" w:hAnsi="Century"/>
          <w:noProof/>
          <w:sz w:val="22"/>
          <w:szCs w:val="22"/>
        </w:rPr>
        <w:t xml:space="preserve">Greene, C. A. G. C. K. J. M. L. S., &amp; Briggs-Gowan, W. &amp; M. J. (2018). Psychological and physical intimate partner violence and young children’s mental health: The role of maternal posttraumatic stress symptoms and parenting behaviors. </w:t>
      </w:r>
      <w:r w:rsidRPr="007949D7">
        <w:rPr>
          <w:rFonts w:ascii="Century" w:hAnsi="Century"/>
          <w:i/>
          <w:iCs/>
          <w:noProof/>
          <w:sz w:val="22"/>
          <w:szCs w:val="22"/>
        </w:rPr>
        <w:t>Child Abuse &amp; Neglect</w:t>
      </w:r>
      <w:r w:rsidRPr="007949D7">
        <w:rPr>
          <w:rFonts w:ascii="Century" w:hAnsi="Century"/>
          <w:noProof/>
          <w:sz w:val="22"/>
          <w:szCs w:val="22"/>
        </w:rPr>
        <w:t xml:space="preserve">, </w:t>
      </w:r>
      <w:r w:rsidRPr="007949D7">
        <w:rPr>
          <w:rFonts w:ascii="Century" w:hAnsi="Century"/>
          <w:i/>
          <w:iCs/>
          <w:noProof/>
          <w:sz w:val="22"/>
          <w:szCs w:val="22"/>
        </w:rPr>
        <w:t>77</w:t>
      </w:r>
      <w:r w:rsidRPr="007949D7">
        <w:rPr>
          <w:rFonts w:ascii="Century" w:hAnsi="Century"/>
          <w:noProof/>
          <w:sz w:val="22"/>
          <w:szCs w:val="22"/>
        </w:rPr>
        <w:t>.</w:t>
      </w:r>
    </w:p>
    <w:p w14:paraId="3D44591A" w14:textId="77777777" w:rsidR="00A13C91" w:rsidRPr="007949D7" w:rsidRDefault="00A13C91" w:rsidP="00A13C91">
      <w:pPr>
        <w:widowControl w:val="0"/>
        <w:autoSpaceDE w:val="0"/>
        <w:autoSpaceDN w:val="0"/>
        <w:adjustRightInd w:val="0"/>
        <w:ind w:left="480" w:hanging="480"/>
        <w:rPr>
          <w:rFonts w:ascii="Century" w:hAnsi="Century"/>
          <w:noProof/>
          <w:sz w:val="22"/>
          <w:szCs w:val="22"/>
        </w:rPr>
      </w:pPr>
      <w:r w:rsidRPr="007949D7">
        <w:rPr>
          <w:rFonts w:ascii="Century" w:hAnsi="Century"/>
          <w:noProof/>
          <w:sz w:val="22"/>
          <w:szCs w:val="22"/>
        </w:rPr>
        <w:t xml:space="preserve">Greeson, M. R., Kennedy, A. C., Bybee, D. I., Beeble, M., Adams, A. E., &amp; Sullivan, C. (2014). Beyond Deficits: Intimate Partner Violence, Maternal Parenting, and Child Behavior Over Time. </w:t>
      </w:r>
      <w:r w:rsidRPr="007949D7">
        <w:rPr>
          <w:rFonts w:ascii="Century" w:hAnsi="Century"/>
          <w:i/>
          <w:iCs/>
          <w:noProof/>
          <w:sz w:val="22"/>
          <w:szCs w:val="22"/>
        </w:rPr>
        <w:t>American Journal of Community Psychology</w:t>
      </w:r>
      <w:r w:rsidRPr="007949D7">
        <w:rPr>
          <w:rFonts w:ascii="Century" w:hAnsi="Century"/>
          <w:noProof/>
          <w:sz w:val="22"/>
          <w:szCs w:val="22"/>
        </w:rPr>
        <w:t xml:space="preserve">, </w:t>
      </w:r>
      <w:r w:rsidRPr="007949D7">
        <w:rPr>
          <w:rFonts w:ascii="Century" w:hAnsi="Century"/>
          <w:i/>
          <w:iCs/>
          <w:noProof/>
          <w:sz w:val="22"/>
          <w:szCs w:val="22"/>
        </w:rPr>
        <w:t>54</w:t>
      </w:r>
      <w:r w:rsidRPr="007949D7">
        <w:rPr>
          <w:rFonts w:ascii="Century" w:hAnsi="Century"/>
          <w:noProof/>
          <w:sz w:val="22"/>
          <w:szCs w:val="22"/>
        </w:rPr>
        <w:t>(1–2), 46–58. https://doi.org/10.1007/s10464-014-9658-y</w:t>
      </w:r>
    </w:p>
    <w:p w14:paraId="021B0E38" w14:textId="77777777" w:rsidR="00A13C91" w:rsidRPr="007949D7" w:rsidRDefault="00A13C91" w:rsidP="00A13C91">
      <w:pPr>
        <w:widowControl w:val="0"/>
        <w:autoSpaceDE w:val="0"/>
        <w:autoSpaceDN w:val="0"/>
        <w:adjustRightInd w:val="0"/>
        <w:ind w:left="480" w:hanging="480"/>
        <w:rPr>
          <w:rFonts w:ascii="Century" w:hAnsi="Century"/>
          <w:noProof/>
          <w:sz w:val="22"/>
          <w:szCs w:val="22"/>
        </w:rPr>
      </w:pPr>
      <w:r w:rsidRPr="007949D7">
        <w:rPr>
          <w:rFonts w:ascii="Century" w:hAnsi="Century"/>
          <w:noProof/>
          <w:sz w:val="22"/>
          <w:szCs w:val="22"/>
        </w:rPr>
        <w:t xml:space="preserve">Gurtovenko, K., &amp; Katz, L. F. (2020). Post-Traumatic Stress, Mother’s Emotion Regulation, and Parenting in Survivors of Intimate Partner Violence. </w:t>
      </w:r>
      <w:r w:rsidRPr="007949D7">
        <w:rPr>
          <w:rFonts w:ascii="Century" w:hAnsi="Century"/>
          <w:i/>
          <w:iCs/>
          <w:noProof/>
          <w:sz w:val="22"/>
          <w:szCs w:val="22"/>
        </w:rPr>
        <w:t>Journal of Interpersonal Violence</w:t>
      </w:r>
      <w:r w:rsidRPr="007949D7">
        <w:rPr>
          <w:rFonts w:ascii="Century" w:hAnsi="Century"/>
          <w:noProof/>
          <w:sz w:val="22"/>
          <w:szCs w:val="22"/>
        </w:rPr>
        <w:t xml:space="preserve">, </w:t>
      </w:r>
      <w:r w:rsidRPr="007949D7">
        <w:rPr>
          <w:rFonts w:ascii="Century" w:hAnsi="Century"/>
          <w:i/>
          <w:iCs/>
          <w:noProof/>
          <w:sz w:val="22"/>
          <w:szCs w:val="22"/>
        </w:rPr>
        <w:t>35</w:t>
      </w:r>
      <w:r w:rsidRPr="007949D7">
        <w:rPr>
          <w:rFonts w:ascii="Century" w:hAnsi="Century"/>
          <w:noProof/>
          <w:sz w:val="22"/>
          <w:szCs w:val="22"/>
        </w:rPr>
        <w:t>(3–4), 876–898. https://doi.org/10.1177/0886260517690874</w:t>
      </w:r>
    </w:p>
    <w:p w14:paraId="62FD30AA" w14:textId="77777777" w:rsidR="00A13C91" w:rsidRPr="007949D7" w:rsidRDefault="00A13C91" w:rsidP="00A13C91">
      <w:pPr>
        <w:widowControl w:val="0"/>
        <w:autoSpaceDE w:val="0"/>
        <w:autoSpaceDN w:val="0"/>
        <w:adjustRightInd w:val="0"/>
        <w:ind w:left="480" w:hanging="480"/>
        <w:rPr>
          <w:rFonts w:ascii="Century" w:hAnsi="Century"/>
          <w:noProof/>
          <w:sz w:val="22"/>
          <w:szCs w:val="22"/>
        </w:rPr>
      </w:pPr>
      <w:r w:rsidRPr="007949D7">
        <w:rPr>
          <w:rFonts w:ascii="Century" w:hAnsi="Century"/>
          <w:noProof/>
          <w:sz w:val="22"/>
          <w:szCs w:val="22"/>
        </w:rPr>
        <w:t xml:space="preserve">Gustafsson, H. C., Coffman, J. L., &amp; Cox, M. J. (2015). Intimate partner violence, maternal sensitive parenting behaviors, and children’s executive functioning. </w:t>
      </w:r>
      <w:r w:rsidRPr="007949D7">
        <w:rPr>
          <w:rFonts w:ascii="Century" w:hAnsi="Century"/>
          <w:i/>
          <w:iCs/>
          <w:noProof/>
          <w:sz w:val="22"/>
          <w:szCs w:val="22"/>
        </w:rPr>
        <w:t>Psychology of Violence</w:t>
      </w:r>
      <w:r w:rsidRPr="007949D7">
        <w:rPr>
          <w:rFonts w:ascii="Century" w:hAnsi="Century"/>
          <w:noProof/>
          <w:sz w:val="22"/>
          <w:szCs w:val="22"/>
        </w:rPr>
        <w:t xml:space="preserve">, </w:t>
      </w:r>
      <w:r w:rsidRPr="007949D7">
        <w:rPr>
          <w:rFonts w:ascii="Century" w:hAnsi="Century"/>
          <w:i/>
          <w:iCs/>
          <w:noProof/>
          <w:sz w:val="22"/>
          <w:szCs w:val="22"/>
        </w:rPr>
        <w:t>5</w:t>
      </w:r>
      <w:r w:rsidRPr="007949D7">
        <w:rPr>
          <w:rFonts w:ascii="Century" w:hAnsi="Century"/>
          <w:noProof/>
          <w:sz w:val="22"/>
          <w:szCs w:val="22"/>
        </w:rPr>
        <w:t>(3), 266–274. https://doi.org/10.1037/a0037971</w:t>
      </w:r>
    </w:p>
    <w:p w14:paraId="2640DE0D" w14:textId="77777777" w:rsidR="00A13C91" w:rsidRPr="007949D7" w:rsidRDefault="00A13C91" w:rsidP="00A13C91">
      <w:pPr>
        <w:widowControl w:val="0"/>
        <w:autoSpaceDE w:val="0"/>
        <w:autoSpaceDN w:val="0"/>
        <w:adjustRightInd w:val="0"/>
        <w:ind w:left="480" w:hanging="480"/>
        <w:rPr>
          <w:rFonts w:ascii="Century" w:hAnsi="Century"/>
          <w:noProof/>
          <w:sz w:val="22"/>
          <w:szCs w:val="22"/>
        </w:rPr>
      </w:pPr>
      <w:r w:rsidRPr="007949D7">
        <w:rPr>
          <w:rFonts w:ascii="Century" w:hAnsi="Century"/>
          <w:noProof/>
          <w:sz w:val="22"/>
          <w:szCs w:val="22"/>
        </w:rPr>
        <w:t xml:space="preserve">Huang, C. C., Vikse, J. H., Lu, S., &amp; Yi, S. (2015). Children’s Exposure to Intimate Partner Violence and Early Delinquency. </w:t>
      </w:r>
      <w:r w:rsidRPr="007949D7">
        <w:rPr>
          <w:rFonts w:ascii="Century" w:hAnsi="Century"/>
          <w:i/>
          <w:iCs/>
          <w:noProof/>
          <w:sz w:val="22"/>
          <w:szCs w:val="22"/>
        </w:rPr>
        <w:t>Journal of Family Violence</w:t>
      </w:r>
      <w:r w:rsidRPr="007949D7">
        <w:rPr>
          <w:rFonts w:ascii="Century" w:hAnsi="Century"/>
          <w:noProof/>
          <w:sz w:val="22"/>
          <w:szCs w:val="22"/>
        </w:rPr>
        <w:t xml:space="preserve">, </w:t>
      </w:r>
      <w:r w:rsidRPr="007949D7">
        <w:rPr>
          <w:rFonts w:ascii="Century" w:hAnsi="Century"/>
          <w:i/>
          <w:iCs/>
          <w:noProof/>
          <w:sz w:val="22"/>
          <w:szCs w:val="22"/>
        </w:rPr>
        <w:t>30</w:t>
      </w:r>
      <w:r w:rsidRPr="007949D7">
        <w:rPr>
          <w:rFonts w:ascii="Century" w:hAnsi="Century"/>
          <w:noProof/>
          <w:sz w:val="22"/>
          <w:szCs w:val="22"/>
        </w:rPr>
        <w:t>(8), 953–965. https://doi.org/10.1007/s10896-015-9727-5</w:t>
      </w:r>
    </w:p>
    <w:p w14:paraId="21935F9B" w14:textId="77777777" w:rsidR="00A13C91" w:rsidRPr="007949D7" w:rsidRDefault="00A13C91" w:rsidP="00A13C91">
      <w:pPr>
        <w:widowControl w:val="0"/>
        <w:autoSpaceDE w:val="0"/>
        <w:autoSpaceDN w:val="0"/>
        <w:adjustRightInd w:val="0"/>
        <w:ind w:left="480" w:hanging="480"/>
        <w:rPr>
          <w:rFonts w:ascii="Century" w:hAnsi="Century"/>
          <w:noProof/>
          <w:sz w:val="22"/>
          <w:szCs w:val="22"/>
        </w:rPr>
      </w:pPr>
      <w:r w:rsidRPr="007949D7">
        <w:rPr>
          <w:rFonts w:ascii="Century" w:hAnsi="Century"/>
          <w:noProof/>
          <w:sz w:val="22"/>
          <w:szCs w:val="22"/>
        </w:rPr>
        <w:t xml:space="preserve">Ipek, E., &amp; Ayvaz Kizilgol, O. (2018). An Analysis on Domestic Violence against Women in Turkey: Multinomial Logit Model. </w:t>
      </w:r>
      <w:r w:rsidRPr="007949D7">
        <w:rPr>
          <w:rFonts w:ascii="Century" w:hAnsi="Century"/>
          <w:i/>
          <w:iCs/>
          <w:noProof/>
          <w:sz w:val="22"/>
          <w:szCs w:val="22"/>
        </w:rPr>
        <w:t>Business and Economics Research Journal</w:t>
      </w:r>
      <w:r w:rsidRPr="007949D7">
        <w:rPr>
          <w:rFonts w:ascii="Century" w:hAnsi="Century"/>
          <w:noProof/>
          <w:sz w:val="22"/>
          <w:szCs w:val="22"/>
        </w:rPr>
        <w:t xml:space="preserve">, </w:t>
      </w:r>
      <w:r w:rsidRPr="007949D7">
        <w:rPr>
          <w:rFonts w:ascii="Century" w:hAnsi="Century"/>
          <w:i/>
          <w:iCs/>
          <w:noProof/>
          <w:sz w:val="22"/>
          <w:szCs w:val="22"/>
        </w:rPr>
        <w:t>9</w:t>
      </w:r>
      <w:r w:rsidRPr="007949D7">
        <w:rPr>
          <w:rFonts w:ascii="Century" w:hAnsi="Century"/>
          <w:noProof/>
          <w:sz w:val="22"/>
          <w:szCs w:val="22"/>
        </w:rPr>
        <w:t>(3), 715–733. https://doi.org/10.20409/berj.2018.133</w:t>
      </w:r>
    </w:p>
    <w:p w14:paraId="2DC790B5" w14:textId="77777777" w:rsidR="00A13C91" w:rsidRPr="007949D7" w:rsidRDefault="00A13C91" w:rsidP="00A13C91">
      <w:pPr>
        <w:widowControl w:val="0"/>
        <w:autoSpaceDE w:val="0"/>
        <w:autoSpaceDN w:val="0"/>
        <w:adjustRightInd w:val="0"/>
        <w:ind w:left="480" w:hanging="480"/>
        <w:rPr>
          <w:rFonts w:ascii="Century" w:hAnsi="Century"/>
          <w:noProof/>
          <w:sz w:val="22"/>
          <w:szCs w:val="22"/>
        </w:rPr>
      </w:pPr>
      <w:r w:rsidRPr="007949D7">
        <w:rPr>
          <w:rFonts w:ascii="Century" w:hAnsi="Century"/>
          <w:noProof/>
          <w:sz w:val="22"/>
          <w:szCs w:val="22"/>
        </w:rPr>
        <w:t xml:space="preserve">Jurnal Perempuan. (2002). Hentikan Kekerasan Terhadap Perempuan. </w:t>
      </w:r>
      <w:r w:rsidRPr="007949D7">
        <w:rPr>
          <w:rFonts w:ascii="Century" w:hAnsi="Century"/>
          <w:i/>
          <w:iCs/>
          <w:noProof/>
          <w:sz w:val="22"/>
          <w:szCs w:val="22"/>
        </w:rPr>
        <w:t>Yayasan Jurnal Perempuan</w:t>
      </w:r>
      <w:r w:rsidRPr="007949D7">
        <w:rPr>
          <w:rFonts w:ascii="Century" w:hAnsi="Century"/>
          <w:noProof/>
          <w:sz w:val="22"/>
          <w:szCs w:val="22"/>
        </w:rPr>
        <w:t>.</w:t>
      </w:r>
    </w:p>
    <w:p w14:paraId="5C072999" w14:textId="77777777" w:rsidR="00A13C91" w:rsidRPr="007949D7" w:rsidRDefault="00A13C91" w:rsidP="00A13C91">
      <w:pPr>
        <w:widowControl w:val="0"/>
        <w:autoSpaceDE w:val="0"/>
        <w:autoSpaceDN w:val="0"/>
        <w:adjustRightInd w:val="0"/>
        <w:ind w:left="480" w:hanging="480"/>
        <w:rPr>
          <w:rFonts w:ascii="Century" w:hAnsi="Century"/>
          <w:noProof/>
          <w:sz w:val="22"/>
          <w:szCs w:val="22"/>
        </w:rPr>
      </w:pPr>
      <w:r w:rsidRPr="007949D7">
        <w:rPr>
          <w:rFonts w:ascii="Century" w:hAnsi="Century"/>
          <w:noProof/>
          <w:sz w:val="22"/>
          <w:szCs w:val="22"/>
        </w:rPr>
        <w:t xml:space="preserve">Jurnal Perempuan. (2007). Kesehatan Reproduksi: Andai Perempuan Bisa Memilih. </w:t>
      </w:r>
      <w:r w:rsidRPr="007949D7">
        <w:rPr>
          <w:rFonts w:ascii="Century" w:hAnsi="Century"/>
          <w:i/>
          <w:iCs/>
          <w:noProof/>
          <w:sz w:val="22"/>
          <w:szCs w:val="22"/>
        </w:rPr>
        <w:t>Yayasan Jurnal Perempuan</w:t>
      </w:r>
      <w:r w:rsidRPr="007949D7">
        <w:rPr>
          <w:rFonts w:ascii="Century" w:hAnsi="Century"/>
          <w:noProof/>
          <w:sz w:val="22"/>
          <w:szCs w:val="22"/>
        </w:rPr>
        <w:t>.</w:t>
      </w:r>
    </w:p>
    <w:p w14:paraId="19D3B51E" w14:textId="77777777" w:rsidR="00A13C91" w:rsidRPr="007949D7" w:rsidRDefault="00A13C91" w:rsidP="00A13C91">
      <w:pPr>
        <w:widowControl w:val="0"/>
        <w:autoSpaceDE w:val="0"/>
        <w:autoSpaceDN w:val="0"/>
        <w:adjustRightInd w:val="0"/>
        <w:ind w:left="480" w:hanging="480"/>
        <w:rPr>
          <w:rFonts w:ascii="Century" w:hAnsi="Century"/>
          <w:noProof/>
          <w:sz w:val="22"/>
          <w:szCs w:val="22"/>
        </w:rPr>
      </w:pPr>
      <w:r w:rsidRPr="007949D7">
        <w:rPr>
          <w:rFonts w:ascii="Century" w:hAnsi="Century"/>
          <w:noProof/>
          <w:sz w:val="22"/>
          <w:szCs w:val="22"/>
        </w:rPr>
        <w:t xml:space="preserve">Kandakai, T. L., &amp; King, K. A. (2002). Preservice teachers’ beliefs regarding school violence prevention training. </w:t>
      </w:r>
      <w:r w:rsidRPr="007949D7">
        <w:rPr>
          <w:rFonts w:ascii="Century" w:hAnsi="Century"/>
          <w:i/>
          <w:iCs/>
          <w:noProof/>
          <w:sz w:val="22"/>
          <w:szCs w:val="22"/>
        </w:rPr>
        <w:t>American Journal of Health Education</w:t>
      </w:r>
      <w:r w:rsidRPr="007949D7">
        <w:rPr>
          <w:rFonts w:ascii="Century" w:hAnsi="Century"/>
          <w:noProof/>
          <w:sz w:val="22"/>
          <w:szCs w:val="22"/>
        </w:rPr>
        <w:t xml:space="preserve">, </w:t>
      </w:r>
      <w:r w:rsidRPr="007949D7">
        <w:rPr>
          <w:rFonts w:ascii="Century" w:hAnsi="Century"/>
          <w:i/>
          <w:iCs/>
          <w:noProof/>
          <w:sz w:val="22"/>
          <w:szCs w:val="22"/>
        </w:rPr>
        <w:t>33</w:t>
      </w:r>
      <w:r w:rsidRPr="007949D7">
        <w:rPr>
          <w:rFonts w:ascii="Century" w:hAnsi="Century"/>
          <w:noProof/>
          <w:sz w:val="22"/>
          <w:szCs w:val="22"/>
        </w:rPr>
        <w:t>(6), 350–356. https://doi.org/10.1080/19325037.2002.10604759</w:t>
      </w:r>
    </w:p>
    <w:p w14:paraId="69D7EDE7" w14:textId="77777777" w:rsidR="00A13C91" w:rsidRPr="007949D7" w:rsidRDefault="00A13C91" w:rsidP="00A13C91">
      <w:pPr>
        <w:widowControl w:val="0"/>
        <w:autoSpaceDE w:val="0"/>
        <w:autoSpaceDN w:val="0"/>
        <w:adjustRightInd w:val="0"/>
        <w:ind w:left="480" w:hanging="480"/>
        <w:rPr>
          <w:rFonts w:ascii="Century" w:hAnsi="Century"/>
          <w:noProof/>
          <w:sz w:val="22"/>
          <w:szCs w:val="22"/>
        </w:rPr>
      </w:pPr>
      <w:r w:rsidRPr="007949D7">
        <w:rPr>
          <w:rFonts w:ascii="Century" w:hAnsi="Century"/>
          <w:noProof/>
          <w:sz w:val="22"/>
          <w:szCs w:val="22"/>
        </w:rPr>
        <w:t xml:space="preserve">Katz, L. F., &amp; Gurtovenko, K. (2015). Posttraumatic stress and emotion regulation in survivors of intimate partner violence. </w:t>
      </w:r>
      <w:r w:rsidRPr="007949D7">
        <w:rPr>
          <w:rFonts w:ascii="Century" w:hAnsi="Century"/>
          <w:i/>
          <w:iCs/>
          <w:noProof/>
          <w:sz w:val="22"/>
          <w:szCs w:val="22"/>
        </w:rPr>
        <w:t>Journal of Family Psychology</w:t>
      </w:r>
      <w:r w:rsidRPr="007949D7">
        <w:rPr>
          <w:rFonts w:ascii="Century" w:hAnsi="Century"/>
          <w:noProof/>
          <w:sz w:val="22"/>
          <w:szCs w:val="22"/>
        </w:rPr>
        <w:t xml:space="preserve">, </w:t>
      </w:r>
      <w:r w:rsidRPr="007949D7">
        <w:rPr>
          <w:rFonts w:ascii="Century" w:hAnsi="Century"/>
          <w:i/>
          <w:iCs/>
          <w:noProof/>
          <w:sz w:val="22"/>
          <w:szCs w:val="22"/>
        </w:rPr>
        <w:t>29</w:t>
      </w:r>
      <w:r w:rsidRPr="007949D7">
        <w:rPr>
          <w:rFonts w:ascii="Century" w:hAnsi="Century"/>
          <w:noProof/>
          <w:sz w:val="22"/>
          <w:szCs w:val="22"/>
        </w:rPr>
        <w:t>(4), 528–536. https://doi.org/10.1037/fam0000128</w:t>
      </w:r>
    </w:p>
    <w:p w14:paraId="1BCEA4FD" w14:textId="77777777" w:rsidR="00A13C91" w:rsidRPr="007949D7" w:rsidRDefault="00A13C91" w:rsidP="00A13C91">
      <w:pPr>
        <w:widowControl w:val="0"/>
        <w:autoSpaceDE w:val="0"/>
        <w:autoSpaceDN w:val="0"/>
        <w:adjustRightInd w:val="0"/>
        <w:ind w:left="480" w:hanging="480"/>
        <w:rPr>
          <w:rFonts w:ascii="Century" w:hAnsi="Century"/>
          <w:noProof/>
          <w:sz w:val="22"/>
          <w:szCs w:val="22"/>
        </w:rPr>
      </w:pPr>
      <w:r w:rsidRPr="007949D7">
        <w:rPr>
          <w:rFonts w:ascii="Century" w:hAnsi="Century"/>
          <w:noProof/>
          <w:sz w:val="22"/>
          <w:szCs w:val="22"/>
        </w:rPr>
        <w:t xml:space="preserve">komnasperempuan.go.id. (2020). </w:t>
      </w:r>
      <w:r w:rsidRPr="007949D7">
        <w:rPr>
          <w:rFonts w:ascii="Century" w:hAnsi="Century"/>
          <w:i/>
          <w:iCs/>
          <w:noProof/>
          <w:sz w:val="22"/>
          <w:szCs w:val="22"/>
        </w:rPr>
        <w:t>kampanye Anti Kekerasan terhadap Perempuan</w:t>
      </w:r>
      <w:r w:rsidRPr="007949D7">
        <w:rPr>
          <w:rFonts w:ascii="Century" w:hAnsi="Century"/>
          <w:noProof/>
          <w:sz w:val="22"/>
          <w:szCs w:val="22"/>
        </w:rPr>
        <w:t>. Komnasperempuan.Go.Id.</w:t>
      </w:r>
    </w:p>
    <w:p w14:paraId="619C513B" w14:textId="77777777" w:rsidR="00A13C91" w:rsidRPr="007949D7" w:rsidRDefault="00A13C91" w:rsidP="00A13C91">
      <w:pPr>
        <w:widowControl w:val="0"/>
        <w:autoSpaceDE w:val="0"/>
        <w:autoSpaceDN w:val="0"/>
        <w:adjustRightInd w:val="0"/>
        <w:ind w:left="480" w:hanging="480"/>
        <w:rPr>
          <w:rFonts w:ascii="Century" w:hAnsi="Century"/>
          <w:noProof/>
          <w:sz w:val="22"/>
          <w:szCs w:val="22"/>
        </w:rPr>
      </w:pPr>
      <w:r w:rsidRPr="007949D7">
        <w:rPr>
          <w:rFonts w:ascii="Century" w:hAnsi="Century"/>
          <w:noProof/>
          <w:sz w:val="22"/>
          <w:szCs w:val="22"/>
        </w:rPr>
        <w:t xml:space="preserve">Limeira, M. I. C. de A., &amp; Féres-Carneiro, T. (2019). Reconciliation in Remarriage to an Ex-Spouse: Individual Changes. </w:t>
      </w:r>
      <w:r w:rsidRPr="007949D7">
        <w:rPr>
          <w:rFonts w:ascii="Century" w:hAnsi="Century"/>
          <w:i/>
          <w:iCs/>
          <w:noProof/>
          <w:sz w:val="22"/>
          <w:szCs w:val="22"/>
        </w:rPr>
        <w:t>Journal of Divorce and Remarriage</w:t>
      </w:r>
      <w:r w:rsidRPr="007949D7">
        <w:rPr>
          <w:rFonts w:ascii="Century" w:hAnsi="Century"/>
          <w:noProof/>
          <w:sz w:val="22"/>
          <w:szCs w:val="22"/>
        </w:rPr>
        <w:t xml:space="preserve">, </w:t>
      </w:r>
      <w:r w:rsidRPr="007949D7">
        <w:rPr>
          <w:rFonts w:ascii="Century" w:hAnsi="Century"/>
          <w:i/>
          <w:iCs/>
          <w:noProof/>
          <w:sz w:val="22"/>
          <w:szCs w:val="22"/>
        </w:rPr>
        <w:t>60</w:t>
      </w:r>
      <w:r w:rsidRPr="007949D7">
        <w:rPr>
          <w:rFonts w:ascii="Century" w:hAnsi="Century"/>
          <w:noProof/>
          <w:sz w:val="22"/>
          <w:szCs w:val="22"/>
        </w:rPr>
        <w:t>(8), 612–629. https://doi.org/10.1080/10502556.2019.1619382</w:t>
      </w:r>
    </w:p>
    <w:p w14:paraId="44E51DAC" w14:textId="77777777" w:rsidR="00A13C91" w:rsidRPr="007949D7" w:rsidRDefault="00A13C91" w:rsidP="00A13C91">
      <w:pPr>
        <w:widowControl w:val="0"/>
        <w:autoSpaceDE w:val="0"/>
        <w:autoSpaceDN w:val="0"/>
        <w:adjustRightInd w:val="0"/>
        <w:ind w:left="480" w:hanging="480"/>
        <w:rPr>
          <w:rFonts w:ascii="Century" w:hAnsi="Century"/>
          <w:noProof/>
          <w:sz w:val="22"/>
          <w:szCs w:val="22"/>
        </w:rPr>
      </w:pPr>
      <w:r w:rsidRPr="007949D7">
        <w:rPr>
          <w:rFonts w:ascii="Century" w:hAnsi="Century"/>
          <w:noProof/>
          <w:sz w:val="22"/>
          <w:szCs w:val="22"/>
        </w:rPr>
        <w:t xml:space="preserve">Marshall, K., Herbst, J., Girod, C., &amp; Annor, F. (2020). Do interventions to prevent or stop abuse and neglect among older adults work? A systematic review of reviews. </w:t>
      </w:r>
      <w:r w:rsidRPr="007949D7">
        <w:rPr>
          <w:rFonts w:ascii="Century" w:hAnsi="Century"/>
          <w:i/>
          <w:iCs/>
          <w:noProof/>
          <w:sz w:val="22"/>
          <w:szCs w:val="22"/>
        </w:rPr>
        <w:t>Journal of Elder Abuse and Neglect</w:t>
      </w:r>
      <w:r w:rsidRPr="007949D7">
        <w:rPr>
          <w:rFonts w:ascii="Century" w:hAnsi="Century"/>
          <w:noProof/>
          <w:sz w:val="22"/>
          <w:szCs w:val="22"/>
        </w:rPr>
        <w:t xml:space="preserve">, </w:t>
      </w:r>
      <w:r w:rsidRPr="007949D7">
        <w:rPr>
          <w:rFonts w:ascii="Century" w:hAnsi="Century"/>
          <w:i/>
          <w:iCs/>
          <w:noProof/>
          <w:sz w:val="22"/>
          <w:szCs w:val="22"/>
        </w:rPr>
        <w:t>00</w:t>
      </w:r>
      <w:r w:rsidRPr="007949D7">
        <w:rPr>
          <w:rFonts w:ascii="Century" w:hAnsi="Century"/>
          <w:noProof/>
          <w:sz w:val="22"/>
          <w:szCs w:val="22"/>
        </w:rPr>
        <w:t>(00), 1–25. https://doi.org/10.1080/08946566.2020.1819926</w:t>
      </w:r>
    </w:p>
    <w:p w14:paraId="24B03623" w14:textId="77777777" w:rsidR="00A13C91" w:rsidRPr="007949D7" w:rsidRDefault="00A13C91" w:rsidP="00A13C91">
      <w:pPr>
        <w:widowControl w:val="0"/>
        <w:autoSpaceDE w:val="0"/>
        <w:autoSpaceDN w:val="0"/>
        <w:adjustRightInd w:val="0"/>
        <w:ind w:left="480" w:hanging="480"/>
        <w:rPr>
          <w:rFonts w:ascii="Century" w:hAnsi="Century"/>
          <w:noProof/>
          <w:sz w:val="22"/>
          <w:szCs w:val="22"/>
        </w:rPr>
      </w:pPr>
      <w:r w:rsidRPr="007949D7">
        <w:rPr>
          <w:rFonts w:ascii="Century" w:hAnsi="Century"/>
          <w:noProof/>
          <w:sz w:val="22"/>
          <w:szCs w:val="22"/>
        </w:rPr>
        <w:t xml:space="preserve">Melliza, S. (2010). Sikap Istri terhadap Kekerasan Dalam RT. </w:t>
      </w:r>
      <w:r w:rsidRPr="007949D7">
        <w:rPr>
          <w:rFonts w:ascii="Century" w:hAnsi="Century"/>
          <w:i/>
          <w:iCs/>
          <w:noProof/>
          <w:sz w:val="22"/>
          <w:szCs w:val="22"/>
        </w:rPr>
        <w:t>Jurnal Psikologi</w:t>
      </w:r>
      <w:r w:rsidRPr="007949D7">
        <w:rPr>
          <w:rFonts w:ascii="Century" w:hAnsi="Century"/>
          <w:noProof/>
          <w:sz w:val="22"/>
          <w:szCs w:val="22"/>
        </w:rPr>
        <w:t xml:space="preserve">, </w:t>
      </w:r>
      <w:r w:rsidRPr="007949D7">
        <w:rPr>
          <w:rFonts w:ascii="Century" w:hAnsi="Century"/>
          <w:i/>
          <w:iCs/>
          <w:noProof/>
          <w:sz w:val="22"/>
          <w:szCs w:val="22"/>
        </w:rPr>
        <w:t>8</w:t>
      </w:r>
      <w:r w:rsidRPr="007949D7">
        <w:rPr>
          <w:rFonts w:ascii="Century" w:hAnsi="Century"/>
          <w:noProof/>
          <w:sz w:val="22"/>
          <w:szCs w:val="22"/>
        </w:rPr>
        <w:t>(1).</w:t>
      </w:r>
    </w:p>
    <w:p w14:paraId="1719B0B6" w14:textId="77777777" w:rsidR="00A13C91" w:rsidRPr="007949D7" w:rsidRDefault="00A13C91" w:rsidP="00A13C91">
      <w:pPr>
        <w:widowControl w:val="0"/>
        <w:autoSpaceDE w:val="0"/>
        <w:autoSpaceDN w:val="0"/>
        <w:adjustRightInd w:val="0"/>
        <w:ind w:left="480" w:hanging="480"/>
        <w:rPr>
          <w:rFonts w:ascii="Century" w:hAnsi="Century"/>
          <w:noProof/>
          <w:sz w:val="22"/>
          <w:szCs w:val="22"/>
        </w:rPr>
      </w:pPr>
      <w:r w:rsidRPr="007949D7">
        <w:rPr>
          <w:rFonts w:ascii="Century" w:hAnsi="Century"/>
          <w:noProof/>
          <w:sz w:val="22"/>
          <w:szCs w:val="22"/>
        </w:rPr>
        <w:lastRenderedPageBreak/>
        <w:t xml:space="preserve">Miller-Graff, L. E., Cater, Å. K., Howell, K. H., &amp; Graham-Bermann, S. A. (2016). Parent–child warmth as a potential mediator of childhood exposure to intimate partner violence and positive adulthood functioning. </w:t>
      </w:r>
      <w:r w:rsidRPr="007949D7">
        <w:rPr>
          <w:rFonts w:ascii="Century" w:hAnsi="Century"/>
          <w:i/>
          <w:iCs/>
          <w:noProof/>
          <w:sz w:val="22"/>
          <w:szCs w:val="22"/>
        </w:rPr>
        <w:t>Anxiety, Stress and Coping</w:t>
      </w:r>
      <w:r w:rsidRPr="007949D7">
        <w:rPr>
          <w:rFonts w:ascii="Century" w:hAnsi="Century"/>
          <w:noProof/>
          <w:sz w:val="22"/>
          <w:szCs w:val="22"/>
        </w:rPr>
        <w:t xml:space="preserve">, </w:t>
      </w:r>
      <w:r w:rsidRPr="007949D7">
        <w:rPr>
          <w:rFonts w:ascii="Century" w:hAnsi="Century"/>
          <w:i/>
          <w:iCs/>
          <w:noProof/>
          <w:sz w:val="22"/>
          <w:szCs w:val="22"/>
        </w:rPr>
        <w:t>29</w:t>
      </w:r>
      <w:r w:rsidRPr="007949D7">
        <w:rPr>
          <w:rFonts w:ascii="Century" w:hAnsi="Century"/>
          <w:noProof/>
          <w:sz w:val="22"/>
          <w:szCs w:val="22"/>
        </w:rPr>
        <w:t>(3), 259–273. https://doi.org/10.1080/10615806.2015.1028030</w:t>
      </w:r>
    </w:p>
    <w:p w14:paraId="4F9D0158" w14:textId="77777777" w:rsidR="00A13C91" w:rsidRPr="007949D7" w:rsidRDefault="00A13C91" w:rsidP="00A13C91">
      <w:pPr>
        <w:widowControl w:val="0"/>
        <w:autoSpaceDE w:val="0"/>
        <w:autoSpaceDN w:val="0"/>
        <w:adjustRightInd w:val="0"/>
        <w:ind w:left="480" w:hanging="480"/>
        <w:rPr>
          <w:rFonts w:ascii="Century" w:hAnsi="Century"/>
          <w:noProof/>
          <w:sz w:val="22"/>
          <w:szCs w:val="22"/>
        </w:rPr>
      </w:pPr>
      <w:r w:rsidRPr="007949D7">
        <w:rPr>
          <w:rFonts w:ascii="Century" w:hAnsi="Century"/>
          <w:noProof/>
          <w:sz w:val="22"/>
          <w:szCs w:val="22"/>
        </w:rPr>
        <w:t xml:space="preserve">O’Dor, S. L., Grasso, D. J., Forbes, D., Bates, J. E., McCarthy, K. J., Wakschlag, L. S., &amp; Briggs-Gowan, M. J. (2017). The Family Socialization Interview—Revised (FSI-R): a Comprehensive Assessment of Parental Disciplinary Behaviors. </w:t>
      </w:r>
      <w:r w:rsidRPr="007949D7">
        <w:rPr>
          <w:rFonts w:ascii="Century" w:hAnsi="Century"/>
          <w:i/>
          <w:iCs/>
          <w:noProof/>
          <w:sz w:val="22"/>
          <w:szCs w:val="22"/>
        </w:rPr>
        <w:t>Prevention Science</w:t>
      </w:r>
      <w:r w:rsidRPr="007949D7">
        <w:rPr>
          <w:rFonts w:ascii="Century" w:hAnsi="Century"/>
          <w:noProof/>
          <w:sz w:val="22"/>
          <w:szCs w:val="22"/>
        </w:rPr>
        <w:t xml:space="preserve">, </w:t>
      </w:r>
      <w:r w:rsidRPr="007949D7">
        <w:rPr>
          <w:rFonts w:ascii="Century" w:hAnsi="Century"/>
          <w:i/>
          <w:iCs/>
          <w:noProof/>
          <w:sz w:val="22"/>
          <w:szCs w:val="22"/>
        </w:rPr>
        <w:t>18</w:t>
      </w:r>
      <w:r w:rsidRPr="007949D7">
        <w:rPr>
          <w:rFonts w:ascii="Century" w:hAnsi="Century"/>
          <w:noProof/>
          <w:sz w:val="22"/>
          <w:szCs w:val="22"/>
        </w:rPr>
        <w:t>(3), 292–304. https://doi.org/10.1007/s11121-016-0707-7</w:t>
      </w:r>
    </w:p>
    <w:p w14:paraId="554974E5" w14:textId="77777777" w:rsidR="00A13C91" w:rsidRPr="007949D7" w:rsidRDefault="00A13C91" w:rsidP="00A13C91">
      <w:pPr>
        <w:widowControl w:val="0"/>
        <w:autoSpaceDE w:val="0"/>
        <w:autoSpaceDN w:val="0"/>
        <w:adjustRightInd w:val="0"/>
        <w:ind w:left="480" w:hanging="480"/>
        <w:rPr>
          <w:rFonts w:ascii="Century" w:hAnsi="Century"/>
          <w:noProof/>
          <w:sz w:val="22"/>
          <w:szCs w:val="22"/>
        </w:rPr>
      </w:pPr>
      <w:r w:rsidRPr="007949D7">
        <w:rPr>
          <w:rFonts w:ascii="Century" w:hAnsi="Century"/>
          <w:noProof/>
          <w:sz w:val="22"/>
          <w:szCs w:val="22"/>
        </w:rPr>
        <w:t xml:space="preserve">Pinquart, M. (2017). Associations of Parenting Dimensions and Styles with Internalizing Symptoms in Children and Adolescents: A Meta-Analysis. </w:t>
      </w:r>
      <w:r w:rsidRPr="007949D7">
        <w:rPr>
          <w:rFonts w:ascii="Century" w:hAnsi="Century"/>
          <w:i/>
          <w:iCs/>
          <w:noProof/>
          <w:sz w:val="22"/>
          <w:szCs w:val="22"/>
        </w:rPr>
        <w:t>Marriage and Family Review</w:t>
      </w:r>
      <w:r w:rsidRPr="007949D7">
        <w:rPr>
          <w:rFonts w:ascii="Century" w:hAnsi="Century"/>
          <w:noProof/>
          <w:sz w:val="22"/>
          <w:szCs w:val="22"/>
        </w:rPr>
        <w:t xml:space="preserve">, </w:t>
      </w:r>
      <w:r w:rsidRPr="007949D7">
        <w:rPr>
          <w:rFonts w:ascii="Century" w:hAnsi="Century"/>
          <w:i/>
          <w:iCs/>
          <w:noProof/>
          <w:sz w:val="22"/>
          <w:szCs w:val="22"/>
        </w:rPr>
        <w:t>53</w:t>
      </w:r>
      <w:r w:rsidRPr="007949D7">
        <w:rPr>
          <w:rFonts w:ascii="Century" w:hAnsi="Century"/>
          <w:noProof/>
          <w:sz w:val="22"/>
          <w:szCs w:val="22"/>
        </w:rPr>
        <w:t>(7), 613–640. https://doi.org/10.1080/01494929.2016.1247761</w:t>
      </w:r>
    </w:p>
    <w:p w14:paraId="7E164C8E" w14:textId="77777777" w:rsidR="00A13C91" w:rsidRPr="007949D7" w:rsidRDefault="00A13C91" w:rsidP="00A13C91">
      <w:pPr>
        <w:widowControl w:val="0"/>
        <w:autoSpaceDE w:val="0"/>
        <w:autoSpaceDN w:val="0"/>
        <w:adjustRightInd w:val="0"/>
        <w:ind w:left="480" w:hanging="480"/>
        <w:rPr>
          <w:rFonts w:ascii="Century" w:hAnsi="Century"/>
          <w:noProof/>
          <w:sz w:val="22"/>
          <w:szCs w:val="22"/>
        </w:rPr>
      </w:pPr>
      <w:r w:rsidRPr="007949D7">
        <w:rPr>
          <w:rFonts w:ascii="Century" w:hAnsi="Century"/>
          <w:noProof/>
          <w:sz w:val="22"/>
          <w:szCs w:val="22"/>
        </w:rPr>
        <w:t xml:space="preserve">Rahmawati, F. (2021). </w:t>
      </w:r>
      <w:r w:rsidRPr="007949D7">
        <w:rPr>
          <w:rFonts w:ascii="Century" w:hAnsi="Century"/>
          <w:i/>
          <w:iCs/>
          <w:noProof/>
          <w:sz w:val="22"/>
          <w:szCs w:val="22"/>
        </w:rPr>
        <w:t>Kekerasan Perempuan dan Anak di Banten Bikin Merinding, P2TP2A Banyak Tangani Korban di Bulan Ramadan</w:t>
      </w:r>
      <w:r w:rsidRPr="007949D7">
        <w:rPr>
          <w:rFonts w:ascii="Century" w:hAnsi="Century"/>
          <w:noProof/>
          <w:sz w:val="22"/>
          <w:szCs w:val="22"/>
        </w:rPr>
        <w:t>. Kabarbanten.Pikiran-Rakyat.Com/. https://kabarbanten.pikiran-rakyat.com/seputar-banten/pr-591846577/kekerasan-perempuan-dan-anak-di-banten-bikin-merinding-p2tp2a-banyak-tangani-korban-di-bulan-ramadan?page=5</w:t>
      </w:r>
    </w:p>
    <w:p w14:paraId="3883DBD9" w14:textId="77777777" w:rsidR="00A13C91" w:rsidRPr="007949D7" w:rsidRDefault="00A13C91" w:rsidP="00A13C91">
      <w:pPr>
        <w:widowControl w:val="0"/>
        <w:autoSpaceDE w:val="0"/>
        <w:autoSpaceDN w:val="0"/>
        <w:adjustRightInd w:val="0"/>
        <w:ind w:left="480" w:hanging="480"/>
        <w:rPr>
          <w:rFonts w:ascii="Century" w:hAnsi="Century"/>
          <w:noProof/>
          <w:sz w:val="22"/>
          <w:szCs w:val="22"/>
        </w:rPr>
      </w:pPr>
      <w:r w:rsidRPr="007949D7">
        <w:rPr>
          <w:rFonts w:ascii="Century" w:hAnsi="Century"/>
          <w:noProof/>
          <w:sz w:val="22"/>
          <w:szCs w:val="22"/>
        </w:rPr>
        <w:t xml:space="preserve">Salloum, A., Stover, C. S., Swaidan, V. R., &amp; Storch, E. A. (2015). Parent and Child PTSD and Parent Depression in Relation to Parenting Stress Among Trauma-Exposed Children. </w:t>
      </w:r>
      <w:r w:rsidRPr="007949D7">
        <w:rPr>
          <w:rFonts w:ascii="Century" w:hAnsi="Century"/>
          <w:i/>
          <w:iCs/>
          <w:noProof/>
          <w:sz w:val="22"/>
          <w:szCs w:val="22"/>
        </w:rPr>
        <w:t>Journal of Child and Family Studies</w:t>
      </w:r>
      <w:r w:rsidRPr="007949D7">
        <w:rPr>
          <w:rFonts w:ascii="Century" w:hAnsi="Century"/>
          <w:noProof/>
          <w:sz w:val="22"/>
          <w:szCs w:val="22"/>
        </w:rPr>
        <w:t xml:space="preserve">, </w:t>
      </w:r>
      <w:r w:rsidRPr="007949D7">
        <w:rPr>
          <w:rFonts w:ascii="Century" w:hAnsi="Century"/>
          <w:i/>
          <w:iCs/>
          <w:noProof/>
          <w:sz w:val="22"/>
          <w:szCs w:val="22"/>
        </w:rPr>
        <w:t>24</w:t>
      </w:r>
      <w:r w:rsidRPr="007949D7">
        <w:rPr>
          <w:rFonts w:ascii="Century" w:hAnsi="Century"/>
          <w:noProof/>
          <w:sz w:val="22"/>
          <w:szCs w:val="22"/>
        </w:rPr>
        <w:t>(5), 1203–1212. https://doi.org/10.1007/s10826-014-9928-1</w:t>
      </w:r>
    </w:p>
    <w:p w14:paraId="3595DBD7" w14:textId="77777777" w:rsidR="00A13C91" w:rsidRPr="007949D7" w:rsidRDefault="00A13C91" w:rsidP="00A13C91">
      <w:pPr>
        <w:widowControl w:val="0"/>
        <w:autoSpaceDE w:val="0"/>
        <w:autoSpaceDN w:val="0"/>
        <w:adjustRightInd w:val="0"/>
        <w:ind w:left="480" w:hanging="480"/>
        <w:rPr>
          <w:rFonts w:ascii="Century" w:hAnsi="Century"/>
          <w:noProof/>
          <w:sz w:val="22"/>
          <w:szCs w:val="22"/>
        </w:rPr>
      </w:pPr>
      <w:r w:rsidRPr="007949D7">
        <w:rPr>
          <w:rFonts w:ascii="Century" w:hAnsi="Century"/>
          <w:noProof/>
          <w:sz w:val="22"/>
          <w:szCs w:val="22"/>
        </w:rPr>
        <w:t xml:space="preserve">Taylor, D. (2014). </w:t>
      </w:r>
      <w:r w:rsidRPr="007949D7">
        <w:rPr>
          <w:rFonts w:ascii="Century" w:hAnsi="Century"/>
          <w:i/>
          <w:iCs/>
          <w:noProof/>
          <w:sz w:val="22"/>
          <w:szCs w:val="22"/>
        </w:rPr>
        <w:t>Toxic communities</w:t>
      </w:r>
      <w:r w:rsidRPr="007949D7">
        <w:rPr>
          <w:rFonts w:ascii="Century" w:hAnsi="Century"/>
          <w:noProof/>
          <w:sz w:val="22"/>
          <w:szCs w:val="22"/>
        </w:rPr>
        <w:t>. New York University Press. https://www.degruyter.com/document/doi/10.18574/9781479805150/html</w:t>
      </w:r>
    </w:p>
    <w:p w14:paraId="5A5D7C92" w14:textId="2E216530" w:rsidR="0040277B" w:rsidRDefault="0018755D" w:rsidP="007C1D76">
      <w:pPr>
        <w:rPr>
          <w:rFonts w:ascii="Century" w:hAnsi="Century"/>
          <w:bCs/>
          <w:color w:val="000000" w:themeColor="text1"/>
        </w:rPr>
      </w:pPr>
      <w:r w:rsidRPr="007949D7">
        <w:rPr>
          <w:rFonts w:ascii="Century" w:hAnsi="Century"/>
          <w:sz w:val="22"/>
          <w:szCs w:val="22"/>
          <w:lang w:val="en-ID" w:eastAsia="sr-Cyrl-RS"/>
        </w:rPr>
        <w:fldChar w:fldCharType="end"/>
      </w:r>
    </w:p>
    <w:sectPr w:rsidR="0040277B"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43008" w14:textId="77777777" w:rsidR="008A0BCF" w:rsidRDefault="008A0BCF" w:rsidP="00A1414F">
      <w:r>
        <w:separator/>
      </w:r>
    </w:p>
  </w:endnote>
  <w:endnote w:type="continuationSeparator" w:id="0">
    <w:p w14:paraId="5E531DD1" w14:textId="77777777" w:rsidR="008A0BCF" w:rsidRDefault="008A0BCF"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BF7FA" w14:textId="696EA363" w:rsidR="00893F54" w:rsidRDefault="008A0BCF" w:rsidP="00922A80">
    <w:pPr>
      <w:pStyle w:val="Footer"/>
      <w:jc w:val="center"/>
    </w:pPr>
    <w:sdt>
      <w:sdtPr>
        <w:id w:val="-303084485"/>
        <w:docPartObj>
          <w:docPartGallery w:val="Page Numbers (Bottom of Page)"/>
          <w:docPartUnique/>
        </w:docPartObj>
      </w:sdtPr>
      <w:sdtEndPr/>
      <w:sdtContent>
        <w:r w:rsidR="00893F54">
          <w:fldChar w:fldCharType="begin"/>
        </w:r>
        <w:r w:rsidR="00893F54">
          <w:instrText xml:space="preserve"> PAGE   \* MERGEFORMAT </w:instrText>
        </w:r>
        <w:r w:rsidR="00893F54">
          <w:fldChar w:fldCharType="separate"/>
        </w:r>
        <w:r w:rsidR="00A06F2C">
          <w:rPr>
            <w:noProof/>
          </w:rPr>
          <w:t>1</w:t>
        </w:r>
        <w:r w:rsidR="00893F5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A6427" w14:textId="77777777" w:rsidR="008A0BCF" w:rsidRDefault="008A0BCF" w:rsidP="00A1414F">
      <w:r>
        <w:separator/>
      </w:r>
    </w:p>
  </w:footnote>
  <w:footnote w:type="continuationSeparator" w:id="0">
    <w:p w14:paraId="0B7CDB59" w14:textId="77777777" w:rsidR="008A0BCF" w:rsidRDefault="008A0BCF"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03D55" w14:textId="356367DA" w:rsidR="00893F54" w:rsidRPr="00420C35" w:rsidRDefault="00893F54"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B05EA0">
      <w:rPr>
        <w:rFonts w:ascii="Trebuchet MS" w:hAnsi="Trebuchet MS"/>
        <w:smallCaps/>
        <w:noProof/>
        <w:sz w:val="22"/>
        <w:szCs w:val="22"/>
        <w:lang w:val="id-ID"/>
      </w:rPr>
      <w:t>8</w:t>
    </w:r>
    <w:r w:rsidRPr="009151A5">
      <w:rPr>
        <w:rFonts w:ascii="Trebuchet MS" w:hAnsi="Trebuchet MS"/>
        <w:smallCaps/>
        <w:noProof/>
        <w:sz w:val="22"/>
        <w:szCs w:val="22"/>
        <w:lang w:val="id-ID"/>
      </w:rPr>
      <w:fldChar w:fldCharType="end"/>
    </w:r>
    <w:r w:rsidRPr="009151A5">
      <w:rPr>
        <w:rFonts w:ascii="Trebuchet MS" w:hAnsi="Trebuchet MS"/>
        <w:smallCaps/>
        <w:noProof/>
        <w:sz w:val="22"/>
        <w:szCs w:val="22"/>
        <w:lang w:val="id-ID"/>
      </w:rPr>
      <w:t xml:space="preserve">  </w:t>
    </w:r>
    <w:r>
      <w:rPr>
        <w:rFonts w:ascii="Trebuchet MS" w:hAnsi="Trebuchet MS"/>
        <w:smallCaps/>
        <w:noProof/>
        <w:sz w:val="22"/>
        <w:szCs w:val="22"/>
        <w:lang w:val="en-US"/>
      </w:rPr>
      <w:t xml:space="preserve">|  </w:t>
    </w:r>
    <w:r w:rsidRPr="00420C35">
      <w:rPr>
        <w:rFonts w:ascii="Trebuchet MS" w:hAnsi="Trebuchet MS"/>
        <w:b/>
        <w:smallCaps/>
        <w:noProof/>
        <w:sz w:val="22"/>
        <w:szCs w:val="22"/>
        <w:lang w:val="en-US"/>
      </w:rPr>
      <w:t>JMM (</w:t>
    </w:r>
    <w:r w:rsidRPr="00922A80">
      <w:rPr>
        <w:rFonts w:ascii="Trebuchet MS" w:hAnsi="Trebuchet MS"/>
        <w:b/>
        <w:sz w:val="22"/>
        <w:szCs w:val="22"/>
      </w:rPr>
      <w:t>Jurnal Masyarakat Mandiri</w:t>
    </w:r>
    <w:r>
      <w:rPr>
        <w:rFonts w:ascii="Trebuchet MS" w:hAnsi="Trebuchet MS"/>
        <w:b/>
        <w:sz w:val="22"/>
        <w:szCs w:val="22"/>
      </w:rPr>
      <w:t xml:space="preserve">) | </w:t>
    </w:r>
    <w:r w:rsidRPr="005D79BF">
      <w:rPr>
        <w:rFonts w:ascii="Trebuchet MS" w:hAnsi="Trebuchet MS"/>
        <w:sz w:val="20"/>
        <w:szCs w:val="20"/>
        <w:lang w:val="id-ID"/>
      </w:rPr>
      <w:t>Vol.</w:t>
    </w:r>
    <w:r w:rsidRPr="005D79BF">
      <w:rPr>
        <w:rFonts w:ascii="Trebuchet MS" w:hAnsi="Trebuchet MS"/>
        <w:sz w:val="20"/>
        <w:szCs w:val="20"/>
        <w:lang w:val="en-US"/>
      </w:rPr>
      <w:t xml:space="preserve"> </w:t>
    </w:r>
    <w:r>
      <w:rPr>
        <w:rFonts w:ascii="Trebuchet MS" w:hAnsi="Trebuchet MS"/>
        <w:sz w:val="20"/>
        <w:szCs w:val="20"/>
        <w:lang w:val="en-US"/>
      </w:rPr>
      <w:t>X</w:t>
    </w:r>
    <w:r w:rsidRPr="005D79BF">
      <w:rPr>
        <w:rFonts w:ascii="Trebuchet MS" w:hAnsi="Trebuchet MS"/>
        <w:sz w:val="20"/>
        <w:szCs w:val="20"/>
        <w:lang w:val="id-ID"/>
      </w:rPr>
      <w:t>, No.</w:t>
    </w:r>
    <w:r w:rsidRPr="005D79BF">
      <w:rPr>
        <w:rFonts w:ascii="Trebuchet MS" w:hAnsi="Trebuchet MS"/>
        <w:sz w:val="20"/>
        <w:szCs w:val="20"/>
        <w:lang w:val="en-US"/>
      </w:rPr>
      <w:t xml:space="preserve"> </w:t>
    </w:r>
    <w:r>
      <w:rPr>
        <w:rFonts w:ascii="Trebuchet MS" w:hAnsi="Trebuchet MS"/>
        <w:sz w:val="20"/>
        <w:szCs w:val="20"/>
        <w:lang w:val="en-US"/>
      </w:rPr>
      <w:t>X</w:t>
    </w:r>
    <w:r w:rsidRPr="005D79BF">
      <w:rPr>
        <w:rFonts w:ascii="Trebuchet MS" w:hAnsi="Trebuchet MS"/>
        <w:sz w:val="20"/>
        <w:szCs w:val="20"/>
        <w:lang w:val="id-ID"/>
      </w:rPr>
      <w:t xml:space="preserve">, </w:t>
    </w:r>
    <w:r>
      <w:rPr>
        <w:rFonts w:ascii="Trebuchet MS" w:hAnsi="Trebuchet MS"/>
        <w:sz w:val="20"/>
        <w:szCs w:val="20"/>
        <w:lang w:val="en-US"/>
      </w:rPr>
      <w:t>Bulan</w:t>
    </w:r>
    <w:r w:rsidRPr="005D79BF">
      <w:rPr>
        <w:rFonts w:ascii="Trebuchet MS" w:hAnsi="Trebuchet MS"/>
        <w:sz w:val="20"/>
        <w:szCs w:val="20"/>
        <w:lang w:val="id-ID"/>
      </w:rPr>
      <w:t xml:space="preserve"> </w:t>
    </w:r>
    <w:r w:rsidRPr="005D79BF">
      <w:rPr>
        <w:rFonts w:ascii="Trebuchet MS" w:hAnsi="Trebuchet MS"/>
        <w:sz w:val="20"/>
        <w:szCs w:val="20"/>
        <w:lang w:val="en-US"/>
      </w:rPr>
      <w:t>20</w:t>
    </w:r>
    <w:r>
      <w:rPr>
        <w:rFonts w:ascii="Trebuchet MS" w:hAnsi="Trebuchet MS"/>
        <w:sz w:val="20"/>
        <w:szCs w:val="20"/>
        <w:lang w:val="en-US"/>
      </w:rPr>
      <w:t>XX</w:t>
    </w:r>
    <w:r w:rsidRPr="005D79BF">
      <w:rPr>
        <w:rFonts w:ascii="Trebuchet MS" w:hAnsi="Trebuchet MS"/>
        <w:sz w:val="20"/>
        <w:szCs w:val="20"/>
        <w:lang w:val="id-ID"/>
      </w:rPr>
      <w:t>, hal</w:t>
    </w:r>
    <w:r>
      <w:rPr>
        <w:rFonts w:ascii="Trebuchet MS" w:hAnsi="Trebuchet MS"/>
        <w:sz w:val="20"/>
        <w:szCs w:val="20"/>
        <w:lang w:val="en-US"/>
      </w:rPr>
      <w:t>. XX-YY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0D3D1" w14:textId="63161ED2" w:rsidR="00893F54" w:rsidRPr="005F45B1" w:rsidRDefault="00893F54"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B05EA0">
      <w:rPr>
        <w:noProof/>
        <w:sz w:val="22"/>
        <w:szCs w:val="22"/>
      </w:rPr>
      <w:t>9</w:t>
    </w:r>
    <w:r w:rsidRPr="005F45B1">
      <w:rPr>
        <w:noProof/>
        <w:sz w:val="22"/>
        <w:szCs w:val="22"/>
      </w:rPr>
      <w:fldChar w:fldCharType="end"/>
    </w:r>
  </w:p>
  <w:p w14:paraId="1F6AE0DB" w14:textId="2134CCCC" w:rsidR="00893F54" w:rsidRPr="001A1D29" w:rsidRDefault="00BC34F9" w:rsidP="00613D89">
    <w:pPr>
      <w:pStyle w:val="Header"/>
      <w:jc w:val="right"/>
      <w:rPr>
        <w:sz w:val="20"/>
        <w:szCs w:val="20"/>
      </w:rPr>
    </w:pPr>
    <w:r>
      <w:rPr>
        <w:rFonts w:ascii="Arial Narrow" w:hAnsi="Arial Narrow"/>
        <w:i/>
        <w:sz w:val="22"/>
        <w:szCs w:val="22"/>
        <w:lang w:val="en-ID"/>
      </w:rPr>
      <w:t>Novi Andayani Praptiningsih, Pemberdayaan Relawan Dalam</w:t>
    </w:r>
    <w:r w:rsidR="00893F54" w:rsidRPr="00E01DF5">
      <w:rPr>
        <w:rFonts w:ascii="Arial Narrow" w:hAnsi="Arial Narrow"/>
        <w:i/>
        <w:sz w:val="22"/>
        <w:szCs w:val="22"/>
        <w:lang w:val="id-ID"/>
      </w:rPr>
      <w:t>...</w:t>
    </w:r>
    <w:r w:rsidR="00893F54">
      <w:rPr>
        <w:rFonts w:ascii="Arial Narrow" w:hAnsi="Arial Narrow"/>
        <w:i/>
        <w:sz w:val="22"/>
        <w:szCs w:val="22"/>
        <w:lang w:val="id-ID"/>
      </w:rPr>
      <w:t xml:space="preserve"> </w:t>
    </w:r>
    <w:r w:rsidR="00893F54">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36014" w14:textId="77777777" w:rsidR="00893F54" w:rsidRDefault="00893F54">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13A55355" wp14:editId="487AA42B">
              <wp:simplePos x="0" y="0"/>
              <wp:positionH relativeFrom="column">
                <wp:posOffset>1783715</wp:posOffset>
              </wp:positionH>
              <wp:positionV relativeFrom="paragraph">
                <wp:posOffset>-34290</wp:posOffset>
              </wp:positionV>
              <wp:extent cx="3687445" cy="994410"/>
              <wp:effectExtent l="12065" t="13335" r="5715" b="1143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23F8D99E" w14:textId="77777777" w:rsidR="00893F54" w:rsidRPr="004F3606" w:rsidRDefault="00893F54" w:rsidP="00420C35">
                          <w:pPr>
                            <w:jc w:val="right"/>
                            <w:rPr>
                              <w:rFonts w:ascii="Century Gothic" w:hAnsi="Century Gothic"/>
                              <w:b/>
                              <w:sz w:val="22"/>
                              <w:szCs w:val="16"/>
                            </w:rPr>
                          </w:pPr>
                          <w:r>
                            <w:rPr>
                              <w:rFonts w:ascii="Century Gothic" w:hAnsi="Century Gothic"/>
                              <w:b/>
                              <w:sz w:val="22"/>
                              <w:szCs w:val="16"/>
                            </w:rPr>
                            <w:t>JMM (Jurnal Masyarakat Mandiri)</w:t>
                          </w:r>
                        </w:p>
                        <w:p w14:paraId="1CC14DA1" w14:textId="77777777" w:rsidR="00893F54" w:rsidRPr="004F3606" w:rsidRDefault="008A0BCF" w:rsidP="00420C35">
                          <w:pPr>
                            <w:jc w:val="right"/>
                            <w:rPr>
                              <w:rFonts w:ascii="Century Gothic" w:hAnsi="Century Gothic"/>
                              <w:b/>
                              <w:sz w:val="14"/>
                              <w:szCs w:val="16"/>
                            </w:rPr>
                          </w:pPr>
                          <w:hyperlink r:id="rId1" w:history="1">
                            <w:r w:rsidR="00893F54" w:rsidRPr="004F3606">
                              <w:rPr>
                                <w:rStyle w:val="Hyperlink"/>
                                <w:sz w:val="22"/>
                              </w:rPr>
                              <w:t>http://journal.ummat.ac.id/index.php/jmm</w:t>
                            </w:r>
                          </w:hyperlink>
                        </w:p>
                        <w:p w14:paraId="3ECBDB0D" w14:textId="77777777" w:rsidR="00893F54" w:rsidRPr="004F3606" w:rsidRDefault="00893F54" w:rsidP="00420C3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X</w:t>
                          </w:r>
                          <w:proofErr w:type="gramStart"/>
                          <w:r w:rsidRPr="004F3606">
                            <w:rPr>
                              <w:rFonts w:ascii="Century Gothic" w:hAnsi="Century Gothic"/>
                              <w:b/>
                              <w:sz w:val="20"/>
                              <w:szCs w:val="20"/>
                            </w:rPr>
                            <w:t xml:space="preserve">, </w:t>
                          </w:r>
                          <w:r>
                            <w:rPr>
                              <w:rFonts w:ascii="Century Gothic" w:hAnsi="Century Gothic"/>
                              <w:b/>
                              <w:sz w:val="20"/>
                              <w:szCs w:val="20"/>
                            </w:rPr>
                            <w:t xml:space="preserve"> No</w:t>
                          </w:r>
                          <w:proofErr w:type="gramEnd"/>
                          <w:r>
                            <w:rPr>
                              <w:rFonts w:ascii="Century Gothic" w:hAnsi="Century Gothic"/>
                              <w:b/>
                              <w:sz w:val="20"/>
                              <w:szCs w:val="20"/>
                            </w:rPr>
                            <w:t>. X</w:t>
                          </w:r>
                          <w:r w:rsidRPr="004F3606">
                            <w:rPr>
                              <w:rFonts w:ascii="Century Gothic" w:hAnsi="Century Gothic"/>
                              <w:b/>
                              <w:sz w:val="20"/>
                              <w:szCs w:val="20"/>
                            </w:rPr>
                            <w:t xml:space="preserve">, </w:t>
                          </w:r>
                          <w:r>
                            <w:rPr>
                              <w:rFonts w:ascii="Century Gothic" w:hAnsi="Century Gothic"/>
                              <w:b/>
                              <w:sz w:val="20"/>
                              <w:szCs w:val="20"/>
                            </w:rPr>
                            <w:t>Bulan 20XX</w:t>
                          </w:r>
                          <w:r w:rsidRPr="004F3606">
                            <w:rPr>
                              <w:rFonts w:ascii="Century Gothic" w:hAnsi="Century Gothic"/>
                              <w:b/>
                              <w:sz w:val="20"/>
                              <w:szCs w:val="20"/>
                            </w:rPr>
                            <w:t xml:space="preserve">, Hal. </w:t>
                          </w:r>
                          <w:r>
                            <w:rPr>
                              <w:rFonts w:ascii="Century Gothic" w:hAnsi="Century Gothic"/>
                              <w:b/>
                              <w:sz w:val="20"/>
                              <w:szCs w:val="20"/>
                            </w:rPr>
                            <w:t>XX-XX</w:t>
                          </w:r>
                        </w:p>
                        <w:p w14:paraId="2D9F5917" w14:textId="77777777" w:rsidR="00893F54" w:rsidRDefault="00893F54"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14:paraId="55299940" w14:textId="77777777" w:rsidR="00893F54" w:rsidRPr="004F3606" w:rsidRDefault="00893F54"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703ED5C1" wp14:editId="359B3AA9">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0D1337">
                              <w:rPr>
                                <w:rStyle w:val="Hyperlink"/>
                                <w:rFonts w:ascii="Arial" w:hAnsi="Arial" w:cs="Arial"/>
                                <w:sz w:val="19"/>
                                <w:szCs w:val="19"/>
                              </w:rPr>
                              <w:t>https://doi.org/10.31764/jmm.vXiX.XXXX</w:t>
                            </w:r>
                          </w:hyperlink>
                        </w:p>
                        <w:p w14:paraId="37E91A8C" w14:textId="77777777" w:rsidR="00893F54" w:rsidRPr="004F3606" w:rsidRDefault="00893F54" w:rsidP="00420C35">
                          <w:pPr>
                            <w:jc w:val="right"/>
                            <w:rPr>
                              <w:rFonts w:ascii="Arial" w:hAnsi="Arial" w:cs="Arial"/>
                              <w:sz w:val="19"/>
                              <w:szCs w:val="19"/>
                            </w:rPr>
                          </w:pPr>
                        </w:p>
                        <w:p w14:paraId="04AC2EBA" w14:textId="77777777" w:rsidR="00893F54" w:rsidRPr="00B524B4" w:rsidRDefault="00893F54" w:rsidP="00420C35">
                          <w:pPr>
                            <w:jc w:val="right"/>
                            <w:rPr>
                              <w:rFonts w:ascii="Arial" w:hAnsi="Arial" w:cs="Arial"/>
                              <w:sz w:val="19"/>
                              <w:szCs w:val="19"/>
                            </w:rPr>
                          </w:pPr>
                        </w:p>
                        <w:p w14:paraId="5C893C15" w14:textId="77777777" w:rsidR="00893F54" w:rsidRPr="004F3606" w:rsidRDefault="00893F54"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55355" id="_x0000_t202" coordsize="21600,21600" o:spt="202" path="m,l,21600r21600,l21600,xe">
              <v:stroke joinstyle="miter"/>
              <v:path gradientshapeok="t" o:connecttype="rect"/>
            </v:shapetype>
            <v:shape id="Text Box 5" o:spid="_x0000_s1026"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" strokecolor="white [3212]" strokeweight="0">
              <v:fill opacity="0"/>
              <v:textbox>
                <w:txbxContent>
                  <w:p w14:paraId="23F8D99E" w14:textId="77777777" w:rsidR="00893F54" w:rsidRPr="004F3606" w:rsidRDefault="00893F54" w:rsidP="00420C35">
                    <w:pPr>
                      <w:jc w:val="right"/>
                      <w:rPr>
                        <w:rFonts w:ascii="Century Gothic" w:hAnsi="Century Gothic"/>
                        <w:b/>
                        <w:sz w:val="22"/>
                        <w:szCs w:val="16"/>
                      </w:rPr>
                    </w:pPr>
                    <w:r>
                      <w:rPr>
                        <w:rFonts w:ascii="Century Gothic" w:hAnsi="Century Gothic"/>
                        <w:b/>
                        <w:sz w:val="22"/>
                        <w:szCs w:val="16"/>
                      </w:rPr>
                      <w:t>JMM (Jurnal Masyarakat Mandiri)</w:t>
                    </w:r>
                  </w:p>
                  <w:p w14:paraId="1CC14DA1" w14:textId="77777777" w:rsidR="00893F54" w:rsidRPr="004F3606" w:rsidRDefault="00893F54" w:rsidP="00420C35">
                    <w:pPr>
                      <w:jc w:val="right"/>
                      <w:rPr>
                        <w:rFonts w:ascii="Century Gothic" w:hAnsi="Century Gothic"/>
                        <w:b/>
                        <w:sz w:val="14"/>
                        <w:szCs w:val="16"/>
                      </w:rPr>
                    </w:pPr>
                    <w:hyperlink r:id="rId4" w:history="1">
                      <w:r w:rsidRPr="004F3606">
                        <w:rPr>
                          <w:rStyle w:val="Hyperlink"/>
                          <w:sz w:val="22"/>
                        </w:rPr>
                        <w:t>http://journal.ummat.ac.id/index.php/jmm</w:t>
                      </w:r>
                    </w:hyperlink>
                  </w:p>
                  <w:p w14:paraId="3ECBDB0D" w14:textId="77777777" w:rsidR="00893F54" w:rsidRPr="004F3606" w:rsidRDefault="00893F54" w:rsidP="00420C3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X</w:t>
                    </w:r>
                    <w:proofErr w:type="gramStart"/>
                    <w:r w:rsidRPr="004F3606">
                      <w:rPr>
                        <w:rFonts w:ascii="Century Gothic" w:hAnsi="Century Gothic"/>
                        <w:b/>
                        <w:sz w:val="20"/>
                        <w:szCs w:val="20"/>
                      </w:rPr>
                      <w:t xml:space="preserve">, </w:t>
                    </w:r>
                    <w:r>
                      <w:rPr>
                        <w:rFonts w:ascii="Century Gothic" w:hAnsi="Century Gothic"/>
                        <w:b/>
                        <w:sz w:val="20"/>
                        <w:szCs w:val="20"/>
                      </w:rPr>
                      <w:t xml:space="preserve"> No</w:t>
                    </w:r>
                    <w:proofErr w:type="gramEnd"/>
                    <w:r>
                      <w:rPr>
                        <w:rFonts w:ascii="Century Gothic" w:hAnsi="Century Gothic"/>
                        <w:b/>
                        <w:sz w:val="20"/>
                        <w:szCs w:val="20"/>
                      </w:rPr>
                      <w:t>. X</w:t>
                    </w:r>
                    <w:r w:rsidRPr="004F3606">
                      <w:rPr>
                        <w:rFonts w:ascii="Century Gothic" w:hAnsi="Century Gothic"/>
                        <w:b/>
                        <w:sz w:val="20"/>
                        <w:szCs w:val="20"/>
                      </w:rPr>
                      <w:t xml:space="preserve">, </w:t>
                    </w:r>
                    <w:r>
                      <w:rPr>
                        <w:rFonts w:ascii="Century Gothic" w:hAnsi="Century Gothic"/>
                        <w:b/>
                        <w:sz w:val="20"/>
                        <w:szCs w:val="20"/>
                      </w:rPr>
                      <w:t>Bulan 20XX</w:t>
                    </w:r>
                    <w:r w:rsidRPr="004F3606">
                      <w:rPr>
                        <w:rFonts w:ascii="Century Gothic" w:hAnsi="Century Gothic"/>
                        <w:b/>
                        <w:sz w:val="20"/>
                        <w:szCs w:val="20"/>
                      </w:rPr>
                      <w:t xml:space="preserve">, Hal. </w:t>
                    </w:r>
                    <w:r>
                      <w:rPr>
                        <w:rFonts w:ascii="Century Gothic" w:hAnsi="Century Gothic"/>
                        <w:b/>
                        <w:sz w:val="20"/>
                        <w:szCs w:val="20"/>
                      </w:rPr>
                      <w:t>XX-XX</w:t>
                    </w:r>
                  </w:p>
                  <w:p w14:paraId="2D9F5917" w14:textId="77777777" w:rsidR="00893F54" w:rsidRDefault="00893F54"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14:paraId="55299940" w14:textId="77777777" w:rsidR="00893F54" w:rsidRPr="004F3606" w:rsidRDefault="00893F54"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703ED5C1" wp14:editId="359B3AA9">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6" w:history="1">
                      <w:r w:rsidRPr="000D1337">
                        <w:rPr>
                          <w:rStyle w:val="Hyperlink"/>
                          <w:rFonts w:ascii="Arial" w:hAnsi="Arial" w:cs="Arial"/>
                          <w:sz w:val="19"/>
                          <w:szCs w:val="19"/>
                        </w:rPr>
                        <w:t>https://doi.org/10.31764/jmm.vXiX.XXXX</w:t>
                      </w:r>
                    </w:hyperlink>
                  </w:p>
                  <w:p w14:paraId="37E91A8C" w14:textId="77777777" w:rsidR="00893F54" w:rsidRPr="004F3606" w:rsidRDefault="00893F54" w:rsidP="00420C35">
                    <w:pPr>
                      <w:jc w:val="right"/>
                      <w:rPr>
                        <w:rFonts w:ascii="Arial" w:hAnsi="Arial" w:cs="Arial"/>
                        <w:sz w:val="19"/>
                        <w:szCs w:val="19"/>
                      </w:rPr>
                    </w:pPr>
                  </w:p>
                  <w:p w14:paraId="04AC2EBA" w14:textId="77777777" w:rsidR="00893F54" w:rsidRPr="00B524B4" w:rsidRDefault="00893F54" w:rsidP="00420C35">
                    <w:pPr>
                      <w:jc w:val="right"/>
                      <w:rPr>
                        <w:rFonts w:ascii="Arial" w:hAnsi="Arial" w:cs="Arial"/>
                        <w:sz w:val="19"/>
                        <w:szCs w:val="19"/>
                      </w:rPr>
                    </w:pPr>
                  </w:p>
                  <w:p w14:paraId="5C893C15" w14:textId="77777777" w:rsidR="00893F54" w:rsidRPr="004F3606" w:rsidRDefault="00893F54" w:rsidP="004211FE">
                    <w:pPr>
                      <w:jc w:val="right"/>
                      <w:rPr>
                        <w:rFonts w:ascii="Arial" w:hAnsi="Arial" w:cs="Arial"/>
                        <w:sz w:val="19"/>
                        <w:szCs w:val="19"/>
                      </w:rPr>
                    </w:pPr>
                  </w:p>
                </w:txbxContent>
              </v:textbox>
            </v:shape>
          </w:pict>
        </mc:Fallback>
      </mc:AlternateContent>
    </w:r>
  </w:p>
  <w:p w14:paraId="29C9C971" w14:textId="77777777" w:rsidR="00893F54" w:rsidRDefault="00893F54">
    <w:pPr>
      <w:pStyle w:val="Header"/>
      <w:rPr>
        <w:noProof/>
        <w:lang w:val="en-US" w:eastAsia="en-US"/>
      </w:rPr>
    </w:pPr>
  </w:p>
  <w:p w14:paraId="3D41B65D" w14:textId="77777777" w:rsidR="00893F54" w:rsidRDefault="00893F54">
    <w:pPr>
      <w:pStyle w:val="Header"/>
      <w:rPr>
        <w:noProof/>
        <w:lang w:val="en-US" w:eastAsia="en-US"/>
      </w:rPr>
    </w:pPr>
  </w:p>
  <w:p w14:paraId="1CFDDE1C" w14:textId="77777777" w:rsidR="00893F54" w:rsidRDefault="00893F54">
    <w:pPr>
      <w:pStyle w:val="Header"/>
      <w:rPr>
        <w:noProof/>
        <w:lang w:val="en-US" w:eastAsia="en-US"/>
      </w:rPr>
    </w:pPr>
  </w:p>
  <w:p w14:paraId="523EA738" w14:textId="77777777" w:rsidR="00893F54" w:rsidRDefault="00893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F0AEC"/>
    <w:multiLevelType w:val="hybridMultilevel"/>
    <w:tmpl w:val="A1CE0202"/>
    <w:lvl w:ilvl="0" w:tplc="52A4EB10">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011181B"/>
    <w:multiLevelType w:val="hybridMultilevel"/>
    <w:tmpl w:val="B0320F36"/>
    <w:lvl w:ilvl="0" w:tplc="C80CF160">
      <w:start w:val="1"/>
      <w:numFmt w:val="lowerLetter"/>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4" w15:restartNumberingAfterBreak="0">
    <w:nsid w:val="22E564F1"/>
    <w:multiLevelType w:val="hybridMultilevel"/>
    <w:tmpl w:val="5B485B5C"/>
    <w:lvl w:ilvl="0" w:tplc="57EC6B8A">
      <w:start w:val="1"/>
      <w:numFmt w:val="decimal"/>
      <w:lvlText w:val="%1."/>
      <w:lvlJc w:val="left"/>
      <w:pPr>
        <w:ind w:left="1068" w:hanging="360"/>
      </w:pPr>
      <w:rPr>
        <w:rFonts w:ascii="Times New Roman" w:eastAsia="Calibri" w:hAnsi="Times New Roman" w:cs="Times New Roman"/>
      </w:rPr>
    </w:lvl>
    <w:lvl w:ilvl="1" w:tplc="281A0019">
      <w:start w:val="1"/>
      <w:numFmt w:val="lowerLetter"/>
      <w:lvlText w:val="%2."/>
      <w:lvlJc w:val="left"/>
      <w:pPr>
        <w:ind w:left="1788" w:hanging="360"/>
      </w:pPr>
    </w:lvl>
    <w:lvl w:ilvl="2" w:tplc="281A001B">
      <w:start w:val="1"/>
      <w:numFmt w:val="lowerRoman"/>
      <w:lvlText w:val="%3."/>
      <w:lvlJc w:val="right"/>
      <w:pPr>
        <w:ind w:left="2508" w:hanging="180"/>
      </w:pPr>
    </w:lvl>
    <w:lvl w:ilvl="3" w:tplc="281A000F">
      <w:start w:val="1"/>
      <w:numFmt w:val="decimal"/>
      <w:lvlText w:val="%4."/>
      <w:lvlJc w:val="left"/>
      <w:pPr>
        <w:ind w:left="3228" w:hanging="360"/>
      </w:pPr>
    </w:lvl>
    <w:lvl w:ilvl="4" w:tplc="281A0019">
      <w:start w:val="1"/>
      <w:numFmt w:val="lowerLetter"/>
      <w:lvlText w:val="%5."/>
      <w:lvlJc w:val="left"/>
      <w:pPr>
        <w:ind w:left="3948" w:hanging="360"/>
      </w:pPr>
    </w:lvl>
    <w:lvl w:ilvl="5" w:tplc="281A001B">
      <w:start w:val="1"/>
      <w:numFmt w:val="lowerRoman"/>
      <w:lvlText w:val="%6."/>
      <w:lvlJc w:val="right"/>
      <w:pPr>
        <w:ind w:left="4668" w:hanging="180"/>
      </w:pPr>
    </w:lvl>
    <w:lvl w:ilvl="6" w:tplc="281A000F">
      <w:start w:val="1"/>
      <w:numFmt w:val="decimal"/>
      <w:lvlText w:val="%7."/>
      <w:lvlJc w:val="left"/>
      <w:pPr>
        <w:ind w:left="5388" w:hanging="360"/>
      </w:pPr>
    </w:lvl>
    <w:lvl w:ilvl="7" w:tplc="281A0019">
      <w:start w:val="1"/>
      <w:numFmt w:val="lowerLetter"/>
      <w:lvlText w:val="%8."/>
      <w:lvlJc w:val="left"/>
      <w:pPr>
        <w:ind w:left="6108" w:hanging="360"/>
      </w:pPr>
    </w:lvl>
    <w:lvl w:ilvl="8" w:tplc="281A001B">
      <w:start w:val="1"/>
      <w:numFmt w:val="lowerRoman"/>
      <w:lvlText w:val="%9."/>
      <w:lvlJc w:val="right"/>
      <w:pPr>
        <w:ind w:left="6828" w:hanging="180"/>
      </w:pPr>
    </w:lvl>
  </w:abstractNum>
  <w:abstractNum w:abstractNumId="5" w15:restartNumberingAfterBreak="0">
    <w:nsid w:val="238C61A7"/>
    <w:multiLevelType w:val="hybridMultilevel"/>
    <w:tmpl w:val="C08AFB14"/>
    <w:lvl w:ilvl="0" w:tplc="C2584678">
      <w:start w:val="1"/>
      <w:numFmt w:val="decimal"/>
      <w:lvlText w:val="%1)"/>
      <w:lvlJc w:val="left"/>
      <w:pPr>
        <w:ind w:left="720" w:hanging="360"/>
      </w:pPr>
      <w:rPr>
        <w:rFonts w:ascii="Times New Roman" w:eastAsia="Times New Roman" w:hAnsi="Times New Roman" w:cs="Times New Roman"/>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 w15:restartNumberingAfterBreak="0">
    <w:nsid w:val="25B14137"/>
    <w:multiLevelType w:val="hybridMultilevel"/>
    <w:tmpl w:val="6D22196C"/>
    <w:lvl w:ilvl="0" w:tplc="5F12B3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55527E"/>
    <w:multiLevelType w:val="multilevel"/>
    <w:tmpl w:val="FF60B01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28273D7"/>
    <w:multiLevelType w:val="multilevel"/>
    <w:tmpl w:val="9C8E938C"/>
    <w:numStyleLink w:val="IEEEBullet1"/>
  </w:abstractNum>
  <w:abstractNum w:abstractNumId="11"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6D31DD"/>
    <w:multiLevelType w:val="multilevel"/>
    <w:tmpl w:val="AFD05E88"/>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0D5671"/>
    <w:multiLevelType w:val="hybridMultilevel"/>
    <w:tmpl w:val="CE066AC2"/>
    <w:lvl w:ilvl="0" w:tplc="15826D72">
      <w:start w:val="1"/>
      <w:numFmt w:val="decimal"/>
      <w:lvlText w:val="%1."/>
      <w:lvlJc w:val="left"/>
      <w:pPr>
        <w:ind w:left="1180" w:hanging="360"/>
      </w:pPr>
      <w:rPr>
        <w:rFonts w:ascii="Times New Roman" w:eastAsia="Times New Roman" w:hAnsi="Times New Roman" w:cs="Times New Roman" w:hint="default"/>
        <w:w w:val="100"/>
        <w:sz w:val="24"/>
        <w:szCs w:val="24"/>
        <w:lang w:val="id" w:eastAsia="en-US" w:bidi="ar-SA"/>
      </w:rPr>
    </w:lvl>
    <w:lvl w:ilvl="1" w:tplc="1310A086">
      <w:numFmt w:val="bullet"/>
      <w:lvlText w:val="•"/>
      <w:lvlJc w:val="left"/>
      <w:pPr>
        <w:ind w:left="2058" w:hanging="360"/>
      </w:pPr>
      <w:rPr>
        <w:rFonts w:hint="default"/>
        <w:lang w:val="id" w:eastAsia="en-US" w:bidi="ar-SA"/>
      </w:rPr>
    </w:lvl>
    <w:lvl w:ilvl="2" w:tplc="AB58DC62">
      <w:numFmt w:val="bullet"/>
      <w:lvlText w:val="•"/>
      <w:lvlJc w:val="left"/>
      <w:pPr>
        <w:ind w:left="2937" w:hanging="360"/>
      </w:pPr>
      <w:rPr>
        <w:rFonts w:hint="default"/>
        <w:lang w:val="id" w:eastAsia="en-US" w:bidi="ar-SA"/>
      </w:rPr>
    </w:lvl>
    <w:lvl w:ilvl="3" w:tplc="29CC0602">
      <w:numFmt w:val="bullet"/>
      <w:lvlText w:val="•"/>
      <w:lvlJc w:val="left"/>
      <w:pPr>
        <w:ind w:left="3815" w:hanging="360"/>
      </w:pPr>
      <w:rPr>
        <w:rFonts w:hint="default"/>
        <w:lang w:val="id" w:eastAsia="en-US" w:bidi="ar-SA"/>
      </w:rPr>
    </w:lvl>
    <w:lvl w:ilvl="4" w:tplc="BDA4F228">
      <w:numFmt w:val="bullet"/>
      <w:lvlText w:val="•"/>
      <w:lvlJc w:val="left"/>
      <w:pPr>
        <w:ind w:left="4694" w:hanging="360"/>
      </w:pPr>
      <w:rPr>
        <w:rFonts w:hint="default"/>
        <w:lang w:val="id" w:eastAsia="en-US" w:bidi="ar-SA"/>
      </w:rPr>
    </w:lvl>
    <w:lvl w:ilvl="5" w:tplc="A3F21B82">
      <w:numFmt w:val="bullet"/>
      <w:lvlText w:val="•"/>
      <w:lvlJc w:val="left"/>
      <w:pPr>
        <w:ind w:left="5573" w:hanging="360"/>
      </w:pPr>
      <w:rPr>
        <w:rFonts w:hint="default"/>
        <w:lang w:val="id" w:eastAsia="en-US" w:bidi="ar-SA"/>
      </w:rPr>
    </w:lvl>
    <w:lvl w:ilvl="6" w:tplc="C0425750">
      <w:numFmt w:val="bullet"/>
      <w:lvlText w:val="•"/>
      <w:lvlJc w:val="left"/>
      <w:pPr>
        <w:ind w:left="6451" w:hanging="360"/>
      </w:pPr>
      <w:rPr>
        <w:rFonts w:hint="default"/>
        <w:lang w:val="id" w:eastAsia="en-US" w:bidi="ar-SA"/>
      </w:rPr>
    </w:lvl>
    <w:lvl w:ilvl="7" w:tplc="22A09E02">
      <w:numFmt w:val="bullet"/>
      <w:lvlText w:val="•"/>
      <w:lvlJc w:val="left"/>
      <w:pPr>
        <w:ind w:left="7330" w:hanging="360"/>
      </w:pPr>
      <w:rPr>
        <w:rFonts w:hint="default"/>
        <w:lang w:val="id" w:eastAsia="en-US" w:bidi="ar-SA"/>
      </w:rPr>
    </w:lvl>
    <w:lvl w:ilvl="8" w:tplc="4D2051E8">
      <w:numFmt w:val="bullet"/>
      <w:lvlText w:val="•"/>
      <w:lvlJc w:val="left"/>
      <w:pPr>
        <w:ind w:left="8209" w:hanging="360"/>
      </w:pPr>
      <w:rPr>
        <w:rFonts w:hint="default"/>
        <w:lang w:val="id" w:eastAsia="en-US" w:bidi="ar-SA"/>
      </w:rPr>
    </w:lvl>
  </w:abstractNum>
  <w:abstractNum w:abstractNumId="15" w15:restartNumberingAfterBreak="0">
    <w:nsid w:val="48831702"/>
    <w:multiLevelType w:val="hybridMultilevel"/>
    <w:tmpl w:val="E32A8464"/>
    <w:lvl w:ilvl="0" w:tplc="2BCEF12C">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6"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0"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21"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23" w15:restartNumberingAfterBreak="0">
    <w:nsid w:val="78F11660"/>
    <w:multiLevelType w:val="hybridMultilevel"/>
    <w:tmpl w:val="1D9A1630"/>
    <w:lvl w:ilvl="0" w:tplc="281A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EE66E7"/>
    <w:multiLevelType w:val="hybridMultilevel"/>
    <w:tmpl w:val="4420F0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693D2C"/>
    <w:multiLevelType w:val="hybridMultilevel"/>
    <w:tmpl w:val="72F8EE82"/>
    <w:lvl w:ilvl="0" w:tplc="2C2E2A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7"/>
  </w:num>
  <w:num w:numId="9">
    <w:abstractNumId w:val="22"/>
  </w:num>
  <w:num w:numId="10">
    <w:abstractNumId w:val="8"/>
  </w:num>
  <w:num w:numId="11">
    <w:abstractNumId w:val="12"/>
  </w:num>
  <w:num w:numId="12">
    <w:abstractNumId w:val="20"/>
    <w:lvlOverride w:ilvl="0">
      <w:startOverride w:val="1"/>
    </w:lvlOverride>
  </w:num>
  <w:num w:numId="13">
    <w:abstractNumId w:val="0"/>
  </w:num>
  <w:num w:numId="14">
    <w:abstractNumId w:val="21"/>
  </w:num>
  <w:num w:numId="15">
    <w:abstractNumId w:val="24"/>
  </w:num>
  <w:num w:numId="16">
    <w:abstractNumId w:val="18"/>
  </w:num>
  <w:num w:numId="17">
    <w:abstractNumId w:val="10"/>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1"/>
  </w:num>
  <w:num w:numId="19">
    <w:abstractNumId w:val="11"/>
  </w:num>
  <w:num w:numId="20">
    <w:abstractNumId w:val="23"/>
  </w:num>
  <w:num w:numId="21">
    <w:abstractNumId w:val="2"/>
  </w:num>
  <w:num w:numId="22">
    <w:abstractNumId w:val="5"/>
  </w:num>
  <w:num w:numId="23">
    <w:abstractNumId w:val="13"/>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5"/>
  </w:num>
  <w:num w:numId="27">
    <w:abstractNumId w:val="14"/>
  </w:num>
  <w:num w:numId="28">
    <w:abstractNumId w:val="6"/>
  </w:num>
  <w:num w:numId="29">
    <w:abstractNumId w:val="3"/>
  </w:num>
  <w:num w:numId="30">
    <w:abstractNumId w:val="15"/>
  </w:num>
  <w:num w:numId="31">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ID" w:vendorID="64" w:dllVersion="6" w:nlCheck="1" w:checkStyle="1"/>
  <w:activeWritingStyle w:appName="MSWord" w:lang="en-ID"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AU" w:vendorID="64" w:dllVersion="131078" w:nlCheck="1" w:checkStyle="1"/>
  <w:activeWritingStyle w:appName="MSWord" w:lang="en-ID"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FBB"/>
    <w:rsid w:val="000002E1"/>
    <w:rsid w:val="0000069A"/>
    <w:rsid w:val="00002AE5"/>
    <w:rsid w:val="00005CE1"/>
    <w:rsid w:val="000069C7"/>
    <w:rsid w:val="000079B2"/>
    <w:rsid w:val="00007E44"/>
    <w:rsid w:val="00012EAF"/>
    <w:rsid w:val="0001704E"/>
    <w:rsid w:val="00017719"/>
    <w:rsid w:val="00020A6F"/>
    <w:rsid w:val="000215DC"/>
    <w:rsid w:val="000227C5"/>
    <w:rsid w:val="00027F1D"/>
    <w:rsid w:val="0003296C"/>
    <w:rsid w:val="00036359"/>
    <w:rsid w:val="00047CFA"/>
    <w:rsid w:val="00052A93"/>
    <w:rsid w:val="00053481"/>
    <w:rsid w:val="00054421"/>
    <w:rsid w:val="00054F34"/>
    <w:rsid w:val="00056CE7"/>
    <w:rsid w:val="00062E46"/>
    <w:rsid w:val="00064FD8"/>
    <w:rsid w:val="0006679E"/>
    <w:rsid w:val="00066CB7"/>
    <w:rsid w:val="0006703C"/>
    <w:rsid w:val="00074AC8"/>
    <w:rsid w:val="00075D4E"/>
    <w:rsid w:val="00081408"/>
    <w:rsid w:val="00081EBE"/>
    <w:rsid w:val="00082A45"/>
    <w:rsid w:val="0008577D"/>
    <w:rsid w:val="00086EDC"/>
    <w:rsid w:val="00093581"/>
    <w:rsid w:val="000939F2"/>
    <w:rsid w:val="000A6695"/>
    <w:rsid w:val="000B3567"/>
    <w:rsid w:val="000B36A3"/>
    <w:rsid w:val="000B4A2C"/>
    <w:rsid w:val="000C013C"/>
    <w:rsid w:val="000D4841"/>
    <w:rsid w:val="000D5E67"/>
    <w:rsid w:val="000D67E4"/>
    <w:rsid w:val="000E3C3A"/>
    <w:rsid w:val="000E3F84"/>
    <w:rsid w:val="000E46E7"/>
    <w:rsid w:val="000E4F95"/>
    <w:rsid w:val="00103C8B"/>
    <w:rsid w:val="00103E04"/>
    <w:rsid w:val="00104C9F"/>
    <w:rsid w:val="001056DF"/>
    <w:rsid w:val="00105923"/>
    <w:rsid w:val="001139F6"/>
    <w:rsid w:val="00114025"/>
    <w:rsid w:val="00114A46"/>
    <w:rsid w:val="00115691"/>
    <w:rsid w:val="001160D2"/>
    <w:rsid w:val="001218D3"/>
    <w:rsid w:val="00124628"/>
    <w:rsid w:val="00131344"/>
    <w:rsid w:val="001348A5"/>
    <w:rsid w:val="001363FD"/>
    <w:rsid w:val="0013730E"/>
    <w:rsid w:val="00140C4C"/>
    <w:rsid w:val="00140FB9"/>
    <w:rsid w:val="0014442E"/>
    <w:rsid w:val="00146992"/>
    <w:rsid w:val="0015135B"/>
    <w:rsid w:val="00151B8E"/>
    <w:rsid w:val="001747C8"/>
    <w:rsid w:val="00175A90"/>
    <w:rsid w:val="00177ADC"/>
    <w:rsid w:val="00182CE2"/>
    <w:rsid w:val="0018755D"/>
    <w:rsid w:val="001928FB"/>
    <w:rsid w:val="00192BC7"/>
    <w:rsid w:val="001A1D29"/>
    <w:rsid w:val="001A40C3"/>
    <w:rsid w:val="001A50EA"/>
    <w:rsid w:val="001A6E68"/>
    <w:rsid w:val="001B52EF"/>
    <w:rsid w:val="001C0608"/>
    <w:rsid w:val="001C1A51"/>
    <w:rsid w:val="001C2EAE"/>
    <w:rsid w:val="001D04EB"/>
    <w:rsid w:val="001D34BD"/>
    <w:rsid w:val="001E147C"/>
    <w:rsid w:val="001F16CD"/>
    <w:rsid w:val="001F47D2"/>
    <w:rsid w:val="00201427"/>
    <w:rsid w:val="00202141"/>
    <w:rsid w:val="002202B7"/>
    <w:rsid w:val="0022285A"/>
    <w:rsid w:val="00224C61"/>
    <w:rsid w:val="00225D60"/>
    <w:rsid w:val="00226AB3"/>
    <w:rsid w:val="00230E61"/>
    <w:rsid w:val="0025798B"/>
    <w:rsid w:val="0026094F"/>
    <w:rsid w:val="00271242"/>
    <w:rsid w:val="0027227B"/>
    <w:rsid w:val="0027288E"/>
    <w:rsid w:val="00273192"/>
    <w:rsid w:val="00273AC7"/>
    <w:rsid w:val="00273D2C"/>
    <w:rsid w:val="00275BFA"/>
    <w:rsid w:val="00285ECD"/>
    <w:rsid w:val="0028667D"/>
    <w:rsid w:val="00290E1B"/>
    <w:rsid w:val="00291B17"/>
    <w:rsid w:val="00292EFC"/>
    <w:rsid w:val="00295405"/>
    <w:rsid w:val="002A12C3"/>
    <w:rsid w:val="002A2FD6"/>
    <w:rsid w:val="002A6742"/>
    <w:rsid w:val="002B09BC"/>
    <w:rsid w:val="002C1A7F"/>
    <w:rsid w:val="002C270E"/>
    <w:rsid w:val="002C4239"/>
    <w:rsid w:val="002C559D"/>
    <w:rsid w:val="002C6430"/>
    <w:rsid w:val="002C67F8"/>
    <w:rsid w:val="002D2D42"/>
    <w:rsid w:val="002D3DAA"/>
    <w:rsid w:val="002D68C9"/>
    <w:rsid w:val="002E5324"/>
    <w:rsid w:val="002F15EA"/>
    <w:rsid w:val="002F523B"/>
    <w:rsid w:val="002F72D0"/>
    <w:rsid w:val="003003AB"/>
    <w:rsid w:val="00303687"/>
    <w:rsid w:val="00303AFA"/>
    <w:rsid w:val="00311C49"/>
    <w:rsid w:val="00311FFA"/>
    <w:rsid w:val="0031279E"/>
    <w:rsid w:val="00312856"/>
    <w:rsid w:val="00317086"/>
    <w:rsid w:val="0032119E"/>
    <w:rsid w:val="00321304"/>
    <w:rsid w:val="00321529"/>
    <w:rsid w:val="003303CD"/>
    <w:rsid w:val="00330869"/>
    <w:rsid w:val="00331F84"/>
    <w:rsid w:val="00332EE1"/>
    <w:rsid w:val="003343DF"/>
    <w:rsid w:val="003366F9"/>
    <w:rsid w:val="00353F69"/>
    <w:rsid w:val="00355B72"/>
    <w:rsid w:val="00360589"/>
    <w:rsid w:val="00360C6A"/>
    <w:rsid w:val="00360D09"/>
    <w:rsid w:val="00366B29"/>
    <w:rsid w:val="003717D0"/>
    <w:rsid w:val="00377715"/>
    <w:rsid w:val="0038106C"/>
    <w:rsid w:val="00382E62"/>
    <w:rsid w:val="003837D6"/>
    <w:rsid w:val="00394DC4"/>
    <w:rsid w:val="003950A4"/>
    <w:rsid w:val="003A1B35"/>
    <w:rsid w:val="003A2CDB"/>
    <w:rsid w:val="003B0D77"/>
    <w:rsid w:val="003C3E37"/>
    <w:rsid w:val="003C7209"/>
    <w:rsid w:val="003D138F"/>
    <w:rsid w:val="003D3E2E"/>
    <w:rsid w:val="003D4C64"/>
    <w:rsid w:val="003E3577"/>
    <w:rsid w:val="003F174D"/>
    <w:rsid w:val="003F3A61"/>
    <w:rsid w:val="003F4431"/>
    <w:rsid w:val="00400DC7"/>
    <w:rsid w:val="004012EC"/>
    <w:rsid w:val="0040277B"/>
    <w:rsid w:val="00403498"/>
    <w:rsid w:val="00410A5D"/>
    <w:rsid w:val="00414909"/>
    <w:rsid w:val="00414E21"/>
    <w:rsid w:val="004202C3"/>
    <w:rsid w:val="00420C35"/>
    <w:rsid w:val="004211FE"/>
    <w:rsid w:val="004216B1"/>
    <w:rsid w:val="00425A6A"/>
    <w:rsid w:val="00426FBB"/>
    <w:rsid w:val="004337B8"/>
    <w:rsid w:val="00437B83"/>
    <w:rsid w:val="00437E30"/>
    <w:rsid w:val="00437E48"/>
    <w:rsid w:val="004431B2"/>
    <w:rsid w:val="0044773F"/>
    <w:rsid w:val="004610A8"/>
    <w:rsid w:val="0046428B"/>
    <w:rsid w:val="00471085"/>
    <w:rsid w:val="0047429A"/>
    <w:rsid w:val="004772BF"/>
    <w:rsid w:val="004778A8"/>
    <w:rsid w:val="0048374C"/>
    <w:rsid w:val="0048707A"/>
    <w:rsid w:val="0048771D"/>
    <w:rsid w:val="004923D3"/>
    <w:rsid w:val="004A1511"/>
    <w:rsid w:val="004A6605"/>
    <w:rsid w:val="004B0DB7"/>
    <w:rsid w:val="004B3FB3"/>
    <w:rsid w:val="004B519F"/>
    <w:rsid w:val="004B5BFE"/>
    <w:rsid w:val="004B7F34"/>
    <w:rsid w:val="004C4227"/>
    <w:rsid w:val="004C45FA"/>
    <w:rsid w:val="004C4D2E"/>
    <w:rsid w:val="004D395E"/>
    <w:rsid w:val="004D7355"/>
    <w:rsid w:val="004E1BD8"/>
    <w:rsid w:val="004E452A"/>
    <w:rsid w:val="004E78E3"/>
    <w:rsid w:val="004F01CE"/>
    <w:rsid w:val="004F3606"/>
    <w:rsid w:val="004F7DD9"/>
    <w:rsid w:val="005004BF"/>
    <w:rsid w:val="00502E89"/>
    <w:rsid w:val="00504748"/>
    <w:rsid w:val="00505FE2"/>
    <w:rsid w:val="0051095A"/>
    <w:rsid w:val="00510E95"/>
    <w:rsid w:val="005112D9"/>
    <w:rsid w:val="0051451F"/>
    <w:rsid w:val="00515557"/>
    <w:rsid w:val="00521ED0"/>
    <w:rsid w:val="00522D23"/>
    <w:rsid w:val="00524694"/>
    <w:rsid w:val="00527D56"/>
    <w:rsid w:val="0053012F"/>
    <w:rsid w:val="00530A0F"/>
    <w:rsid w:val="0053221F"/>
    <w:rsid w:val="00536FAE"/>
    <w:rsid w:val="0054252A"/>
    <w:rsid w:val="00542C85"/>
    <w:rsid w:val="00544BAC"/>
    <w:rsid w:val="00553510"/>
    <w:rsid w:val="00554186"/>
    <w:rsid w:val="00556E5B"/>
    <w:rsid w:val="005628CD"/>
    <w:rsid w:val="00564397"/>
    <w:rsid w:val="0056697B"/>
    <w:rsid w:val="005758E7"/>
    <w:rsid w:val="005818EA"/>
    <w:rsid w:val="00585769"/>
    <w:rsid w:val="00591130"/>
    <w:rsid w:val="00591DB6"/>
    <w:rsid w:val="0059736E"/>
    <w:rsid w:val="005A3F28"/>
    <w:rsid w:val="005A40BE"/>
    <w:rsid w:val="005A7F4E"/>
    <w:rsid w:val="005B13E2"/>
    <w:rsid w:val="005B3934"/>
    <w:rsid w:val="005B47D7"/>
    <w:rsid w:val="005C4BA9"/>
    <w:rsid w:val="005C5526"/>
    <w:rsid w:val="005C62C6"/>
    <w:rsid w:val="005D21E9"/>
    <w:rsid w:val="005D79BF"/>
    <w:rsid w:val="005D7B9E"/>
    <w:rsid w:val="005F0834"/>
    <w:rsid w:val="005F3001"/>
    <w:rsid w:val="005F45B1"/>
    <w:rsid w:val="005F653D"/>
    <w:rsid w:val="005F6788"/>
    <w:rsid w:val="005F6DC3"/>
    <w:rsid w:val="006017FD"/>
    <w:rsid w:val="00601A8E"/>
    <w:rsid w:val="00602488"/>
    <w:rsid w:val="006079BE"/>
    <w:rsid w:val="00613D89"/>
    <w:rsid w:val="0062033E"/>
    <w:rsid w:val="00624482"/>
    <w:rsid w:val="00630F4D"/>
    <w:rsid w:val="00633178"/>
    <w:rsid w:val="006343E3"/>
    <w:rsid w:val="00643796"/>
    <w:rsid w:val="0064606A"/>
    <w:rsid w:val="0064799C"/>
    <w:rsid w:val="00652E37"/>
    <w:rsid w:val="00654156"/>
    <w:rsid w:val="00662376"/>
    <w:rsid w:val="006935DA"/>
    <w:rsid w:val="00694D34"/>
    <w:rsid w:val="00695864"/>
    <w:rsid w:val="006977E6"/>
    <w:rsid w:val="006A0797"/>
    <w:rsid w:val="006A3AE1"/>
    <w:rsid w:val="006A4145"/>
    <w:rsid w:val="006B09B8"/>
    <w:rsid w:val="006B47CA"/>
    <w:rsid w:val="006B5506"/>
    <w:rsid w:val="006C1A01"/>
    <w:rsid w:val="006C7AAA"/>
    <w:rsid w:val="006D1C2A"/>
    <w:rsid w:val="006D264F"/>
    <w:rsid w:val="006D3F45"/>
    <w:rsid w:val="006E2A8D"/>
    <w:rsid w:val="006E35C8"/>
    <w:rsid w:val="006E4AB3"/>
    <w:rsid w:val="006E6B57"/>
    <w:rsid w:val="006E7574"/>
    <w:rsid w:val="006E78B6"/>
    <w:rsid w:val="006F4323"/>
    <w:rsid w:val="006F70C4"/>
    <w:rsid w:val="007011DF"/>
    <w:rsid w:val="00701D28"/>
    <w:rsid w:val="00703430"/>
    <w:rsid w:val="007069BE"/>
    <w:rsid w:val="00711BD2"/>
    <w:rsid w:val="00711FEB"/>
    <w:rsid w:val="0071307D"/>
    <w:rsid w:val="00720B47"/>
    <w:rsid w:val="00721E2E"/>
    <w:rsid w:val="007227F5"/>
    <w:rsid w:val="0072566E"/>
    <w:rsid w:val="00733156"/>
    <w:rsid w:val="00733DE4"/>
    <w:rsid w:val="00733E74"/>
    <w:rsid w:val="0074085C"/>
    <w:rsid w:val="00742427"/>
    <w:rsid w:val="00744E47"/>
    <w:rsid w:val="00745C86"/>
    <w:rsid w:val="00764603"/>
    <w:rsid w:val="0076604D"/>
    <w:rsid w:val="00772C88"/>
    <w:rsid w:val="00781DBA"/>
    <w:rsid w:val="0078621C"/>
    <w:rsid w:val="00790909"/>
    <w:rsid w:val="00790BBE"/>
    <w:rsid w:val="0079301B"/>
    <w:rsid w:val="007949D7"/>
    <w:rsid w:val="007A77C6"/>
    <w:rsid w:val="007B5A07"/>
    <w:rsid w:val="007B668E"/>
    <w:rsid w:val="007C1D76"/>
    <w:rsid w:val="007C7D51"/>
    <w:rsid w:val="007D2F33"/>
    <w:rsid w:val="007D3E71"/>
    <w:rsid w:val="007E132A"/>
    <w:rsid w:val="007E34AA"/>
    <w:rsid w:val="007E5D6A"/>
    <w:rsid w:val="007E645D"/>
    <w:rsid w:val="007F7260"/>
    <w:rsid w:val="007F75CA"/>
    <w:rsid w:val="00813E02"/>
    <w:rsid w:val="008141BC"/>
    <w:rsid w:val="00815DBA"/>
    <w:rsid w:val="00816EA9"/>
    <w:rsid w:val="00820A91"/>
    <w:rsid w:val="00821E08"/>
    <w:rsid w:val="00822198"/>
    <w:rsid w:val="008247D1"/>
    <w:rsid w:val="00825A13"/>
    <w:rsid w:val="00834154"/>
    <w:rsid w:val="008346CF"/>
    <w:rsid w:val="00834EFD"/>
    <w:rsid w:val="00841364"/>
    <w:rsid w:val="00841914"/>
    <w:rsid w:val="00842B65"/>
    <w:rsid w:val="00844B24"/>
    <w:rsid w:val="0084515F"/>
    <w:rsid w:val="0085092D"/>
    <w:rsid w:val="00864914"/>
    <w:rsid w:val="00865FB3"/>
    <w:rsid w:val="00867D6B"/>
    <w:rsid w:val="008712BD"/>
    <w:rsid w:val="00873013"/>
    <w:rsid w:val="008746C3"/>
    <w:rsid w:val="008757E0"/>
    <w:rsid w:val="00877D4C"/>
    <w:rsid w:val="0088212F"/>
    <w:rsid w:val="00893F54"/>
    <w:rsid w:val="0089763B"/>
    <w:rsid w:val="008A0B0A"/>
    <w:rsid w:val="008A0BCF"/>
    <w:rsid w:val="008A1519"/>
    <w:rsid w:val="008A2479"/>
    <w:rsid w:val="008B114A"/>
    <w:rsid w:val="008B1547"/>
    <w:rsid w:val="008B264F"/>
    <w:rsid w:val="008B3882"/>
    <w:rsid w:val="008B6295"/>
    <w:rsid w:val="008B6AE3"/>
    <w:rsid w:val="008C7AA1"/>
    <w:rsid w:val="008D1045"/>
    <w:rsid w:val="008D3937"/>
    <w:rsid w:val="008E2316"/>
    <w:rsid w:val="008E5277"/>
    <w:rsid w:val="008E5996"/>
    <w:rsid w:val="008F1272"/>
    <w:rsid w:val="008F45EA"/>
    <w:rsid w:val="008F7D41"/>
    <w:rsid w:val="008F7E05"/>
    <w:rsid w:val="00901AE1"/>
    <w:rsid w:val="00901EFD"/>
    <w:rsid w:val="00904754"/>
    <w:rsid w:val="00905356"/>
    <w:rsid w:val="009151A5"/>
    <w:rsid w:val="009205B4"/>
    <w:rsid w:val="00922100"/>
    <w:rsid w:val="009223D5"/>
    <w:rsid w:val="00922A80"/>
    <w:rsid w:val="00925EB1"/>
    <w:rsid w:val="00932F60"/>
    <w:rsid w:val="00937416"/>
    <w:rsid w:val="00937F31"/>
    <w:rsid w:val="009408BA"/>
    <w:rsid w:val="00946DC6"/>
    <w:rsid w:val="009507C0"/>
    <w:rsid w:val="009537A7"/>
    <w:rsid w:val="009550E8"/>
    <w:rsid w:val="00955B59"/>
    <w:rsid w:val="009570BE"/>
    <w:rsid w:val="009671E5"/>
    <w:rsid w:val="00971BB3"/>
    <w:rsid w:val="00971EBF"/>
    <w:rsid w:val="00985DB4"/>
    <w:rsid w:val="00986648"/>
    <w:rsid w:val="00991EED"/>
    <w:rsid w:val="00992262"/>
    <w:rsid w:val="009926BC"/>
    <w:rsid w:val="00993DEB"/>
    <w:rsid w:val="00994785"/>
    <w:rsid w:val="00997F50"/>
    <w:rsid w:val="009A09C7"/>
    <w:rsid w:val="009A4319"/>
    <w:rsid w:val="009A6C3F"/>
    <w:rsid w:val="009A6E9C"/>
    <w:rsid w:val="009B479F"/>
    <w:rsid w:val="009B73F2"/>
    <w:rsid w:val="009C12BD"/>
    <w:rsid w:val="009C50FE"/>
    <w:rsid w:val="009C6E9F"/>
    <w:rsid w:val="009D2660"/>
    <w:rsid w:val="009D34EA"/>
    <w:rsid w:val="009D3C51"/>
    <w:rsid w:val="009E1F23"/>
    <w:rsid w:val="009E505B"/>
    <w:rsid w:val="00A03A12"/>
    <w:rsid w:val="00A03E75"/>
    <w:rsid w:val="00A04DC8"/>
    <w:rsid w:val="00A06F2C"/>
    <w:rsid w:val="00A11080"/>
    <w:rsid w:val="00A13C91"/>
    <w:rsid w:val="00A1414F"/>
    <w:rsid w:val="00A20D66"/>
    <w:rsid w:val="00A22FE0"/>
    <w:rsid w:val="00A32A74"/>
    <w:rsid w:val="00A37654"/>
    <w:rsid w:val="00A43231"/>
    <w:rsid w:val="00A4337B"/>
    <w:rsid w:val="00A43734"/>
    <w:rsid w:val="00A45FCE"/>
    <w:rsid w:val="00A5734E"/>
    <w:rsid w:val="00A64A36"/>
    <w:rsid w:val="00A7266B"/>
    <w:rsid w:val="00A75671"/>
    <w:rsid w:val="00A773CC"/>
    <w:rsid w:val="00A810BC"/>
    <w:rsid w:val="00A86C59"/>
    <w:rsid w:val="00A87305"/>
    <w:rsid w:val="00A9318B"/>
    <w:rsid w:val="00A94AC1"/>
    <w:rsid w:val="00A95B87"/>
    <w:rsid w:val="00A9735F"/>
    <w:rsid w:val="00AA5A8D"/>
    <w:rsid w:val="00AA6F12"/>
    <w:rsid w:val="00AB1806"/>
    <w:rsid w:val="00AB18B7"/>
    <w:rsid w:val="00AB2575"/>
    <w:rsid w:val="00AC157F"/>
    <w:rsid w:val="00AD2BAB"/>
    <w:rsid w:val="00AD335D"/>
    <w:rsid w:val="00AE1477"/>
    <w:rsid w:val="00AE406C"/>
    <w:rsid w:val="00AE7737"/>
    <w:rsid w:val="00AF792B"/>
    <w:rsid w:val="00B00190"/>
    <w:rsid w:val="00B05EA0"/>
    <w:rsid w:val="00B10F2B"/>
    <w:rsid w:val="00B333DE"/>
    <w:rsid w:val="00B3521D"/>
    <w:rsid w:val="00B45C3D"/>
    <w:rsid w:val="00B45E81"/>
    <w:rsid w:val="00B47460"/>
    <w:rsid w:val="00B4762B"/>
    <w:rsid w:val="00B55D5E"/>
    <w:rsid w:val="00B56B16"/>
    <w:rsid w:val="00B717BA"/>
    <w:rsid w:val="00B72332"/>
    <w:rsid w:val="00B735B0"/>
    <w:rsid w:val="00B81E91"/>
    <w:rsid w:val="00B91814"/>
    <w:rsid w:val="00B92B81"/>
    <w:rsid w:val="00B94516"/>
    <w:rsid w:val="00B96636"/>
    <w:rsid w:val="00BA183C"/>
    <w:rsid w:val="00BA665D"/>
    <w:rsid w:val="00BA7955"/>
    <w:rsid w:val="00BB13C6"/>
    <w:rsid w:val="00BB1BEC"/>
    <w:rsid w:val="00BB2855"/>
    <w:rsid w:val="00BB3407"/>
    <w:rsid w:val="00BB4583"/>
    <w:rsid w:val="00BB64E7"/>
    <w:rsid w:val="00BC34F9"/>
    <w:rsid w:val="00BC57FF"/>
    <w:rsid w:val="00BC6B25"/>
    <w:rsid w:val="00BC7909"/>
    <w:rsid w:val="00BD19C1"/>
    <w:rsid w:val="00BD25B8"/>
    <w:rsid w:val="00BD34C2"/>
    <w:rsid w:val="00BF097D"/>
    <w:rsid w:val="00BF1228"/>
    <w:rsid w:val="00BF4618"/>
    <w:rsid w:val="00BF5282"/>
    <w:rsid w:val="00C0011E"/>
    <w:rsid w:val="00C012E1"/>
    <w:rsid w:val="00C029BD"/>
    <w:rsid w:val="00C06BB4"/>
    <w:rsid w:val="00C10D20"/>
    <w:rsid w:val="00C12AC4"/>
    <w:rsid w:val="00C12E0C"/>
    <w:rsid w:val="00C12FD4"/>
    <w:rsid w:val="00C14968"/>
    <w:rsid w:val="00C21916"/>
    <w:rsid w:val="00C2650B"/>
    <w:rsid w:val="00C32E48"/>
    <w:rsid w:val="00C37203"/>
    <w:rsid w:val="00C439E8"/>
    <w:rsid w:val="00C45719"/>
    <w:rsid w:val="00C457CA"/>
    <w:rsid w:val="00C457D0"/>
    <w:rsid w:val="00C500EF"/>
    <w:rsid w:val="00C51EB1"/>
    <w:rsid w:val="00C52304"/>
    <w:rsid w:val="00C57FB7"/>
    <w:rsid w:val="00C62CEB"/>
    <w:rsid w:val="00C65F3F"/>
    <w:rsid w:val="00C70749"/>
    <w:rsid w:val="00C72414"/>
    <w:rsid w:val="00C73071"/>
    <w:rsid w:val="00C8667B"/>
    <w:rsid w:val="00C86750"/>
    <w:rsid w:val="00C91EF5"/>
    <w:rsid w:val="00C9234E"/>
    <w:rsid w:val="00C93BB2"/>
    <w:rsid w:val="00C9683E"/>
    <w:rsid w:val="00CA1C73"/>
    <w:rsid w:val="00CA2A24"/>
    <w:rsid w:val="00CA4CE3"/>
    <w:rsid w:val="00CA789B"/>
    <w:rsid w:val="00CB1354"/>
    <w:rsid w:val="00CB60BA"/>
    <w:rsid w:val="00CB65CB"/>
    <w:rsid w:val="00CC75C0"/>
    <w:rsid w:val="00CD23EF"/>
    <w:rsid w:val="00CD4F3F"/>
    <w:rsid w:val="00CE34BC"/>
    <w:rsid w:val="00CE562B"/>
    <w:rsid w:val="00CF091D"/>
    <w:rsid w:val="00CF0A9C"/>
    <w:rsid w:val="00CF19D4"/>
    <w:rsid w:val="00CF75F6"/>
    <w:rsid w:val="00D05BEA"/>
    <w:rsid w:val="00D05DD7"/>
    <w:rsid w:val="00D150AD"/>
    <w:rsid w:val="00D17D7F"/>
    <w:rsid w:val="00D2480A"/>
    <w:rsid w:val="00D30F2D"/>
    <w:rsid w:val="00D311F8"/>
    <w:rsid w:val="00D33468"/>
    <w:rsid w:val="00D36B52"/>
    <w:rsid w:val="00D3708C"/>
    <w:rsid w:val="00D377C8"/>
    <w:rsid w:val="00D37FE2"/>
    <w:rsid w:val="00D41274"/>
    <w:rsid w:val="00D43BF3"/>
    <w:rsid w:val="00D5746B"/>
    <w:rsid w:val="00D60CD8"/>
    <w:rsid w:val="00D677E9"/>
    <w:rsid w:val="00D7604E"/>
    <w:rsid w:val="00D767BB"/>
    <w:rsid w:val="00D8752A"/>
    <w:rsid w:val="00D90E33"/>
    <w:rsid w:val="00D92681"/>
    <w:rsid w:val="00D939B0"/>
    <w:rsid w:val="00D958E2"/>
    <w:rsid w:val="00DB16E0"/>
    <w:rsid w:val="00DB2DF9"/>
    <w:rsid w:val="00DB383B"/>
    <w:rsid w:val="00DB7E63"/>
    <w:rsid w:val="00DC2055"/>
    <w:rsid w:val="00DD16DC"/>
    <w:rsid w:val="00DD71E8"/>
    <w:rsid w:val="00DD7F83"/>
    <w:rsid w:val="00DE335E"/>
    <w:rsid w:val="00DF1B93"/>
    <w:rsid w:val="00DF68F5"/>
    <w:rsid w:val="00DF6A46"/>
    <w:rsid w:val="00DF7CA2"/>
    <w:rsid w:val="00E01DF5"/>
    <w:rsid w:val="00E0641E"/>
    <w:rsid w:val="00E06664"/>
    <w:rsid w:val="00E11080"/>
    <w:rsid w:val="00E12377"/>
    <w:rsid w:val="00E143CB"/>
    <w:rsid w:val="00E20C19"/>
    <w:rsid w:val="00E26614"/>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8276D"/>
    <w:rsid w:val="00E82B49"/>
    <w:rsid w:val="00E83976"/>
    <w:rsid w:val="00E865B8"/>
    <w:rsid w:val="00E94339"/>
    <w:rsid w:val="00E97563"/>
    <w:rsid w:val="00EA11A5"/>
    <w:rsid w:val="00EB0B63"/>
    <w:rsid w:val="00EB2163"/>
    <w:rsid w:val="00EC1C35"/>
    <w:rsid w:val="00EC265C"/>
    <w:rsid w:val="00EC3CAF"/>
    <w:rsid w:val="00EC65B7"/>
    <w:rsid w:val="00ED25B0"/>
    <w:rsid w:val="00ED278C"/>
    <w:rsid w:val="00ED61CB"/>
    <w:rsid w:val="00EE03D2"/>
    <w:rsid w:val="00EE4353"/>
    <w:rsid w:val="00EF2488"/>
    <w:rsid w:val="00EF290B"/>
    <w:rsid w:val="00EF3095"/>
    <w:rsid w:val="00EF3452"/>
    <w:rsid w:val="00EF61AD"/>
    <w:rsid w:val="00F062D8"/>
    <w:rsid w:val="00F06A72"/>
    <w:rsid w:val="00F06C6A"/>
    <w:rsid w:val="00F07E01"/>
    <w:rsid w:val="00F11217"/>
    <w:rsid w:val="00F1242E"/>
    <w:rsid w:val="00F136F0"/>
    <w:rsid w:val="00F148CD"/>
    <w:rsid w:val="00F20BBB"/>
    <w:rsid w:val="00F20DCD"/>
    <w:rsid w:val="00F22C0B"/>
    <w:rsid w:val="00F27490"/>
    <w:rsid w:val="00F34AE2"/>
    <w:rsid w:val="00F359FA"/>
    <w:rsid w:val="00F414A4"/>
    <w:rsid w:val="00F4394A"/>
    <w:rsid w:val="00F43BD8"/>
    <w:rsid w:val="00F46E7B"/>
    <w:rsid w:val="00F542DD"/>
    <w:rsid w:val="00F55879"/>
    <w:rsid w:val="00F562F3"/>
    <w:rsid w:val="00F57140"/>
    <w:rsid w:val="00F66CC2"/>
    <w:rsid w:val="00F67BC3"/>
    <w:rsid w:val="00F73EC9"/>
    <w:rsid w:val="00F74B89"/>
    <w:rsid w:val="00F75133"/>
    <w:rsid w:val="00F80742"/>
    <w:rsid w:val="00F82858"/>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E55CE"/>
    <w:rsid w:val="00FF11D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FBBA10"/>
  <w15:docId w15:val="{98D77D98-FA86-4BD3-B852-D9A4AC44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Body of text,spasi 2 taiiii"/>
    <w:basedOn w:val="Normal"/>
    <w:link w:val="ListParagraphChar"/>
    <w:uiPriority w:val="1"/>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NormalWeb">
    <w:name w:val="Normal (Web)"/>
    <w:basedOn w:val="Normal"/>
    <w:uiPriority w:val="99"/>
    <w:unhideWhenUsed/>
    <w:rsid w:val="00A5734E"/>
    <w:pPr>
      <w:spacing w:before="100" w:beforeAutospacing="1" w:after="100" w:afterAutospacing="1"/>
    </w:pPr>
    <w:rPr>
      <w:rFonts w:eastAsia="Times New Roman"/>
      <w:lang w:val="en-US" w:eastAsia="en-US"/>
    </w:rPr>
  </w:style>
  <w:style w:type="character" w:customStyle="1" w:styleId="ListParagraphChar">
    <w:name w:val="List Paragraph Char"/>
    <w:aliases w:val="Body of text Char,spasi 2 taiiii Char"/>
    <w:basedOn w:val="DefaultParagraphFont"/>
    <w:link w:val="ListParagraph"/>
    <w:uiPriority w:val="34"/>
    <w:rsid w:val="0014442E"/>
    <w:rPr>
      <w:sz w:val="24"/>
      <w:szCs w:val="24"/>
      <w:lang w:val="en-AU" w:eastAsia="zh-CN"/>
    </w:rPr>
  </w:style>
  <w:style w:type="paragraph" w:styleId="BodyText">
    <w:name w:val="Body Text"/>
    <w:basedOn w:val="Normal"/>
    <w:link w:val="BodyTextChar"/>
    <w:uiPriority w:val="1"/>
    <w:qFormat/>
    <w:rsid w:val="00175A90"/>
    <w:pPr>
      <w:widowControl w:val="0"/>
      <w:autoSpaceDE w:val="0"/>
      <w:autoSpaceDN w:val="0"/>
    </w:pPr>
    <w:rPr>
      <w:rFonts w:eastAsia="Times New Roman"/>
      <w:sz w:val="22"/>
      <w:szCs w:val="22"/>
      <w:lang w:val="id" w:eastAsia="en-US"/>
    </w:rPr>
  </w:style>
  <w:style w:type="character" w:customStyle="1" w:styleId="BodyTextChar">
    <w:name w:val="Body Text Char"/>
    <w:basedOn w:val="DefaultParagraphFont"/>
    <w:link w:val="BodyText"/>
    <w:uiPriority w:val="1"/>
    <w:rsid w:val="00175A90"/>
    <w:rPr>
      <w:rFonts w:eastAsia="Times New Roman"/>
      <w:sz w:val="22"/>
      <w:szCs w:val="22"/>
      <w:lang w:val="id"/>
    </w:rPr>
  </w:style>
  <w:style w:type="paragraph" w:customStyle="1" w:styleId="TableParagraph">
    <w:name w:val="Table Paragraph"/>
    <w:basedOn w:val="Normal"/>
    <w:uiPriority w:val="1"/>
    <w:qFormat/>
    <w:rsid w:val="004B3FB3"/>
    <w:pPr>
      <w:widowControl w:val="0"/>
      <w:autoSpaceDE w:val="0"/>
      <w:autoSpaceDN w:val="0"/>
      <w:spacing w:line="268" w:lineRule="exact"/>
    </w:pPr>
    <w:rPr>
      <w:rFonts w:eastAsia="Times New Roman"/>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86263">
      <w:bodyDiv w:val="1"/>
      <w:marLeft w:val="0"/>
      <w:marRight w:val="0"/>
      <w:marTop w:val="0"/>
      <w:marBottom w:val="0"/>
      <w:divBdr>
        <w:top w:val="none" w:sz="0" w:space="0" w:color="auto"/>
        <w:left w:val="none" w:sz="0" w:space="0" w:color="auto"/>
        <w:bottom w:val="none" w:sz="0" w:space="0" w:color="auto"/>
        <w:right w:val="none" w:sz="0" w:space="0" w:color="auto"/>
      </w:divBdr>
    </w:div>
    <w:div w:id="969628858">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XiX.XXXX"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6" Type="http://schemas.openxmlformats.org/officeDocument/2006/relationships/hyperlink" Target="https://doi.org/10.31764/jmm.vXiX.XXXX" TargetMode="External"/><Relationship Id="rId5" Type="http://schemas.openxmlformats.org/officeDocument/2006/relationships/image" Target="media/image10.png"/><Relationship Id="rId4" Type="http://schemas.openxmlformats.org/officeDocument/2006/relationships/hyperlink" Target="http://journal.ummat.ac.id/index.php/jm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Pictures\Ibu\Handycam.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aseline="0">
                <a:latin typeface="Times New Roman" panose="02020603050405020304" pitchFamily="18" charset="0"/>
                <a:cs typeface="Times New Roman" panose="02020603050405020304" pitchFamily="18" charset="0"/>
              </a:rPr>
              <a:t>Grafik Pretest-Postest </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Pre-test</c:v>
          </c:tx>
          <c:spPr>
            <a:solidFill>
              <a:schemeClr val="accent1"/>
            </a:solidFill>
            <a:ln w="25400">
              <a:noFill/>
            </a:ln>
            <a:effectLst/>
          </c:spPr>
          <c:invertIfNegative val="0"/>
          <c:cat>
            <c:numRef>
              <c:f>Sheet2!$B$3:$B$12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Sheet2!$C$3:$C$12</c:f>
              <c:numCache>
                <c:formatCode>General</c:formatCode>
                <c:ptCount val="10"/>
                <c:pt idx="0">
                  <c:v>48</c:v>
                </c:pt>
                <c:pt idx="1">
                  <c:v>60</c:v>
                </c:pt>
                <c:pt idx="2">
                  <c:v>68</c:v>
                </c:pt>
                <c:pt idx="3">
                  <c:v>56</c:v>
                </c:pt>
                <c:pt idx="4">
                  <c:v>60</c:v>
                </c:pt>
                <c:pt idx="5">
                  <c:v>48</c:v>
                </c:pt>
                <c:pt idx="6">
                  <c:v>60</c:v>
                </c:pt>
                <c:pt idx="7">
                  <c:v>60</c:v>
                </c:pt>
                <c:pt idx="8">
                  <c:v>60</c:v>
                </c:pt>
                <c:pt idx="9">
                  <c:v>52</c:v>
                </c:pt>
              </c:numCache>
            </c:numRef>
          </c:val>
          <c:extLst>
            <c:ext xmlns:c16="http://schemas.microsoft.com/office/drawing/2014/chart" uri="{C3380CC4-5D6E-409C-BE32-E72D297353CC}">
              <c16:uniqueId val="{00000000-65F4-4644-87C3-4702F1DBF0E0}"/>
            </c:ext>
          </c:extLst>
        </c:ser>
        <c:ser>
          <c:idx val="1"/>
          <c:order val="1"/>
          <c:tx>
            <c:v>Post-test</c:v>
          </c:tx>
          <c:spPr>
            <a:solidFill>
              <a:schemeClr val="accent2"/>
            </a:solidFill>
            <a:ln w="25400">
              <a:noFill/>
            </a:ln>
            <a:effectLst/>
          </c:spPr>
          <c:invertIfNegative val="0"/>
          <c:cat>
            <c:numRef>
              <c:f>Sheet2!$B$3:$B$12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Sheet2!$D$3:$D$12</c:f>
              <c:numCache>
                <c:formatCode>General</c:formatCode>
                <c:ptCount val="10"/>
                <c:pt idx="0">
                  <c:v>100</c:v>
                </c:pt>
                <c:pt idx="1">
                  <c:v>100</c:v>
                </c:pt>
                <c:pt idx="2">
                  <c:v>96</c:v>
                </c:pt>
                <c:pt idx="3">
                  <c:v>92</c:v>
                </c:pt>
                <c:pt idx="4">
                  <c:v>100</c:v>
                </c:pt>
                <c:pt idx="5">
                  <c:v>92</c:v>
                </c:pt>
                <c:pt idx="6">
                  <c:v>100</c:v>
                </c:pt>
                <c:pt idx="7">
                  <c:v>96</c:v>
                </c:pt>
                <c:pt idx="8">
                  <c:v>80</c:v>
                </c:pt>
                <c:pt idx="9">
                  <c:v>100</c:v>
                </c:pt>
              </c:numCache>
            </c:numRef>
          </c:val>
          <c:extLst>
            <c:ext xmlns:c16="http://schemas.microsoft.com/office/drawing/2014/chart" uri="{C3380CC4-5D6E-409C-BE32-E72D297353CC}">
              <c16:uniqueId val="{00000001-65F4-4644-87C3-4702F1DBF0E0}"/>
            </c:ext>
          </c:extLst>
        </c:ser>
        <c:dLbls>
          <c:showLegendKey val="0"/>
          <c:showVal val="0"/>
          <c:showCatName val="0"/>
          <c:showSerName val="0"/>
          <c:showPercent val="0"/>
          <c:showBubbleSize val="0"/>
        </c:dLbls>
        <c:gapWidth val="150"/>
        <c:axId val="2084575759"/>
        <c:axId val="2084576591"/>
      </c:barChart>
      <c:catAx>
        <c:axId val="20845757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Jumlah Responden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4576591"/>
        <c:crosses val="autoZero"/>
        <c:auto val="1"/>
        <c:lblAlgn val="ctr"/>
        <c:lblOffset val="100"/>
        <c:noMultiLvlLbl val="0"/>
      </c:catAx>
      <c:valAx>
        <c:axId val="2084576591"/>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%Nilai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457575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140F06C-FB15-4642-B719-04D08982E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9</Pages>
  <Words>10012</Words>
  <Characters>57069</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66948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user</cp:lastModifiedBy>
  <cp:revision>50</cp:revision>
  <cp:lastPrinted>2017-04-18T03:46:00Z</cp:lastPrinted>
  <dcterms:created xsi:type="dcterms:W3CDTF">2021-11-23T22:50:00Z</dcterms:created>
  <dcterms:modified xsi:type="dcterms:W3CDTF">2021-12-15T18:54:00Z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c6ed285f-6106-34e0-8f91-afdff1660035</vt:lpwstr>
  </property>
</Properties>
</file>