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E51D" w14:textId="624CF8EA" w:rsidR="00F23887" w:rsidRPr="005461B6" w:rsidRDefault="00535900" w:rsidP="00DF238E">
      <w:pPr>
        <w:spacing w:after="0"/>
        <w:jc w:val="center"/>
        <w:rPr>
          <w:rFonts w:ascii="Century Gothic" w:hAnsi="Century Gothic"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DF7A8F8" wp14:editId="72BFD911">
                <wp:simplePos x="0" y="0"/>
                <wp:positionH relativeFrom="column">
                  <wp:posOffset>2576945</wp:posOffset>
                </wp:positionH>
                <wp:positionV relativeFrom="paragraph">
                  <wp:posOffset>-1213657</wp:posOffset>
                </wp:positionV>
                <wp:extent cx="3453419" cy="980902"/>
                <wp:effectExtent l="0" t="0" r="1397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419" cy="980902"/>
                        </a:xfrm>
                        <a:prstGeom prst="rect">
                          <a:avLst/>
                        </a:prstGeom>
                        <a:solidFill>
                          <a:srgbClr val="FFFFFF">
                            <a:alpha val="0"/>
                          </a:srgbClr>
                        </a:solidFill>
                        <a:ln w="0">
                          <a:solidFill>
                            <a:schemeClr val="bg1">
                              <a:lumMod val="100000"/>
                              <a:lumOff val="0"/>
                            </a:schemeClr>
                          </a:solidFill>
                          <a:miter lim="800000"/>
                          <a:headEnd/>
                          <a:tailEnd/>
                        </a:ln>
                      </wps:spPr>
                      <wps:txbx>
                        <w:txbxContent>
                          <w:p w14:paraId="70FAAE1D" w14:textId="77777777" w:rsidR="00535900" w:rsidRDefault="00535900" w:rsidP="00535900">
                            <w:pPr>
                              <w:spacing w:after="0" w:line="240" w:lineRule="auto"/>
                              <w:contextualSpacing/>
                              <w:jc w:val="right"/>
                              <w:rPr>
                                <w:rFonts w:ascii="Century Gothic" w:hAnsi="Century Gothic"/>
                                <w:b/>
                                <w:szCs w:val="16"/>
                              </w:rPr>
                            </w:pPr>
                            <w:r>
                              <w:rPr>
                                <w:rFonts w:ascii="Century Gothic" w:hAnsi="Century Gothic"/>
                                <w:b/>
                                <w:szCs w:val="16"/>
                              </w:rPr>
                              <w:t>JMM (Jurnal Masyarakat Mandiri)</w:t>
                            </w:r>
                          </w:p>
                          <w:p w14:paraId="5BF693C2" w14:textId="77777777" w:rsidR="00535900" w:rsidRDefault="00535900" w:rsidP="00535900">
                            <w:pPr>
                              <w:spacing w:after="0" w:line="240" w:lineRule="auto"/>
                              <w:contextualSpacing/>
                              <w:jc w:val="right"/>
                              <w:rPr>
                                <w:rFonts w:ascii="Century Gothic" w:hAnsi="Century Gothic"/>
                                <w:b/>
                                <w:sz w:val="14"/>
                                <w:szCs w:val="16"/>
                              </w:rPr>
                            </w:pPr>
                            <w:hyperlink r:id="rId8" w:history="1">
                              <w:r>
                                <w:rPr>
                                  <w:rStyle w:val="Hyperlink"/>
                                </w:rPr>
                                <w:t>http://journal.ummat.ac.id/index.php/jmm</w:t>
                              </w:r>
                            </w:hyperlink>
                          </w:p>
                          <w:p w14:paraId="1D8F51D2" w14:textId="77777777" w:rsidR="00535900" w:rsidRDefault="00535900" w:rsidP="00535900">
                            <w:pPr>
                              <w:spacing w:after="0" w:line="240" w:lineRule="auto"/>
                              <w:contextualSpacing/>
                              <w:jc w:val="right"/>
                              <w:rPr>
                                <w:rFonts w:ascii="Century Gothic" w:hAnsi="Century Gothic"/>
                                <w:b/>
                                <w:sz w:val="20"/>
                                <w:szCs w:val="20"/>
                              </w:rPr>
                            </w:pPr>
                            <w:r>
                              <w:rPr>
                                <w:rFonts w:ascii="Century Gothic" w:hAnsi="Century Gothic"/>
                                <w:b/>
                                <w:sz w:val="20"/>
                                <w:szCs w:val="20"/>
                              </w:rPr>
                              <w:t xml:space="preserve">Vol. </w:t>
                            </w:r>
                            <w:proofErr w:type="gramStart"/>
                            <w:r>
                              <w:rPr>
                                <w:rFonts w:ascii="Century Gothic" w:hAnsi="Century Gothic"/>
                                <w:b/>
                                <w:sz w:val="20"/>
                                <w:szCs w:val="20"/>
                              </w:rPr>
                              <w:t>X,  No.</w:t>
                            </w:r>
                            <w:proofErr w:type="gramEnd"/>
                            <w:r>
                              <w:rPr>
                                <w:rFonts w:ascii="Century Gothic" w:hAnsi="Century Gothic"/>
                                <w:b/>
                                <w:sz w:val="20"/>
                                <w:szCs w:val="20"/>
                              </w:rPr>
                              <w:t xml:space="preserve"> X, Bulan 20XX, Hal. XX-XX</w:t>
                            </w:r>
                          </w:p>
                          <w:p w14:paraId="1E429EB0" w14:textId="77777777" w:rsidR="00535900" w:rsidRDefault="00535900" w:rsidP="00535900">
                            <w:pPr>
                              <w:spacing w:after="0" w:line="240" w:lineRule="auto"/>
                              <w:contextualSpacing/>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2598-8158</w:t>
                            </w:r>
                          </w:p>
                          <w:p w14:paraId="7CCE7EA8" w14:textId="78054DF4" w:rsidR="00535900" w:rsidRDefault="00535900" w:rsidP="00535900">
                            <w:pPr>
                              <w:spacing w:after="0" w:line="240" w:lineRule="auto"/>
                              <w:contextualSpacing/>
                              <w:jc w:val="right"/>
                              <w:rPr>
                                <w:rFonts w:ascii="Arial" w:hAnsi="Arial" w:cs="Arial"/>
                                <w:sz w:val="19"/>
                                <w:szCs w:val="19"/>
                              </w:rPr>
                            </w:pPr>
                            <w:r>
                              <w:rPr>
                                <w:noProof/>
                                <w:sz w:val="20"/>
                                <w:szCs w:val="20"/>
                              </w:rPr>
                              <w:drawing>
                                <wp:inline distT="0" distB="0" distL="0" distR="0" wp14:anchorId="511A173F" wp14:editId="293BD91F">
                                  <wp:extent cx="419100" cy="137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37160"/>
                                          </a:xfrm>
                                          <a:prstGeom prst="rect">
                                            <a:avLst/>
                                          </a:prstGeom>
                                          <a:noFill/>
                                          <a:ln>
                                            <a:noFill/>
                                          </a:ln>
                                        </pic:spPr>
                                      </pic:pic>
                                    </a:graphicData>
                                  </a:graphic>
                                </wp:inline>
                              </w:drawing>
                            </w:r>
                            <w:r>
                              <w:rPr>
                                <w:rFonts w:ascii="Century Gothic" w:hAnsi="Century Gothic"/>
                                <w:sz w:val="19"/>
                                <w:szCs w:val="19"/>
                              </w:rPr>
                              <w:t>:</w:t>
                            </w:r>
                            <w:hyperlink r:id="rId10" w:history="1">
                              <w:r>
                                <w:rPr>
                                  <w:rStyle w:val="Hyperlink"/>
                                  <w:rFonts w:ascii="Arial" w:hAnsi="Arial" w:cs="Arial"/>
                                  <w:sz w:val="19"/>
                                  <w:szCs w:val="19"/>
                                </w:rPr>
                                <w:t>https://doi.org/10.31764/jmm.vXiX.XXXX</w:t>
                              </w:r>
                            </w:hyperlink>
                          </w:p>
                          <w:p w14:paraId="18DDE021" w14:textId="77777777" w:rsidR="00535900" w:rsidRDefault="00535900" w:rsidP="00535900">
                            <w:pPr>
                              <w:spacing w:after="0" w:line="240" w:lineRule="auto"/>
                              <w:contextualSpacing/>
                              <w:jc w:val="right"/>
                              <w:rPr>
                                <w:rFonts w:ascii="Arial" w:hAnsi="Arial" w:cs="Arial"/>
                                <w:sz w:val="19"/>
                                <w:szCs w:val="19"/>
                              </w:rPr>
                            </w:pPr>
                          </w:p>
                          <w:p w14:paraId="12EC1773" w14:textId="77777777" w:rsidR="00535900" w:rsidRDefault="00535900" w:rsidP="00535900">
                            <w:pPr>
                              <w:spacing w:after="0" w:line="240" w:lineRule="auto"/>
                              <w:contextualSpacing/>
                              <w:jc w:val="right"/>
                              <w:rPr>
                                <w:rFonts w:ascii="Arial" w:hAnsi="Arial" w:cs="Arial"/>
                                <w:sz w:val="19"/>
                                <w:szCs w:val="19"/>
                              </w:rPr>
                            </w:pPr>
                          </w:p>
                          <w:p w14:paraId="064C58DE" w14:textId="77777777" w:rsidR="00535900" w:rsidRDefault="00535900" w:rsidP="00535900">
                            <w:pPr>
                              <w:spacing w:after="0" w:line="240" w:lineRule="auto"/>
                              <w:contextualSpacing/>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7A8F8" id="_x0000_t202" coordsize="21600,21600" o:spt="202" path="m,l,21600r21600,l21600,xe">
                <v:stroke joinstyle="miter"/>
                <v:path gradientshapeok="t" o:connecttype="rect"/>
              </v:shapetype>
              <v:shape id="Text Box 10" o:spid="_x0000_s1026" type="#_x0000_t202" style="position:absolute;left:0;text-align:left;margin-left:202.9pt;margin-top:-95.55pt;width:271.9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rNQIAAHwEAAAOAAAAZHJzL2Uyb0RvYy54bWysVNuO2yAQfa/Uf0C8N3ay2Tax4qy22aaq&#10;tL1I234AxthGxQwFEjv9+g6QZNPNW1U/IIaBMzPnzHh1N/aK7IV1EnRJp5OcEqE51FK3Jf3xfftm&#10;QYnzTNdMgRYlPQhH79avX60GU4gZdKBqYQmCaFcMpqSd96bIMsc70TM3ASM0OhuwPfNo2jarLRsQ&#10;vVfZLM/fZgPY2ljgwjk8fUhOuo74TSO4/9o0TniiSoq5+bjauFZhzdYrVrSWmU7yYxrsH7LomdQY&#10;9Az1wDwjOyuvoHrJLTho/IRDn0HTSC5iDVjNNH9RzVPHjIi1IDnOnGly/w+Wf9k/mW+W+PE9jChg&#10;LMKZR+A/HdGw6Zhuxb21MHSC1Rh4GijLBuOK49NAtStcAKmGz1CjyGznIQKNje0DK1gnQXQU4HAm&#10;XYyecDy8md/ezKdLSjj6lot8mc9iCFacXhvr/EcBPQmbkloUNaKz/aPzIRtWnK6EYA6UrLdSqWjY&#10;ttooS/YMG2Abv/RWmY6l09gEiOHS1Yj3F4bSZAhpX4OHLhVn+KpN9Kldjzwk8GkevtRmeI7N+CLo&#10;CeI6bC89joaSfUkXFyhBhw+6jo3rmVRpj/krfRQmaJFU8WM14sUgUAX1ASWykEYARxY3HdjflAzY&#10;/iV1v3bMCkrUJ40yL6fzeZiXaMxv383QsJee6tLDNEeoknpK0nbj04ztjJVth5ESMxrusTUaGVV7&#10;zuqYN7Z4ZOE4jmGGLu146/mnsf4DAAD//wMAUEsDBBQABgAIAAAAIQAgb9LT4wAAAAwBAAAPAAAA&#10;ZHJzL2Rvd25yZXYueG1sTI/BTsMwEETvSPyDtUjcWifQBhLiVAipSBwQIlBxdeMljojXIXbawNez&#10;nOC4s6OZN+Vmdr044Bg6TwrSZQICqfGmo1bB68t2cQ0iRE1G955QwRcG2FSnJ6UujD/SMx7q2AoO&#10;oVBoBTbGoZAyNBadDks/IPHv3Y9ORz7HVppRHznc9fIiSTLpdEfcYPWAdxabj3pyCrbTfX2s376v&#10;Pu1u6B4ed7N5Wlulzs/m2xsQEef4Z4ZffEaHipn2fiITRK9glawZPSpYpHmagmBLvsozEHuWLrMM&#10;ZFXK/yOqHwAAAP//AwBQSwECLQAUAAYACAAAACEAtoM4kv4AAADhAQAAEwAAAAAAAAAAAAAAAAAA&#10;AAAAW0NvbnRlbnRfVHlwZXNdLnhtbFBLAQItABQABgAIAAAAIQA4/SH/1gAAAJQBAAALAAAAAAAA&#10;AAAAAAAAAC8BAABfcmVscy8ucmVsc1BLAQItABQABgAIAAAAIQCqT/vrNQIAAHwEAAAOAAAAAAAA&#10;AAAAAAAAAC4CAABkcnMvZTJvRG9jLnhtbFBLAQItABQABgAIAAAAIQAgb9LT4wAAAAwBAAAPAAAA&#10;AAAAAAAAAAAAAI8EAABkcnMvZG93bnJldi54bWxQSwUGAAAAAAQABADzAAAAnwUAAAAA&#10;" strokecolor="white [3212]" strokeweight="0">
                <v:fill opacity="0"/>
                <v:textbox>
                  <w:txbxContent>
                    <w:p w14:paraId="70FAAE1D" w14:textId="77777777" w:rsidR="00535900" w:rsidRDefault="00535900" w:rsidP="00535900">
                      <w:pPr>
                        <w:spacing w:after="0" w:line="240" w:lineRule="auto"/>
                        <w:contextualSpacing/>
                        <w:jc w:val="right"/>
                        <w:rPr>
                          <w:rFonts w:ascii="Century Gothic" w:hAnsi="Century Gothic"/>
                          <w:b/>
                          <w:szCs w:val="16"/>
                        </w:rPr>
                      </w:pPr>
                      <w:r>
                        <w:rPr>
                          <w:rFonts w:ascii="Century Gothic" w:hAnsi="Century Gothic"/>
                          <w:b/>
                          <w:szCs w:val="16"/>
                        </w:rPr>
                        <w:t>JMM (Jurnal Masyarakat Mandiri)</w:t>
                      </w:r>
                    </w:p>
                    <w:p w14:paraId="5BF693C2" w14:textId="77777777" w:rsidR="00535900" w:rsidRDefault="00535900" w:rsidP="00535900">
                      <w:pPr>
                        <w:spacing w:after="0" w:line="240" w:lineRule="auto"/>
                        <w:contextualSpacing/>
                        <w:jc w:val="right"/>
                        <w:rPr>
                          <w:rFonts w:ascii="Century Gothic" w:hAnsi="Century Gothic"/>
                          <w:b/>
                          <w:sz w:val="14"/>
                          <w:szCs w:val="16"/>
                        </w:rPr>
                      </w:pPr>
                      <w:hyperlink r:id="rId11" w:history="1">
                        <w:r>
                          <w:rPr>
                            <w:rStyle w:val="Hyperlink"/>
                          </w:rPr>
                          <w:t>http://journal.ummat.ac.id/index.php/jmm</w:t>
                        </w:r>
                      </w:hyperlink>
                    </w:p>
                    <w:p w14:paraId="1D8F51D2" w14:textId="77777777" w:rsidR="00535900" w:rsidRDefault="00535900" w:rsidP="00535900">
                      <w:pPr>
                        <w:spacing w:after="0" w:line="240" w:lineRule="auto"/>
                        <w:contextualSpacing/>
                        <w:jc w:val="right"/>
                        <w:rPr>
                          <w:rFonts w:ascii="Century Gothic" w:hAnsi="Century Gothic"/>
                          <w:b/>
                          <w:sz w:val="20"/>
                          <w:szCs w:val="20"/>
                        </w:rPr>
                      </w:pPr>
                      <w:r>
                        <w:rPr>
                          <w:rFonts w:ascii="Century Gothic" w:hAnsi="Century Gothic"/>
                          <w:b/>
                          <w:sz w:val="20"/>
                          <w:szCs w:val="20"/>
                        </w:rPr>
                        <w:t xml:space="preserve">Vol. </w:t>
                      </w:r>
                      <w:proofErr w:type="gramStart"/>
                      <w:r>
                        <w:rPr>
                          <w:rFonts w:ascii="Century Gothic" w:hAnsi="Century Gothic"/>
                          <w:b/>
                          <w:sz w:val="20"/>
                          <w:szCs w:val="20"/>
                        </w:rPr>
                        <w:t>X,  No.</w:t>
                      </w:r>
                      <w:proofErr w:type="gramEnd"/>
                      <w:r>
                        <w:rPr>
                          <w:rFonts w:ascii="Century Gothic" w:hAnsi="Century Gothic"/>
                          <w:b/>
                          <w:sz w:val="20"/>
                          <w:szCs w:val="20"/>
                        </w:rPr>
                        <w:t xml:space="preserve"> X, Bulan 20XX, Hal. XX-XX</w:t>
                      </w:r>
                    </w:p>
                    <w:p w14:paraId="1E429EB0" w14:textId="77777777" w:rsidR="00535900" w:rsidRDefault="00535900" w:rsidP="00535900">
                      <w:pPr>
                        <w:spacing w:after="0" w:line="240" w:lineRule="auto"/>
                        <w:contextualSpacing/>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2598-8158</w:t>
                      </w:r>
                    </w:p>
                    <w:p w14:paraId="7CCE7EA8" w14:textId="78054DF4" w:rsidR="00535900" w:rsidRDefault="00535900" w:rsidP="00535900">
                      <w:pPr>
                        <w:spacing w:after="0" w:line="240" w:lineRule="auto"/>
                        <w:contextualSpacing/>
                        <w:jc w:val="right"/>
                        <w:rPr>
                          <w:rFonts w:ascii="Arial" w:hAnsi="Arial" w:cs="Arial"/>
                          <w:sz w:val="19"/>
                          <w:szCs w:val="19"/>
                        </w:rPr>
                      </w:pPr>
                      <w:r>
                        <w:rPr>
                          <w:noProof/>
                          <w:sz w:val="20"/>
                          <w:szCs w:val="20"/>
                        </w:rPr>
                        <w:drawing>
                          <wp:inline distT="0" distB="0" distL="0" distR="0" wp14:anchorId="511A173F" wp14:editId="293BD91F">
                            <wp:extent cx="419100" cy="137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137160"/>
                                    </a:xfrm>
                                    <a:prstGeom prst="rect">
                                      <a:avLst/>
                                    </a:prstGeom>
                                    <a:noFill/>
                                    <a:ln>
                                      <a:noFill/>
                                    </a:ln>
                                  </pic:spPr>
                                </pic:pic>
                              </a:graphicData>
                            </a:graphic>
                          </wp:inline>
                        </w:drawing>
                      </w:r>
                      <w:r>
                        <w:rPr>
                          <w:rFonts w:ascii="Century Gothic" w:hAnsi="Century Gothic"/>
                          <w:sz w:val="19"/>
                          <w:szCs w:val="19"/>
                        </w:rPr>
                        <w:t>:</w:t>
                      </w:r>
                      <w:hyperlink r:id="rId12" w:history="1">
                        <w:r>
                          <w:rPr>
                            <w:rStyle w:val="Hyperlink"/>
                            <w:rFonts w:ascii="Arial" w:hAnsi="Arial" w:cs="Arial"/>
                            <w:sz w:val="19"/>
                            <w:szCs w:val="19"/>
                          </w:rPr>
                          <w:t>https://doi.org/10.31764/jmm.vXiX.XXXX</w:t>
                        </w:r>
                      </w:hyperlink>
                    </w:p>
                    <w:p w14:paraId="18DDE021" w14:textId="77777777" w:rsidR="00535900" w:rsidRDefault="00535900" w:rsidP="00535900">
                      <w:pPr>
                        <w:spacing w:after="0" w:line="240" w:lineRule="auto"/>
                        <w:contextualSpacing/>
                        <w:jc w:val="right"/>
                        <w:rPr>
                          <w:rFonts w:ascii="Arial" w:hAnsi="Arial" w:cs="Arial"/>
                          <w:sz w:val="19"/>
                          <w:szCs w:val="19"/>
                        </w:rPr>
                      </w:pPr>
                    </w:p>
                    <w:p w14:paraId="12EC1773" w14:textId="77777777" w:rsidR="00535900" w:rsidRDefault="00535900" w:rsidP="00535900">
                      <w:pPr>
                        <w:spacing w:after="0" w:line="240" w:lineRule="auto"/>
                        <w:contextualSpacing/>
                        <w:jc w:val="right"/>
                        <w:rPr>
                          <w:rFonts w:ascii="Arial" w:hAnsi="Arial" w:cs="Arial"/>
                          <w:sz w:val="19"/>
                          <w:szCs w:val="19"/>
                        </w:rPr>
                      </w:pPr>
                    </w:p>
                    <w:p w14:paraId="064C58DE" w14:textId="77777777" w:rsidR="00535900" w:rsidRDefault="00535900" w:rsidP="00535900">
                      <w:pPr>
                        <w:spacing w:after="0" w:line="240" w:lineRule="auto"/>
                        <w:contextualSpacing/>
                        <w:jc w:val="right"/>
                        <w:rPr>
                          <w:rFonts w:ascii="Arial" w:hAnsi="Arial" w:cs="Arial"/>
                          <w:sz w:val="19"/>
                          <w:szCs w:val="19"/>
                        </w:rPr>
                      </w:pPr>
                    </w:p>
                  </w:txbxContent>
                </v:textbox>
              </v:shape>
            </w:pict>
          </mc:Fallback>
        </mc:AlternateContent>
      </w:r>
      <w:r w:rsidR="005461B6" w:rsidRPr="005461B6">
        <w:rPr>
          <w:rFonts w:ascii="Century Gothic" w:hAnsi="Century Gothic" w:cs="Times New Roman"/>
          <w:b/>
          <w:bCs/>
          <w:sz w:val="28"/>
          <w:szCs w:val="28"/>
        </w:rPr>
        <w:t>ME</w:t>
      </w:r>
      <w:r w:rsidR="00B527A9" w:rsidRPr="005461B6">
        <w:rPr>
          <w:rFonts w:ascii="Century Gothic" w:hAnsi="Century Gothic" w:cs="Times New Roman"/>
          <w:b/>
          <w:bCs/>
          <w:sz w:val="28"/>
          <w:szCs w:val="28"/>
        </w:rPr>
        <w:t xml:space="preserve">NEGUHKAN PAHAM MODERASI DI KALANGAN PEMUDA </w:t>
      </w:r>
    </w:p>
    <w:p w14:paraId="6A85705B" w14:textId="77777777" w:rsidR="00B527A9" w:rsidRPr="005461B6" w:rsidRDefault="00B527A9" w:rsidP="00B527A9">
      <w:pPr>
        <w:spacing w:after="0"/>
        <w:jc w:val="both"/>
        <w:rPr>
          <w:rFonts w:ascii="Times New Roman" w:hAnsi="Times New Roman" w:cs="Times New Roman"/>
          <w:sz w:val="24"/>
          <w:szCs w:val="24"/>
        </w:rPr>
      </w:pPr>
    </w:p>
    <w:p w14:paraId="4D780039" w14:textId="3F953B77" w:rsidR="00B527A9" w:rsidRPr="00C015EB" w:rsidRDefault="00B527A9" w:rsidP="00DF238E">
      <w:pPr>
        <w:spacing w:after="0"/>
        <w:jc w:val="center"/>
        <w:rPr>
          <w:rFonts w:ascii="Trebuchet MS" w:hAnsi="Trebuchet MS" w:cs="Times New Roman"/>
          <w:b/>
          <w:bCs/>
          <w:vertAlign w:val="superscript"/>
        </w:rPr>
      </w:pPr>
      <w:r w:rsidRPr="00505D18">
        <w:rPr>
          <w:rFonts w:ascii="Trebuchet MS" w:hAnsi="Trebuchet MS" w:cs="Times New Roman"/>
          <w:b/>
          <w:bCs/>
        </w:rPr>
        <w:t>Hasse Jubba</w:t>
      </w:r>
      <w:r w:rsidR="003C1F9C" w:rsidRPr="00505D18">
        <w:rPr>
          <w:rFonts w:ascii="Trebuchet MS" w:hAnsi="Trebuchet MS" w:cs="Times New Roman"/>
          <w:b/>
          <w:bCs/>
          <w:vertAlign w:val="superscript"/>
        </w:rPr>
        <w:t>1</w:t>
      </w:r>
      <w:r w:rsidR="00F01DD7" w:rsidRPr="00505D18">
        <w:rPr>
          <w:rFonts w:ascii="Trebuchet MS" w:hAnsi="Trebuchet MS" w:cs="Times New Roman"/>
          <w:b/>
          <w:bCs/>
          <w:vertAlign w:val="superscript"/>
        </w:rPr>
        <w:t>*</w:t>
      </w:r>
      <w:r w:rsidRPr="00505D18">
        <w:rPr>
          <w:rFonts w:ascii="Trebuchet MS" w:hAnsi="Trebuchet MS" w:cs="Times New Roman"/>
          <w:b/>
          <w:bCs/>
        </w:rPr>
        <w:t>, Ahmad Sahide</w:t>
      </w:r>
      <w:r w:rsidR="003C1F9C" w:rsidRPr="00505D18">
        <w:rPr>
          <w:rFonts w:ascii="Trebuchet MS" w:hAnsi="Trebuchet MS" w:cs="Times New Roman"/>
          <w:b/>
          <w:bCs/>
          <w:vertAlign w:val="superscript"/>
        </w:rPr>
        <w:t>2</w:t>
      </w:r>
      <w:r w:rsidRPr="00505D18">
        <w:rPr>
          <w:rFonts w:ascii="Trebuchet MS" w:hAnsi="Trebuchet MS" w:cs="Times New Roman"/>
          <w:b/>
          <w:bCs/>
        </w:rPr>
        <w:t>, Tohirin</w:t>
      </w:r>
      <w:r w:rsidR="003C1F9C" w:rsidRPr="00505D18">
        <w:rPr>
          <w:rFonts w:ascii="Trebuchet MS" w:hAnsi="Trebuchet MS" w:cs="Times New Roman"/>
          <w:b/>
          <w:bCs/>
          <w:vertAlign w:val="superscript"/>
        </w:rPr>
        <w:t>3</w:t>
      </w:r>
      <w:r w:rsidR="00A45B27" w:rsidRPr="00505D18">
        <w:rPr>
          <w:rFonts w:ascii="Trebuchet MS" w:hAnsi="Trebuchet MS" w:cs="Times New Roman"/>
          <w:b/>
          <w:bCs/>
        </w:rPr>
        <w:t>, Akbar Nur Aziz</w:t>
      </w:r>
      <w:r w:rsidR="00A45B27" w:rsidRPr="00505D18">
        <w:rPr>
          <w:rFonts w:ascii="Trebuchet MS" w:hAnsi="Trebuchet MS" w:cs="Times New Roman"/>
          <w:b/>
          <w:bCs/>
          <w:vertAlign w:val="superscript"/>
        </w:rPr>
        <w:t>4</w:t>
      </w:r>
      <w:r w:rsidR="006E4BAF">
        <w:rPr>
          <w:rFonts w:ascii="Trebuchet MS" w:hAnsi="Trebuchet MS" w:cs="Times New Roman"/>
          <w:b/>
          <w:bCs/>
        </w:rPr>
        <w:t xml:space="preserve">, </w:t>
      </w:r>
      <w:r w:rsidR="00C015EB">
        <w:rPr>
          <w:rFonts w:ascii="Trebuchet MS" w:hAnsi="Trebuchet MS" w:cs="Times New Roman"/>
          <w:b/>
          <w:bCs/>
        </w:rPr>
        <w:t>Herman L</w:t>
      </w:r>
      <w:r w:rsidR="00C573BB">
        <w:rPr>
          <w:rFonts w:ascii="Trebuchet MS" w:hAnsi="Trebuchet MS" w:cs="Times New Roman"/>
          <w:b/>
          <w:bCs/>
        </w:rPr>
        <w:t>awelai</w:t>
      </w:r>
      <w:r w:rsidR="00C015EB">
        <w:rPr>
          <w:rFonts w:ascii="Trebuchet MS" w:hAnsi="Trebuchet MS" w:cs="Times New Roman"/>
          <w:b/>
          <w:bCs/>
          <w:vertAlign w:val="superscript"/>
        </w:rPr>
        <w:t>5</w:t>
      </w:r>
    </w:p>
    <w:p w14:paraId="056456EB" w14:textId="04837BC1" w:rsidR="00B527A9" w:rsidRPr="00505D18" w:rsidRDefault="003C1F9C" w:rsidP="003C1F9C">
      <w:pPr>
        <w:spacing w:after="0"/>
        <w:jc w:val="center"/>
        <w:rPr>
          <w:rFonts w:ascii="Trebuchet MS" w:hAnsi="Trebuchet MS" w:cs="Times New Roman"/>
          <w:sz w:val="18"/>
          <w:szCs w:val="18"/>
        </w:rPr>
      </w:pPr>
      <w:r w:rsidRPr="00505D18">
        <w:rPr>
          <w:rFonts w:ascii="Trebuchet MS" w:hAnsi="Trebuchet MS" w:cs="Times New Roman"/>
          <w:sz w:val="18"/>
          <w:szCs w:val="18"/>
          <w:vertAlign w:val="superscript"/>
        </w:rPr>
        <w:t>1</w:t>
      </w:r>
      <w:r w:rsidR="00DF238E" w:rsidRPr="00505D18">
        <w:rPr>
          <w:rFonts w:ascii="Trebuchet MS" w:hAnsi="Trebuchet MS" w:cs="Times New Roman"/>
          <w:sz w:val="18"/>
          <w:szCs w:val="18"/>
        </w:rPr>
        <w:t>Program Studi Doktor Politik Islam</w:t>
      </w:r>
      <w:r w:rsidRPr="00505D18">
        <w:rPr>
          <w:rFonts w:ascii="Trebuchet MS" w:hAnsi="Trebuchet MS" w:cs="Times New Roman"/>
          <w:sz w:val="18"/>
          <w:szCs w:val="18"/>
        </w:rPr>
        <w:t xml:space="preserve">, </w:t>
      </w:r>
      <w:r w:rsidR="00B527A9" w:rsidRPr="00505D18">
        <w:rPr>
          <w:rFonts w:ascii="Trebuchet MS" w:hAnsi="Trebuchet MS" w:cs="Times New Roman"/>
          <w:sz w:val="18"/>
          <w:szCs w:val="18"/>
        </w:rPr>
        <w:t>Universitas Muhammadiyah Yogyakarta</w:t>
      </w:r>
      <w:r w:rsidRPr="00505D18">
        <w:rPr>
          <w:rFonts w:ascii="Trebuchet MS" w:hAnsi="Trebuchet MS" w:cs="Times New Roman"/>
          <w:sz w:val="18"/>
          <w:szCs w:val="18"/>
        </w:rPr>
        <w:t xml:space="preserve">, </w:t>
      </w:r>
      <w:r w:rsidR="00505D18">
        <w:rPr>
          <w:rFonts w:ascii="Trebuchet MS" w:hAnsi="Trebuchet MS" w:cs="Times New Roman"/>
          <w:sz w:val="18"/>
          <w:szCs w:val="18"/>
        </w:rPr>
        <w:t>Indonesia</w:t>
      </w:r>
      <w:r w:rsidR="00F70707">
        <w:rPr>
          <w:rFonts w:ascii="Trebuchet MS" w:hAnsi="Trebuchet MS" w:cs="Times New Roman"/>
          <w:sz w:val="18"/>
          <w:szCs w:val="18"/>
        </w:rPr>
        <w:t>.</w:t>
      </w:r>
    </w:p>
    <w:p w14:paraId="62E0CDCA" w14:textId="6532BF09" w:rsidR="003C1F9C" w:rsidRPr="00505D18" w:rsidRDefault="003C1F9C" w:rsidP="003C1F9C">
      <w:pPr>
        <w:spacing w:after="0"/>
        <w:jc w:val="center"/>
        <w:rPr>
          <w:rFonts w:ascii="Trebuchet MS" w:hAnsi="Trebuchet MS" w:cs="Times New Roman"/>
          <w:sz w:val="18"/>
          <w:szCs w:val="18"/>
        </w:rPr>
      </w:pPr>
      <w:r w:rsidRPr="00505D18">
        <w:rPr>
          <w:rFonts w:ascii="Trebuchet MS" w:hAnsi="Trebuchet MS" w:cs="Times New Roman"/>
          <w:sz w:val="18"/>
          <w:szCs w:val="18"/>
          <w:vertAlign w:val="superscript"/>
        </w:rPr>
        <w:t>2</w:t>
      </w:r>
      <w:r w:rsidRPr="00505D18">
        <w:rPr>
          <w:rFonts w:ascii="Trebuchet MS" w:hAnsi="Trebuchet MS" w:cs="Times New Roman"/>
          <w:sz w:val="18"/>
          <w:szCs w:val="18"/>
        </w:rPr>
        <w:t xml:space="preserve">Program Studi </w:t>
      </w:r>
      <w:r w:rsidR="00CD5713">
        <w:rPr>
          <w:rFonts w:ascii="Trebuchet MS" w:hAnsi="Trebuchet MS" w:cs="Times New Roman"/>
          <w:sz w:val="18"/>
          <w:szCs w:val="18"/>
        </w:rPr>
        <w:t>Hubungan Internasional Program Magister</w:t>
      </w:r>
      <w:r w:rsidRPr="00505D18">
        <w:rPr>
          <w:rFonts w:ascii="Trebuchet MS" w:hAnsi="Trebuchet MS" w:cs="Times New Roman"/>
          <w:sz w:val="18"/>
          <w:szCs w:val="18"/>
        </w:rPr>
        <w:t>, Universitas Muhammadiyah Yogyakarta</w:t>
      </w:r>
      <w:r w:rsidR="00F70707">
        <w:rPr>
          <w:rFonts w:ascii="Trebuchet MS" w:hAnsi="Trebuchet MS" w:cs="Times New Roman"/>
          <w:sz w:val="18"/>
          <w:szCs w:val="18"/>
        </w:rPr>
        <w:t>, Indonesia.</w:t>
      </w:r>
    </w:p>
    <w:p w14:paraId="1C8CEB18" w14:textId="6E10AB71" w:rsidR="00F01DD7" w:rsidRPr="00505D18" w:rsidRDefault="00F01DD7" w:rsidP="00F01DD7">
      <w:pPr>
        <w:spacing w:after="0"/>
        <w:jc w:val="center"/>
        <w:rPr>
          <w:rFonts w:ascii="Trebuchet MS" w:hAnsi="Trebuchet MS" w:cs="Times New Roman"/>
          <w:sz w:val="18"/>
          <w:szCs w:val="18"/>
        </w:rPr>
      </w:pPr>
      <w:r w:rsidRPr="00505D18">
        <w:rPr>
          <w:rFonts w:ascii="Trebuchet MS" w:hAnsi="Trebuchet MS" w:cs="Times New Roman"/>
          <w:sz w:val="18"/>
          <w:szCs w:val="18"/>
          <w:vertAlign w:val="superscript"/>
        </w:rPr>
        <w:t>3</w:t>
      </w:r>
      <w:r w:rsidRPr="00505D18">
        <w:rPr>
          <w:rFonts w:ascii="Trebuchet MS" w:hAnsi="Trebuchet MS" w:cs="Times New Roman"/>
          <w:sz w:val="18"/>
          <w:szCs w:val="18"/>
        </w:rPr>
        <w:t xml:space="preserve">Program Pascasarjana, Universitas Muhammadiyah Yogyakarta, </w:t>
      </w:r>
      <w:r w:rsidR="00F70707">
        <w:rPr>
          <w:rFonts w:ascii="Trebuchet MS" w:hAnsi="Trebuchet MS" w:cs="Times New Roman"/>
          <w:sz w:val="18"/>
          <w:szCs w:val="18"/>
        </w:rPr>
        <w:t>Indonesia.</w:t>
      </w:r>
    </w:p>
    <w:p w14:paraId="36C3DD85" w14:textId="12A663FE" w:rsidR="00F70707" w:rsidRDefault="00A45B27" w:rsidP="00F70707">
      <w:pPr>
        <w:spacing w:after="0"/>
        <w:jc w:val="center"/>
        <w:rPr>
          <w:rFonts w:ascii="Trebuchet MS" w:hAnsi="Trebuchet MS" w:cs="Times New Roman"/>
          <w:sz w:val="18"/>
          <w:szCs w:val="18"/>
        </w:rPr>
      </w:pPr>
      <w:r w:rsidRPr="00505D18">
        <w:rPr>
          <w:rFonts w:ascii="Trebuchet MS" w:hAnsi="Trebuchet MS" w:cs="Times New Roman"/>
          <w:sz w:val="18"/>
          <w:szCs w:val="18"/>
          <w:vertAlign w:val="superscript"/>
        </w:rPr>
        <w:t>4</w:t>
      </w:r>
      <w:r w:rsidRPr="00505D18">
        <w:rPr>
          <w:rFonts w:ascii="Trebuchet MS" w:hAnsi="Trebuchet MS" w:cs="Times New Roman"/>
          <w:sz w:val="18"/>
          <w:szCs w:val="18"/>
        </w:rPr>
        <w:t xml:space="preserve">Program Studi Magister Ilmu Agama Islam, Universitas Muhammadiyah Yogyakarta, </w:t>
      </w:r>
      <w:r w:rsidR="00F70707">
        <w:rPr>
          <w:rFonts w:ascii="Trebuchet MS" w:hAnsi="Trebuchet MS" w:cs="Times New Roman"/>
          <w:sz w:val="18"/>
          <w:szCs w:val="18"/>
        </w:rPr>
        <w:t>Indonesia.</w:t>
      </w:r>
    </w:p>
    <w:p w14:paraId="5C802012" w14:textId="02CD8874" w:rsidR="00C015EB" w:rsidRPr="00C015EB" w:rsidRDefault="00C015EB" w:rsidP="00F70707">
      <w:pPr>
        <w:spacing w:after="0"/>
        <w:jc w:val="center"/>
        <w:rPr>
          <w:rFonts w:ascii="Trebuchet MS" w:hAnsi="Trebuchet MS" w:cs="Times New Roman"/>
          <w:sz w:val="18"/>
          <w:szCs w:val="18"/>
        </w:rPr>
      </w:pPr>
      <w:r>
        <w:rPr>
          <w:rFonts w:ascii="Trebuchet MS" w:hAnsi="Trebuchet MS" w:cs="Times New Roman"/>
          <w:sz w:val="18"/>
          <w:szCs w:val="18"/>
          <w:vertAlign w:val="superscript"/>
        </w:rPr>
        <w:t>5</w:t>
      </w:r>
      <w:r>
        <w:rPr>
          <w:rFonts w:ascii="Trebuchet MS" w:hAnsi="Trebuchet MS" w:cs="Times New Roman"/>
          <w:sz w:val="18"/>
          <w:szCs w:val="18"/>
        </w:rPr>
        <w:t xml:space="preserve">Program Studi Ilmu Pemerintahan, </w:t>
      </w:r>
      <w:r w:rsidR="00CD5713">
        <w:rPr>
          <w:rFonts w:ascii="Trebuchet MS" w:hAnsi="Trebuchet MS" w:cs="Times New Roman"/>
          <w:sz w:val="18"/>
          <w:szCs w:val="18"/>
        </w:rPr>
        <w:t>Universitas Muhammadiyah Buton, Indonesia</w:t>
      </w:r>
    </w:p>
    <w:p w14:paraId="4A0EDE5C" w14:textId="03A301D0" w:rsidR="00F70707" w:rsidRPr="00F70707" w:rsidRDefault="00A71C13" w:rsidP="00F70707">
      <w:pPr>
        <w:spacing w:after="0"/>
        <w:jc w:val="center"/>
        <w:rPr>
          <w:rFonts w:ascii="Trebuchet MS" w:hAnsi="Trebuchet MS" w:cs="Times New Roman"/>
          <w:sz w:val="18"/>
          <w:szCs w:val="18"/>
        </w:rPr>
      </w:pPr>
      <w:hyperlink r:id="rId13" w:history="1">
        <w:r w:rsidRPr="000F613E">
          <w:rPr>
            <w:rStyle w:val="Hyperlink"/>
            <w:rFonts w:ascii="Trebuchet MS" w:hAnsi="Trebuchet MS" w:cs="Times New Roman"/>
            <w:sz w:val="18"/>
            <w:szCs w:val="18"/>
          </w:rPr>
          <w:t>hassejubba@umy.ac.id,ahmadsahide@umy.ac.id</w:t>
        </w:r>
      </w:hyperlink>
      <w:r>
        <w:rPr>
          <w:rFonts w:ascii="Trebuchet MS" w:hAnsi="Trebuchet MS" w:cs="Times New Roman"/>
          <w:sz w:val="18"/>
          <w:szCs w:val="18"/>
        </w:rPr>
        <w:t xml:space="preserve">, </w:t>
      </w:r>
      <w:hyperlink r:id="rId14" w:history="1">
        <w:r w:rsidR="00810110" w:rsidRPr="000F613E">
          <w:rPr>
            <w:rStyle w:val="Hyperlink"/>
            <w:rFonts w:ascii="Trebuchet MS" w:hAnsi="Trebuchet MS" w:cs="Times New Roman"/>
            <w:sz w:val="18"/>
            <w:szCs w:val="18"/>
          </w:rPr>
          <w:t>tohirin@umy.ac.id</w:t>
        </w:r>
      </w:hyperlink>
      <w:r w:rsidR="00810110">
        <w:rPr>
          <w:rFonts w:ascii="Trebuchet MS" w:hAnsi="Trebuchet MS" w:cs="Times New Roman"/>
          <w:sz w:val="18"/>
          <w:szCs w:val="18"/>
        </w:rPr>
        <w:t xml:space="preserve">, </w:t>
      </w:r>
      <w:hyperlink r:id="rId15" w:history="1">
        <w:r w:rsidR="00810110" w:rsidRPr="000F613E">
          <w:rPr>
            <w:rStyle w:val="Hyperlink"/>
            <w:rFonts w:ascii="Trebuchet MS" w:hAnsi="Trebuchet MS" w:cs="Times New Roman"/>
            <w:sz w:val="18"/>
            <w:szCs w:val="18"/>
          </w:rPr>
          <w:t>akbar.nur.psc21@mail.umy.ac.id</w:t>
        </w:r>
      </w:hyperlink>
      <w:r w:rsidR="00C573BB">
        <w:rPr>
          <w:rFonts w:ascii="Trebuchet MS" w:hAnsi="Trebuchet MS" w:cs="Times New Roman"/>
          <w:sz w:val="18"/>
          <w:szCs w:val="18"/>
        </w:rPr>
        <w:t xml:space="preserve">, </w:t>
      </w:r>
      <w:hyperlink r:id="rId16" w:history="1">
        <w:r w:rsidR="00C573BB" w:rsidRPr="000F613E">
          <w:rPr>
            <w:rStyle w:val="Hyperlink"/>
            <w:rFonts w:ascii="Trebuchet MS" w:hAnsi="Trebuchet MS" w:cs="Times New Roman"/>
            <w:sz w:val="18"/>
            <w:szCs w:val="18"/>
          </w:rPr>
          <w:t>hermawanlaerlai@yahoo.com</w:t>
        </w:r>
      </w:hyperlink>
      <w:r w:rsidR="00C573BB">
        <w:rPr>
          <w:rFonts w:ascii="Trebuchet MS" w:hAnsi="Trebuchet MS" w:cs="Times New Roman"/>
          <w:sz w:val="18"/>
          <w:szCs w:val="18"/>
        </w:rPr>
        <w:t xml:space="preserve"> </w:t>
      </w:r>
    </w:p>
    <w:p w14:paraId="34498C17" w14:textId="55BFA8D7" w:rsidR="005E2EA8" w:rsidRDefault="005E2EA8" w:rsidP="005E2EA8">
      <w:pPr>
        <w:jc w:val="center"/>
        <w:rPr>
          <w:rFonts w:ascii="Century Gothic" w:hAnsi="Century Gothic" w:cs="Times New Roman"/>
          <w:b/>
          <w:bCs/>
          <w:sz w:val="24"/>
          <w:szCs w:val="24"/>
        </w:rPr>
      </w:pPr>
    </w:p>
    <w:tbl>
      <w:tblPr>
        <w:tblStyle w:val="TableGrid"/>
        <w:tblW w:w="8459" w:type="dxa"/>
        <w:jc w:val="center"/>
        <w:tblLook w:val="04A0" w:firstRow="1" w:lastRow="0" w:firstColumn="1" w:lastColumn="0" w:noHBand="0" w:noVBand="1"/>
      </w:tblPr>
      <w:tblGrid>
        <w:gridCol w:w="1243"/>
        <w:gridCol w:w="3033"/>
        <w:gridCol w:w="4161"/>
        <w:gridCol w:w="22"/>
      </w:tblGrid>
      <w:tr w:rsidR="00660787" w:rsidRPr="00922A80" w14:paraId="228EC582" w14:textId="77777777" w:rsidTr="00E14CF4">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598A1D31" w14:textId="77777777" w:rsidR="00660787" w:rsidRPr="00922A80" w:rsidRDefault="00660787" w:rsidP="00E14CF4">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660787" w:rsidRPr="00922A80" w14:paraId="2DF31445" w14:textId="77777777" w:rsidTr="00E14CF4">
        <w:trPr>
          <w:gridAfter w:val="1"/>
          <w:wAfter w:w="22" w:type="dxa"/>
          <w:trHeight w:val="1268"/>
          <w:jc w:val="center"/>
        </w:trPr>
        <w:tc>
          <w:tcPr>
            <w:tcW w:w="8437" w:type="dxa"/>
            <w:gridSpan w:val="3"/>
            <w:vMerge w:val="restart"/>
            <w:tcBorders>
              <w:top w:val="single" w:sz="4" w:space="0" w:color="auto"/>
              <w:left w:val="nil"/>
              <w:right w:val="nil"/>
            </w:tcBorders>
          </w:tcPr>
          <w:p w14:paraId="2E7BC5B6" w14:textId="140F4F05" w:rsidR="007076D7" w:rsidRDefault="00660787" w:rsidP="007076D7">
            <w:pPr>
              <w:jc w:val="both"/>
              <w:rPr>
                <w:rFonts w:ascii="Century" w:hAnsi="Century" w:cs="Times New Roman"/>
                <w:sz w:val="20"/>
                <w:szCs w:val="20"/>
              </w:rPr>
            </w:pPr>
            <w:r>
              <w:rPr>
                <w:rFonts w:ascii="Century" w:hAnsi="Century"/>
                <w:b/>
                <w:i/>
                <w:sz w:val="20"/>
                <w:szCs w:val="20"/>
              </w:rPr>
              <w:t xml:space="preserve"> </w:t>
            </w:r>
            <w:r w:rsidR="007076D7" w:rsidRPr="00A320FC">
              <w:rPr>
                <w:rFonts w:ascii="Century" w:hAnsi="Century" w:cs="Times New Roman"/>
                <w:b/>
                <w:bCs/>
                <w:sz w:val="20"/>
                <w:szCs w:val="20"/>
              </w:rPr>
              <w:t>Abstrak</w:t>
            </w:r>
            <w:r w:rsidR="007076D7">
              <w:rPr>
                <w:rFonts w:ascii="Century" w:hAnsi="Century" w:cs="Times New Roman"/>
                <w:sz w:val="20"/>
                <w:szCs w:val="20"/>
              </w:rPr>
              <w:t xml:space="preserve">: </w:t>
            </w:r>
            <w:r w:rsidR="007076D7" w:rsidRPr="00A320FC">
              <w:rPr>
                <w:rFonts w:ascii="Century" w:hAnsi="Century" w:cs="Times New Roman"/>
                <w:sz w:val="20"/>
                <w:szCs w:val="20"/>
              </w:rPr>
              <w:t xml:space="preserve">Meneguhkan paham moderat di semua kalangan penting menjadi gerakan bersama untuk menciptakan tatanan masyarakat dengan tingkat pemahaman agama yang lebih seimbang. Kalangan pemuda sebagai aset dan penerus bangsa perlu dibekali paham-paham yang berorientasi pada keterbukaan. Kegiatan pengabdian yang mengambil tema meneguhkan moderasi beragama adalah satu dari banyak cara untuk menghadirkan pemuda yang memiliki tidak saja wawasan keagamaan yang komprehensif, tetapi juga toleran dan moderat seperti yang telah dilakukan di kalangan pemuda kampung Klidon Mantren. Hasil kegiatan menunjukkan bahwa pemahaman pemuda mengenai moderasi beragama sangat baik. Hal ini merupakan modal penting untuk pembentukan karakter pemuda yang lebih intensif di masa-masa mendatang. Oleh karena itu, keberlanjutan program perlu dilakukan untuk memperluas jangkauan peneguhan paham moderasi beragama ini. Kegiatan ini hanya menyasar kalangan pemuda sehingga dampaknya masih terbatas. Ke depan, perlu dilakukan upaya massif dengan melibatkan elemen masyarakat yang lebih luas. </w:t>
            </w:r>
          </w:p>
          <w:p w14:paraId="2A57392D" w14:textId="77777777" w:rsidR="007076D7" w:rsidRPr="00A320FC" w:rsidRDefault="007076D7" w:rsidP="007076D7">
            <w:pPr>
              <w:jc w:val="both"/>
              <w:rPr>
                <w:rFonts w:ascii="Century" w:hAnsi="Century" w:cs="Times New Roman"/>
                <w:sz w:val="20"/>
                <w:szCs w:val="20"/>
              </w:rPr>
            </w:pPr>
          </w:p>
          <w:p w14:paraId="5D5CB2D4" w14:textId="50838000" w:rsidR="007076D7" w:rsidRDefault="007076D7" w:rsidP="007076D7">
            <w:pPr>
              <w:jc w:val="both"/>
              <w:rPr>
                <w:rFonts w:ascii="Century" w:hAnsi="Century" w:cs="Times New Roman"/>
                <w:b/>
                <w:bCs/>
                <w:sz w:val="20"/>
                <w:szCs w:val="20"/>
              </w:rPr>
            </w:pPr>
            <w:r w:rsidRPr="00A320FC">
              <w:rPr>
                <w:rFonts w:ascii="Century" w:hAnsi="Century" w:cs="Times New Roman"/>
                <w:b/>
                <w:bCs/>
                <w:sz w:val="20"/>
                <w:szCs w:val="20"/>
              </w:rPr>
              <w:t>Kata Kunci:</w:t>
            </w:r>
            <w:r w:rsidRPr="00A320FC">
              <w:rPr>
                <w:rFonts w:ascii="Century" w:hAnsi="Century" w:cs="Times New Roman"/>
                <w:sz w:val="20"/>
                <w:szCs w:val="20"/>
              </w:rPr>
              <w:t xml:space="preserve"> moderasi beragama, pemuda, pemahaman keagamaan keterbukaan.</w:t>
            </w:r>
            <w:r w:rsidRPr="00A320FC">
              <w:rPr>
                <w:rFonts w:ascii="Century" w:hAnsi="Century" w:cs="Times New Roman"/>
                <w:b/>
                <w:bCs/>
                <w:sz w:val="20"/>
                <w:szCs w:val="20"/>
              </w:rPr>
              <w:t xml:space="preserve">   </w:t>
            </w:r>
          </w:p>
          <w:p w14:paraId="5FD25737" w14:textId="77777777" w:rsidR="00A94CA9" w:rsidRPr="00A320FC" w:rsidRDefault="00A94CA9" w:rsidP="007076D7">
            <w:pPr>
              <w:jc w:val="both"/>
              <w:rPr>
                <w:rFonts w:ascii="Century" w:hAnsi="Century" w:cs="Times New Roman"/>
                <w:b/>
                <w:bCs/>
                <w:sz w:val="20"/>
                <w:szCs w:val="20"/>
              </w:rPr>
            </w:pPr>
          </w:p>
          <w:p w14:paraId="48455571" w14:textId="1D1E37B0" w:rsidR="007076D7" w:rsidRPr="00660787" w:rsidRDefault="007076D7" w:rsidP="007076D7">
            <w:pPr>
              <w:jc w:val="both"/>
              <w:rPr>
                <w:rFonts w:ascii="Century" w:hAnsi="Century" w:cs="Times New Roman"/>
                <w:b/>
                <w:bCs/>
                <w:i/>
                <w:iCs/>
                <w:sz w:val="20"/>
                <w:szCs w:val="20"/>
              </w:rPr>
            </w:pPr>
            <w:r w:rsidRPr="00A320FC">
              <w:rPr>
                <w:rFonts w:ascii="Century" w:hAnsi="Century" w:cs="Times New Roman"/>
                <w:b/>
                <w:bCs/>
                <w:i/>
                <w:iCs/>
                <w:sz w:val="20"/>
                <w:szCs w:val="20"/>
              </w:rPr>
              <w:t>Abstract</w:t>
            </w:r>
            <w:r>
              <w:rPr>
                <w:rFonts w:ascii="Century" w:hAnsi="Century" w:cs="Times New Roman"/>
                <w:b/>
                <w:bCs/>
                <w:i/>
                <w:iCs/>
                <w:sz w:val="20"/>
                <w:szCs w:val="20"/>
              </w:rPr>
              <w:t xml:space="preserve">: </w:t>
            </w:r>
            <w:r w:rsidRPr="00A320FC">
              <w:rPr>
                <w:rFonts w:ascii="Century" w:hAnsi="Century" w:cs="Times New Roman"/>
                <w:i/>
                <w:iCs/>
                <w:sz w:val="20"/>
                <w:szCs w:val="20"/>
              </w:rPr>
              <w:t xml:space="preserve">Strengthening moderate understanding in all circles is important as a joint movement to create a society with a more balanced level of religious understanding. Young people as assets and successors of the nation need to be equipped with ideas oriented towards openness. The service activity with the theme of affirming religious moderation is one of many ways to present youths who have not only comprehensive religious </w:t>
            </w:r>
            <w:proofErr w:type="gramStart"/>
            <w:r w:rsidRPr="00A320FC">
              <w:rPr>
                <w:rFonts w:ascii="Century" w:hAnsi="Century" w:cs="Times New Roman"/>
                <w:i/>
                <w:iCs/>
                <w:sz w:val="20"/>
                <w:szCs w:val="20"/>
              </w:rPr>
              <w:t>insight,</w:t>
            </w:r>
            <w:r w:rsidR="005560CF">
              <w:rPr>
                <w:rFonts w:ascii="Century" w:hAnsi="Century" w:cs="Times New Roman"/>
                <w:i/>
                <w:iCs/>
                <w:sz w:val="20"/>
                <w:szCs w:val="20"/>
              </w:rPr>
              <w:t xml:space="preserve"> </w:t>
            </w:r>
            <w:r w:rsidRPr="00A320FC">
              <w:rPr>
                <w:rFonts w:ascii="Century" w:hAnsi="Century" w:cs="Times New Roman"/>
                <w:i/>
                <w:iCs/>
                <w:sz w:val="20"/>
                <w:szCs w:val="20"/>
              </w:rPr>
              <w:t>but</w:t>
            </w:r>
            <w:proofErr w:type="gramEnd"/>
            <w:r w:rsidRPr="00A320FC">
              <w:rPr>
                <w:rFonts w:ascii="Century" w:hAnsi="Century" w:cs="Times New Roman"/>
                <w:i/>
                <w:iCs/>
                <w:sz w:val="20"/>
                <w:szCs w:val="20"/>
              </w:rPr>
              <w:t xml:space="preserve"> are also tolerant and moderate as has been done among the youth of Klidon Mantren village. The results of the activity show that youth's understanding of religious moderation is very good. This is an important capital for the formation of a more intensive youth character in the future. Therefore, it is necessary to continue the program to expand the reach of this affirmation of religious moderation. This activity only targets youth, so its impact is still limited. In the future, massive efforts need to be made by involving elements of the wider community.</w:t>
            </w:r>
          </w:p>
          <w:p w14:paraId="0B8CA719" w14:textId="26EBB581" w:rsidR="00660787" w:rsidRPr="00BF5282" w:rsidRDefault="007076D7" w:rsidP="007076D7">
            <w:pPr>
              <w:spacing w:before="120" w:after="240"/>
              <w:jc w:val="both"/>
              <w:rPr>
                <w:rFonts w:ascii="Century" w:hAnsi="Century"/>
                <w:b/>
                <w:i/>
                <w:sz w:val="20"/>
                <w:szCs w:val="20"/>
              </w:rPr>
            </w:pPr>
            <w:r w:rsidRPr="00A320FC">
              <w:rPr>
                <w:rFonts w:ascii="Century" w:hAnsi="Century" w:cs="Times New Roman"/>
                <w:b/>
                <w:bCs/>
                <w:i/>
                <w:iCs/>
                <w:sz w:val="20"/>
                <w:szCs w:val="20"/>
              </w:rPr>
              <w:t>Keywords:</w:t>
            </w:r>
            <w:r w:rsidRPr="00A320FC">
              <w:rPr>
                <w:rFonts w:ascii="Century" w:hAnsi="Century" w:cs="Times New Roman"/>
                <w:i/>
                <w:iCs/>
                <w:sz w:val="20"/>
                <w:szCs w:val="20"/>
              </w:rPr>
              <w:t xml:space="preserve"> religious moderation, youth, religious understanding of openness.</w:t>
            </w:r>
          </w:p>
        </w:tc>
      </w:tr>
      <w:tr w:rsidR="00660787" w:rsidRPr="00922A80" w14:paraId="551F0AB5" w14:textId="77777777" w:rsidTr="00E14CF4">
        <w:trPr>
          <w:gridAfter w:val="1"/>
          <w:wAfter w:w="22" w:type="dxa"/>
          <w:trHeight w:val="1482"/>
          <w:jc w:val="center"/>
        </w:trPr>
        <w:tc>
          <w:tcPr>
            <w:tcW w:w="8437" w:type="dxa"/>
            <w:gridSpan w:val="3"/>
            <w:vMerge/>
            <w:tcBorders>
              <w:left w:val="nil"/>
              <w:bottom w:val="single" w:sz="4" w:space="0" w:color="auto"/>
              <w:right w:val="nil"/>
            </w:tcBorders>
          </w:tcPr>
          <w:p w14:paraId="615D58A8" w14:textId="77777777" w:rsidR="00660787" w:rsidRPr="00922A80" w:rsidRDefault="00660787" w:rsidP="00E14CF4">
            <w:pPr>
              <w:spacing w:before="120"/>
              <w:jc w:val="both"/>
              <w:rPr>
                <w:rFonts w:ascii="Century Gothic" w:hAnsi="Century Gothic"/>
                <w:iCs/>
                <w:color w:val="000000"/>
                <w:sz w:val="20"/>
                <w:szCs w:val="20"/>
              </w:rPr>
            </w:pPr>
          </w:p>
        </w:tc>
      </w:tr>
      <w:tr w:rsidR="00660787" w:rsidRPr="00A231E7" w14:paraId="1260CE15" w14:textId="77777777" w:rsidTr="00E14CF4">
        <w:trPr>
          <w:trHeight w:val="866"/>
          <w:jc w:val="center"/>
        </w:trPr>
        <w:tc>
          <w:tcPr>
            <w:tcW w:w="1243" w:type="dxa"/>
            <w:tcBorders>
              <w:top w:val="single" w:sz="4" w:space="0" w:color="auto"/>
              <w:left w:val="nil"/>
              <w:bottom w:val="single" w:sz="4" w:space="0" w:color="auto"/>
              <w:right w:val="nil"/>
            </w:tcBorders>
          </w:tcPr>
          <w:p w14:paraId="22EAAE41" w14:textId="77777777" w:rsidR="00660787" w:rsidRPr="00922A80" w:rsidRDefault="00660787" w:rsidP="00E14CF4">
            <w:pPr>
              <w:spacing w:before="120"/>
              <w:jc w:val="both"/>
              <w:rPr>
                <w:rFonts w:ascii="Century Gothic" w:hAnsi="Century Gothic"/>
                <w:iCs/>
                <w:color w:val="000000"/>
                <w:sz w:val="20"/>
                <w:szCs w:val="20"/>
              </w:rPr>
            </w:pPr>
            <w:r>
              <w:rPr>
                <w:rFonts w:ascii="Century Gothic" w:hAnsi="Century Gothic"/>
                <w:b/>
                <w:noProof/>
                <w:szCs w:val="16"/>
              </w:rPr>
              <w:drawing>
                <wp:anchor distT="0" distB="0" distL="114300" distR="114300" simplePos="0" relativeHeight="251660288" behindDoc="0" locked="0" layoutInCell="1" allowOverlap="1" wp14:anchorId="26CEB33A" wp14:editId="62BE895E">
                  <wp:simplePos x="0" y="0"/>
                  <wp:positionH relativeFrom="column">
                    <wp:posOffset>18348</wp:posOffset>
                  </wp:positionH>
                  <wp:positionV relativeFrom="paragraph">
                    <wp:posOffset>33588</wp:posOffset>
                  </wp:positionV>
                  <wp:extent cx="620973" cy="620973"/>
                  <wp:effectExtent l="0" t="0" r="0" b="0"/>
                  <wp:wrapNone/>
                  <wp:docPr id="11" name="Picture 1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202BA7B1" w14:textId="77777777" w:rsidR="00660787" w:rsidRPr="00A231E7" w:rsidRDefault="00660787" w:rsidP="00E14CF4">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45CCEDFE" w14:textId="77777777" w:rsidR="00660787" w:rsidRPr="00A231E7" w:rsidRDefault="00660787" w:rsidP="00E14CF4">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61D3080E" w14:textId="77777777" w:rsidR="00660787" w:rsidRPr="00A231E7" w:rsidRDefault="00660787" w:rsidP="00E14CF4">
            <w:pPr>
              <w:jc w:val="both"/>
              <w:rPr>
                <w:rFonts w:ascii="Century" w:hAnsi="Century"/>
                <w:sz w:val="18"/>
                <w:szCs w:val="18"/>
              </w:rPr>
            </w:pPr>
            <w:proofErr w:type="gramStart"/>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w:t>
            </w:r>
            <w:proofErr w:type="gramEnd"/>
            <w:r w:rsidRPr="00A231E7">
              <w:rPr>
                <w:rFonts w:ascii="Century" w:hAnsi="Century"/>
                <w:sz w:val="18"/>
                <w:szCs w:val="18"/>
              </w:rPr>
              <w:t xml:space="preserve"> </w:t>
            </w:r>
            <w:r>
              <w:rPr>
                <w:rFonts w:ascii="Century" w:hAnsi="Century"/>
                <w:sz w:val="18"/>
                <w:szCs w:val="18"/>
              </w:rPr>
              <w:t>DD-MM-20XX</w:t>
            </w:r>
          </w:p>
          <w:p w14:paraId="77E8F8AB" w14:textId="77777777" w:rsidR="00660787" w:rsidRDefault="00660787" w:rsidP="00E14CF4">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3F98B46D" w14:textId="77777777" w:rsidR="00660787" w:rsidRPr="00A231E7" w:rsidRDefault="00660787" w:rsidP="00E14CF4">
            <w:pPr>
              <w:jc w:val="both"/>
              <w:rPr>
                <w:rFonts w:ascii="Century" w:hAnsi="Century"/>
                <w:iCs/>
                <w:color w:val="000000"/>
                <w:sz w:val="20"/>
                <w:szCs w:val="20"/>
              </w:rPr>
            </w:pPr>
            <w:r>
              <w:rPr>
                <w:rFonts w:ascii="Century" w:hAnsi="Century"/>
                <w:sz w:val="18"/>
                <w:szCs w:val="18"/>
              </w:rPr>
              <w:t xml:space="preserve">Online  </w:t>
            </w:r>
            <w:proofErr w:type="gramStart"/>
            <w:r>
              <w:rPr>
                <w:rFonts w:ascii="Century" w:hAnsi="Century"/>
                <w:sz w:val="18"/>
                <w:szCs w:val="18"/>
              </w:rPr>
              <w:t xml:space="preserve">  :</w:t>
            </w:r>
            <w:proofErr w:type="gramEnd"/>
            <w:r>
              <w:rPr>
                <w:rFonts w:ascii="Century" w:hAnsi="Century"/>
                <w:sz w:val="18"/>
                <w:szCs w:val="18"/>
              </w:rPr>
              <w:t xml:space="preserve"> DD-MM-20XX</w:t>
            </w:r>
          </w:p>
        </w:tc>
        <w:tc>
          <w:tcPr>
            <w:tcW w:w="4183" w:type="dxa"/>
            <w:gridSpan w:val="2"/>
            <w:tcBorders>
              <w:top w:val="single" w:sz="4" w:space="0" w:color="auto"/>
              <w:left w:val="nil"/>
              <w:bottom w:val="single" w:sz="4" w:space="0" w:color="auto"/>
              <w:right w:val="nil"/>
            </w:tcBorders>
          </w:tcPr>
          <w:p w14:paraId="604EA09F" w14:textId="77777777" w:rsidR="00660787" w:rsidRPr="00FF704D" w:rsidRDefault="00660787" w:rsidP="00E14CF4">
            <w:pPr>
              <w:ind w:right="-13"/>
              <w:jc w:val="right"/>
              <w:rPr>
                <w:rFonts w:ascii="Century" w:hAnsi="Century"/>
                <w:i/>
                <w:iCs/>
                <w:color w:val="000000"/>
                <w:sz w:val="6"/>
                <w:szCs w:val="18"/>
              </w:rPr>
            </w:pPr>
          </w:p>
          <w:p w14:paraId="4374EA99" w14:textId="77777777" w:rsidR="00660787" w:rsidRPr="00A231E7" w:rsidRDefault="00660787" w:rsidP="00E14CF4">
            <w:pPr>
              <w:ind w:right="-13"/>
              <w:jc w:val="right"/>
              <w:rPr>
                <w:rFonts w:ascii="Century" w:hAnsi="Century"/>
                <w:i/>
                <w:iCs/>
                <w:color w:val="000000"/>
                <w:sz w:val="18"/>
                <w:szCs w:val="18"/>
              </w:rPr>
            </w:pPr>
            <w:r w:rsidRPr="00A231E7">
              <w:rPr>
                <w:rFonts w:ascii="Century" w:hAnsi="Century"/>
                <w:iCs/>
                <w:noProof/>
                <w:color w:val="000000"/>
                <w:sz w:val="18"/>
                <w:szCs w:val="18"/>
              </w:rPr>
              <w:drawing>
                <wp:inline distT="0" distB="0" distL="0" distR="0" wp14:anchorId="42A8B80F" wp14:editId="5DA9FA47">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7758CC91" w14:textId="77777777" w:rsidR="00660787" w:rsidRPr="00A231E7" w:rsidRDefault="00660787" w:rsidP="00E14CF4">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24ACC07A" w14:textId="77777777" w:rsidR="00660787" w:rsidRPr="00A231E7" w:rsidRDefault="00660787" w:rsidP="00E14CF4">
            <w:pPr>
              <w:ind w:right="-13"/>
              <w:jc w:val="right"/>
              <w:rPr>
                <w:rFonts w:ascii="Century" w:hAnsi="Century"/>
                <w:sz w:val="18"/>
                <w:szCs w:val="18"/>
              </w:rPr>
            </w:pPr>
            <w:r w:rsidRPr="00A231E7">
              <w:rPr>
                <w:rFonts w:ascii="Century" w:hAnsi="Century"/>
                <w:b/>
                <w:i/>
                <w:iCs/>
                <w:color w:val="4472C4" w:themeColor="accent1"/>
                <w:sz w:val="18"/>
                <w:szCs w:val="18"/>
              </w:rPr>
              <w:t>CC–BY-SA</w:t>
            </w:r>
            <w:r w:rsidRPr="00A231E7">
              <w:rPr>
                <w:rFonts w:ascii="Century" w:hAnsi="Century"/>
                <w:i/>
                <w:iCs/>
                <w:color w:val="000000"/>
                <w:sz w:val="18"/>
                <w:szCs w:val="18"/>
              </w:rPr>
              <w:t xml:space="preserve"> license</w:t>
            </w:r>
          </w:p>
        </w:tc>
      </w:tr>
    </w:tbl>
    <w:p w14:paraId="34BD343F" w14:textId="77777777" w:rsidR="00660787" w:rsidRDefault="00660787" w:rsidP="005E2EA8">
      <w:pPr>
        <w:jc w:val="center"/>
        <w:rPr>
          <w:rFonts w:ascii="Century Gothic" w:hAnsi="Century Gothic" w:cs="Times New Roman"/>
          <w:b/>
          <w:bCs/>
          <w:sz w:val="24"/>
          <w:szCs w:val="24"/>
        </w:rPr>
      </w:pPr>
    </w:p>
    <w:p w14:paraId="2835CF8A" w14:textId="77777777" w:rsidR="00A320FC" w:rsidRPr="00DF238E" w:rsidRDefault="00A320FC" w:rsidP="00523F45">
      <w:pPr>
        <w:jc w:val="both"/>
        <w:rPr>
          <w:rFonts w:ascii="Times New Roman" w:hAnsi="Times New Roman" w:cs="Times New Roman"/>
          <w:b/>
          <w:bCs/>
          <w:sz w:val="24"/>
          <w:szCs w:val="24"/>
        </w:rPr>
      </w:pPr>
    </w:p>
    <w:p w14:paraId="6BAB07D0" w14:textId="77777777" w:rsidR="00347B73" w:rsidRDefault="00347B73" w:rsidP="00B527A9">
      <w:pPr>
        <w:pStyle w:val="ListParagraph"/>
        <w:numPr>
          <w:ilvl w:val="0"/>
          <w:numId w:val="2"/>
        </w:numPr>
        <w:ind w:left="360"/>
        <w:jc w:val="both"/>
        <w:rPr>
          <w:rFonts w:ascii="Century" w:hAnsi="Century" w:cs="Times New Roman"/>
          <w:b/>
          <w:bCs/>
          <w:sz w:val="24"/>
          <w:szCs w:val="24"/>
        </w:rPr>
        <w:sectPr w:rsidR="00347B73" w:rsidSect="00347B73">
          <w:headerReference w:type="default" r:id="rId19"/>
          <w:pgSz w:w="11906" w:h="16838" w:code="9"/>
          <w:pgMar w:top="2160" w:right="1440" w:bottom="1440" w:left="2160" w:header="720" w:footer="720" w:gutter="0"/>
          <w:cols w:space="720"/>
          <w:titlePg/>
          <w:docGrid w:linePitch="360"/>
        </w:sectPr>
      </w:pPr>
    </w:p>
    <w:p w14:paraId="209F046E" w14:textId="2B4AA79D" w:rsidR="00523F45" w:rsidRPr="007076D7" w:rsidRDefault="007076D7" w:rsidP="00B527A9">
      <w:pPr>
        <w:pStyle w:val="ListParagraph"/>
        <w:numPr>
          <w:ilvl w:val="0"/>
          <w:numId w:val="2"/>
        </w:numPr>
        <w:ind w:left="360"/>
        <w:jc w:val="both"/>
        <w:rPr>
          <w:rFonts w:ascii="Century" w:hAnsi="Century" w:cs="Times New Roman"/>
          <w:b/>
          <w:bCs/>
          <w:sz w:val="24"/>
          <w:szCs w:val="24"/>
        </w:rPr>
      </w:pPr>
      <w:r>
        <w:rPr>
          <w:rFonts w:ascii="Century" w:hAnsi="Century" w:cs="Times New Roman"/>
          <w:b/>
          <w:bCs/>
          <w:sz w:val="24"/>
          <w:szCs w:val="24"/>
        </w:rPr>
        <w:lastRenderedPageBreak/>
        <w:t>LATAR BELAKANG</w:t>
      </w:r>
    </w:p>
    <w:p w14:paraId="54033E43" w14:textId="04F8F34D" w:rsidR="00D06C2F" w:rsidRPr="007076D7" w:rsidRDefault="00523F45"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Ada dua faktor yang menjadi pen</w:t>
      </w:r>
      <w:r w:rsidR="004C2F48" w:rsidRPr="007076D7">
        <w:rPr>
          <w:rFonts w:ascii="Century" w:hAnsi="Century" w:cs="Times New Roman"/>
          <w:sz w:val="24"/>
          <w:szCs w:val="24"/>
        </w:rPr>
        <w:t xml:space="preserve">dorong mengenai pentingnya moderasi beragama dipromosikan secara massif. </w:t>
      </w:r>
      <w:r w:rsidR="004C2F48" w:rsidRPr="007076D7">
        <w:rPr>
          <w:rFonts w:ascii="Century" w:hAnsi="Century" w:cs="Times New Roman"/>
          <w:i/>
          <w:iCs/>
          <w:sz w:val="24"/>
          <w:szCs w:val="24"/>
        </w:rPr>
        <w:t>P</w:t>
      </w:r>
      <w:r w:rsidRPr="007076D7">
        <w:rPr>
          <w:rFonts w:ascii="Century" w:hAnsi="Century" w:cs="Times New Roman"/>
          <w:i/>
          <w:iCs/>
          <w:sz w:val="24"/>
          <w:szCs w:val="24"/>
        </w:rPr>
        <w:t>ertama</w:t>
      </w:r>
      <w:r w:rsidRPr="007076D7">
        <w:rPr>
          <w:rFonts w:ascii="Century" w:hAnsi="Century" w:cs="Times New Roman"/>
          <w:sz w:val="24"/>
          <w:szCs w:val="24"/>
        </w:rPr>
        <w:t>, keterbukaan media yang tidak dimanfaatkan dengan baik</w:t>
      </w:r>
      <w:r w:rsidR="004C2F48" w:rsidRPr="007076D7">
        <w:rPr>
          <w:rFonts w:ascii="Century" w:hAnsi="Century" w:cs="Times New Roman"/>
          <w:sz w:val="24"/>
          <w:szCs w:val="24"/>
        </w:rPr>
        <w:t xml:space="preserve">. </w:t>
      </w:r>
      <w:r w:rsidR="00ED6F9E" w:rsidRPr="007076D7">
        <w:rPr>
          <w:rFonts w:ascii="Century" w:hAnsi="Century" w:cs="Times New Roman"/>
          <w:sz w:val="24"/>
          <w:szCs w:val="24"/>
        </w:rPr>
        <w:t xml:space="preserve">Era keterbukaan saat ini memungkinkan hadir dan sampainya pesan “keliru” kepada pengguna perangkat teknologi. Salah satu paham yang dengan mudah diakses adalah paham radikal yang semakin mengemuka sejalan dengan bangkitnya kelompok-kelompok konservatif </w:t>
      </w:r>
      <w:r w:rsidR="005560CF">
        <w:rPr>
          <w:rFonts w:ascii="Century" w:hAnsi="Century" w:cs="Times New Roman"/>
          <w:sz w:val="24"/>
          <w:szCs w:val="24"/>
        </w:rPr>
        <w:fldChar w:fldCharType="begin" w:fldLock="1"/>
      </w:r>
      <w:r w:rsidR="003573F6">
        <w:rPr>
          <w:rFonts w:ascii="Century" w:hAnsi="Century" w:cs="Times New Roman"/>
          <w:sz w:val="24"/>
          <w:szCs w:val="24"/>
        </w:rPr>
        <w:instrText>ADDIN CSL_CITATION {"citationItems":[{"id":"ITEM-1","itemData":{"DOI":"https://doi.org/10.15575/jw.v6i1.12948","author":[{"dropping-particle":"","family":"Jubba","given":"Hasse","non-dropping-particle":"","parse-names":false,"suffix":""}],"container-title":"Wawasan: Jurnal Ilmiah Agama dan Sosial Budaya","id":"ITEM-1","issue":"1","issued":{"date-parts":[["2021"]]},"page":"43-54","title":"The Challenges of Islamic Organizations in Promoting Moderation in Indonesia","type":"article-journal","volume":"6"},"uris":["http://www.mendeley.com/documents/?uuid=370efdd9-32f7-4ea2-9d64-2b8757b79b8a"]}],"mendeley":{"formattedCitation":"(Jubba, 2021)","plainTextFormattedCitation":"(Jubba, 2021)","previouslyFormattedCitation":"(Jubba, 2021)"},"properties":{"noteIndex":0},"schema":"https://github.com/citation-style-language/schema/raw/master/csl-citation.json"}</w:instrText>
      </w:r>
      <w:r w:rsidR="005560CF">
        <w:rPr>
          <w:rFonts w:ascii="Century" w:hAnsi="Century" w:cs="Times New Roman"/>
          <w:sz w:val="24"/>
          <w:szCs w:val="24"/>
        </w:rPr>
        <w:fldChar w:fldCharType="separate"/>
      </w:r>
      <w:r w:rsidR="005560CF" w:rsidRPr="005560CF">
        <w:rPr>
          <w:rFonts w:ascii="Century" w:hAnsi="Century" w:cs="Times New Roman"/>
          <w:noProof/>
          <w:sz w:val="24"/>
          <w:szCs w:val="24"/>
        </w:rPr>
        <w:t>(Jubba, 2021)</w:t>
      </w:r>
      <w:r w:rsidR="005560CF">
        <w:rPr>
          <w:rFonts w:ascii="Century" w:hAnsi="Century" w:cs="Times New Roman"/>
          <w:sz w:val="24"/>
          <w:szCs w:val="24"/>
        </w:rPr>
        <w:fldChar w:fldCharType="end"/>
      </w:r>
      <w:r w:rsidR="00ED6F9E" w:rsidRPr="007076D7">
        <w:rPr>
          <w:rFonts w:ascii="Century" w:hAnsi="Century" w:cs="Times New Roman"/>
          <w:sz w:val="24"/>
          <w:szCs w:val="24"/>
        </w:rPr>
        <w:t xml:space="preserve">. Hal ini juga menjadi tantangan bagi organisasi-organisasi Islam di Indonesia dalam memperomosikan moderasi Islam. </w:t>
      </w:r>
      <w:r w:rsidR="004C2F48" w:rsidRPr="007076D7">
        <w:rPr>
          <w:rFonts w:ascii="Century" w:hAnsi="Century" w:cs="Times New Roman"/>
          <w:i/>
          <w:iCs/>
          <w:sz w:val="24"/>
          <w:szCs w:val="24"/>
        </w:rPr>
        <w:t xml:space="preserve">Kedua, </w:t>
      </w:r>
      <w:r w:rsidRPr="007076D7">
        <w:rPr>
          <w:rFonts w:ascii="Century" w:hAnsi="Century" w:cs="Times New Roman"/>
          <w:sz w:val="24"/>
          <w:szCs w:val="24"/>
        </w:rPr>
        <w:t xml:space="preserve">minimnya pemahaman </w:t>
      </w:r>
      <w:r w:rsidR="004C2F48" w:rsidRPr="007076D7">
        <w:rPr>
          <w:rFonts w:ascii="Century" w:hAnsi="Century" w:cs="Times New Roman"/>
          <w:sz w:val="24"/>
          <w:szCs w:val="24"/>
        </w:rPr>
        <w:t>k</w:t>
      </w:r>
      <w:r w:rsidRPr="007076D7">
        <w:rPr>
          <w:rFonts w:ascii="Century" w:hAnsi="Century" w:cs="Times New Roman"/>
          <w:sz w:val="24"/>
          <w:szCs w:val="24"/>
        </w:rPr>
        <w:t xml:space="preserve">eislaman yang progresif di lingkungan </w:t>
      </w:r>
      <w:r w:rsidR="004C2F48" w:rsidRPr="007076D7">
        <w:rPr>
          <w:rFonts w:ascii="Century" w:hAnsi="Century" w:cs="Times New Roman"/>
          <w:sz w:val="24"/>
          <w:szCs w:val="24"/>
        </w:rPr>
        <w:t xml:space="preserve">umat Islam. </w:t>
      </w:r>
      <w:r w:rsidR="00ED6F9E" w:rsidRPr="007076D7">
        <w:rPr>
          <w:rFonts w:ascii="Century" w:hAnsi="Century" w:cs="Times New Roman"/>
          <w:sz w:val="24"/>
          <w:szCs w:val="24"/>
        </w:rPr>
        <w:t>Pemahaman yang masih bertahan di kalangan umat masih cenderung pada paham-paham yang tertutup, cenderung menyalahkan pendapat orang lain, dan menganggap pendapat sendiri dan kelompoknya yang paling benar</w:t>
      </w:r>
      <w:r w:rsidR="00587F96" w:rsidRPr="007076D7">
        <w:rPr>
          <w:rFonts w:ascii="Century" w:hAnsi="Century" w:cs="Times New Roman"/>
          <w:sz w:val="24"/>
          <w:szCs w:val="24"/>
        </w:rPr>
        <w:t xml:space="preserve"> </w:t>
      </w:r>
      <w:r w:rsidR="003573F6">
        <w:rPr>
          <w:rFonts w:ascii="Century" w:hAnsi="Century" w:cs="Times New Roman"/>
          <w:sz w:val="24"/>
          <w:szCs w:val="24"/>
        </w:rPr>
        <w:fldChar w:fldCharType="begin" w:fldLock="1"/>
      </w:r>
      <w:r w:rsidR="003573F6">
        <w:rPr>
          <w:rFonts w:ascii="Century" w:hAnsi="Century" w:cs="Times New Roman"/>
          <w:sz w:val="24"/>
          <w:szCs w:val="24"/>
        </w:rPr>
        <w:instrText>ADDIN CSL_CITATION {"citationItems":[{"id":"ITEM-1","itemData":{"DOI":"http://dx.doi.org/10.21111/klm.v11i2.94","author":[{"dropping-particle":"","family":"Ulfa","given":"Maria","non-dropping-particle":"","parse-names":false,"suffix":""}],"container-title":"Kalimah: Jurnal Studi Agama &amp; Pemikiran Islam","id":"ITEM-1","issue":"2","issued":{"date-parts":[["2013"]]},"page":"237-250","title":"Mencermati Inklusivisme Agama Nurcholish Madjid","type":"article-journal","volume":"11"},"uris":["http://www.mendeley.com/documents/?uuid=94348995-a0f8-4686-b63d-8202fd5f4944"]},{"id":"ITEM-2","itemData":{"DOI":"https://doi.org/10.24042/ijitp.v1i1.3903","author":[{"dropping-particle":"","family":"Amalia","given":"Siti","non-dropping-particle":"","parse-names":false,"suffix":""}],"container-title":"Indonesian Journal of Islamic Theology and Philosophy","id":"ITEM-2","issue":"1","issued":{"date-parts":[["2019"]]},"page":"1-18","title":"Hakekat Agama dalam Perspektif filsafat perenial","type":"article-journal","volume":"1"},"uris":["http://www.mendeley.com/documents/?uuid=1cb0b17c-3d3e-4ee5-9b26-03f0db3902a1"]}],"mendeley":{"formattedCitation":"(Amalia, 2019; Ulfa, 2013)","plainTextFormattedCitation":"(Amalia, 2019; Ulfa, 2013)","previouslyFormattedCitation":"(Amalia, 2019; Ulfa, 2013)"},"properties":{"noteIndex":0},"schema":"https://github.com/citation-style-language/schema/raw/master/csl-citation.json"}</w:instrText>
      </w:r>
      <w:r w:rsidR="003573F6">
        <w:rPr>
          <w:rFonts w:ascii="Century" w:hAnsi="Century" w:cs="Times New Roman"/>
          <w:sz w:val="24"/>
          <w:szCs w:val="24"/>
        </w:rPr>
        <w:fldChar w:fldCharType="separate"/>
      </w:r>
      <w:r w:rsidR="003573F6" w:rsidRPr="003573F6">
        <w:rPr>
          <w:rFonts w:ascii="Century" w:hAnsi="Century" w:cs="Times New Roman"/>
          <w:noProof/>
          <w:sz w:val="24"/>
          <w:szCs w:val="24"/>
        </w:rPr>
        <w:t>(Amalia, 2019; Ulfa, 2013)</w:t>
      </w:r>
      <w:r w:rsidR="003573F6">
        <w:rPr>
          <w:rFonts w:ascii="Century" w:hAnsi="Century" w:cs="Times New Roman"/>
          <w:sz w:val="24"/>
          <w:szCs w:val="24"/>
        </w:rPr>
        <w:fldChar w:fldCharType="end"/>
      </w:r>
      <w:r w:rsidR="003573F6">
        <w:rPr>
          <w:rFonts w:ascii="Century" w:hAnsi="Century" w:cs="Times New Roman"/>
          <w:sz w:val="24"/>
          <w:szCs w:val="24"/>
        </w:rPr>
        <w:t>.</w:t>
      </w:r>
      <w:r w:rsidR="00ED6F9E" w:rsidRPr="007076D7">
        <w:rPr>
          <w:rFonts w:ascii="Century" w:hAnsi="Century" w:cs="Times New Roman"/>
          <w:sz w:val="24"/>
          <w:szCs w:val="24"/>
        </w:rPr>
        <w:t xml:space="preserve"> </w:t>
      </w:r>
    </w:p>
    <w:p w14:paraId="348EBBFC" w14:textId="5A0895F1" w:rsidR="00C14D6A" w:rsidRPr="007076D7" w:rsidRDefault="004C2F48"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Kedua kondisi </w:t>
      </w:r>
      <w:r w:rsidR="00D06C2F" w:rsidRPr="007076D7">
        <w:rPr>
          <w:rFonts w:ascii="Century" w:hAnsi="Century" w:cs="Times New Roman"/>
          <w:sz w:val="24"/>
          <w:szCs w:val="24"/>
        </w:rPr>
        <w:t>tersebut</w:t>
      </w:r>
      <w:r w:rsidRPr="007076D7">
        <w:rPr>
          <w:rFonts w:ascii="Century" w:hAnsi="Century" w:cs="Times New Roman"/>
          <w:sz w:val="24"/>
          <w:szCs w:val="24"/>
        </w:rPr>
        <w:t xml:space="preserve"> menjadi di dalamnya melibatkan seluruh elemen bangsa sebagai aktor utamanya khususnya pemuda. </w:t>
      </w:r>
      <w:r w:rsidR="00C14D6A" w:rsidRPr="007076D7">
        <w:rPr>
          <w:rFonts w:ascii="Century" w:hAnsi="Century" w:cs="Times New Roman"/>
          <w:sz w:val="24"/>
          <w:szCs w:val="24"/>
        </w:rPr>
        <w:t xml:space="preserve">Pada tahun 2021, menurut data yang dirilis oleh DataIndonesia.id, jumlah pemuda di Indonesia sebanyak 64,92 juta jiwa. Jumlah ini berdasarkan data Badan Pusat Statistik (BPS) setara dengan 23,90% dari total populasi Indonesia. Data ini menunjukkan bahwa jumlah pemuda di Indonesia sangat besar dan memiliki potensi yang besar pula untuk digerakkan untuk berbagai kepentingan. Peneguhan paham moderasi beragama di kalangan pemuda, oleh karena itu, penting dilakukan. </w:t>
      </w:r>
      <w:r w:rsidR="00031A98" w:rsidRPr="007076D7">
        <w:rPr>
          <w:rFonts w:ascii="Century" w:hAnsi="Century" w:cs="Times New Roman"/>
          <w:sz w:val="24"/>
          <w:szCs w:val="24"/>
        </w:rPr>
        <w:t xml:space="preserve">Sebab, mereka memiliki kesempatan yang masih luas untuk mengisi pembangunan bangs aini ke depan, termasuk keterlibatan mereka dalam berbagai organisasi yang nantinya akan mengawal perjalanan bangs aini. Organisasi yang dibutuhkan adalah organisasi yang di dalamnya diisi oleh pemuda yang memiliki wawasan keislaman progresif </w:t>
      </w:r>
      <w:r w:rsidR="003573F6">
        <w:rPr>
          <w:rFonts w:ascii="Century" w:hAnsi="Century" w:cs="Times New Roman"/>
          <w:sz w:val="24"/>
          <w:szCs w:val="24"/>
        </w:rPr>
        <w:fldChar w:fldCharType="begin" w:fldLock="1"/>
      </w:r>
      <w:r w:rsidR="003573F6">
        <w:rPr>
          <w:rFonts w:ascii="Century" w:hAnsi="Century" w:cs="Times New Roman"/>
          <w:sz w:val="24"/>
          <w:szCs w:val="24"/>
        </w:rPr>
        <w:instrText>ADDIN CSL_CITATION {"citationItems":[{"id":"ITEM-1","itemData":{"author":[{"dropping-particle":"","family":"Qodir","given":"Zuly","non-dropping-particle":"","parse-names":false,"suffix":""}],"container-title":"International Journal of Islamic Thought","id":"ITEM-1","issue":"11","issued":{"date-parts":[["2021"]]},"page":"133-146","title":"Muhammadiyah identity and muslim public good: Muslim practices in Java","type":"article-journal","volume":"19"},"uris":["http://www.mendeley.com/documents/?uuid=f869741b-1080-4b1f-9d43-49305fc6a7a2"]}],"mendeley":{"formattedCitation":"(Qodir, 2021)","plainTextFormattedCitation":"(Qodir, 2021)","previouslyFormattedCitation":"(Qodir, 2021)"},"properties":{"noteIndex":0},"schema":"https://github.com/citation-style-language/schema/raw/master/csl-citation.json"}</w:instrText>
      </w:r>
      <w:r w:rsidR="003573F6">
        <w:rPr>
          <w:rFonts w:ascii="Century" w:hAnsi="Century" w:cs="Times New Roman"/>
          <w:sz w:val="24"/>
          <w:szCs w:val="24"/>
        </w:rPr>
        <w:fldChar w:fldCharType="separate"/>
      </w:r>
      <w:r w:rsidR="003573F6" w:rsidRPr="003573F6">
        <w:rPr>
          <w:rFonts w:ascii="Century" w:hAnsi="Century" w:cs="Times New Roman"/>
          <w:noProof/>
          <w:sz w:val="24"/>
          <w:szCs w:val="24"/>
        </w:rPr>
        <w:t>(Qodir, 2021)</w:t>
      </w:r>
      <w:r w:rsidR="003573F6">
        <w:rPr>
          <w:rFonts w:ascii="Century" w:hAnsi="Century" w:cs="Times New Roman"/>
          <w:sz w:val="24"/>
          <w:szCs w:val="24"/>
        </w:rPr>
        <w:fldChar w:fldCharType="end"/>
      </w:r>
      <w:r w:rsidR="00031A98" w:rsidRPr="007076D7">
        <w:rPr>
          <w:rFonts w:ascii="Century" w:hAnsi="Century" w:cs="Times New Roman"/>
          <w:sz w:val="24"/>
          <w:szCs w:val="24"/>
        </w:rPr>
        <w:t xml:space="preserve"> sehingga mampu membawa wajah Islam yang ramah dan damai. </w:t>
      </w:r>
    </w:p>
    <w:p w14:paraId="4B3D31CE" w14:textId="25038465" w:rsidR="00523F45" w:rsidRPr="007076D7" w:rsidRDefault="00523F45"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lastRenderedPageBreak/>
        <w:t xml:space="preserve">Salah satu metode untuk meningkatkan pengetahuan dan minat memahami moderasi </w:t>
      </w:r>
      <w:r w:rsidR="004C2F48" w:rsidRPr="007076D7">
        <w:rPr>
          <w:rFonts w:ascii="Century" w:hAnsi="Century" w:cs="Times New Roman"/>
          <w:sz w:val="24"/>
          <w:szCs w:val="24"/>
        </w:rPr>
        <w:t>I</w:t>
      </w:r>
      <w:r w:rsidRPr="007076D7">
        <w:rPr>
          <w:rFonts w:ascii="Century" w:hAnsi="Century" w:cs="Times New Roman"/>
          <w:sz w:val="24"/>
          <w:szCs w:val="24"/>
        </w:rPr>
        <w:t>slam adalah dilakukan penguatan wacana di semua kalangan khususnya bagi kalangan pemuda. Penguatan wacana keislaman merupakan penyebaran pengetahuan dan pemahaman tentang proses berislam dalam berbagai dimensinya sebagai suatu pengetahuan dan pemahaman yang memungkinkan setiap warga negara dapat secara efektif melaksanakan perannya (berperan serta, partisipasi) sebagai warga negara</w:t>
      </w:r>
      <w:r w:rsidR="003573F6">
        <w:rPr>
          <w:rFonts w:ascii="Century" w:hAnsi="Century" w:cs="Times New Roman"/>
          <w:sz w:val="24"/>
          <w:szCs w:val="24"/>
        </w:rPr>
        <w:t xml:space="preserve"> </w:t>
      </w:r>
      <w:r w:rsidR="003573F6">
        <w:rPr>
          <w:rFonts w:ascii="Century" w:hAnsi="Century" w:cs="Times New Roman"/>
          <w:sz w:val="24"/>
          <w:szCs w:val="24"/>
        </w:rPr>
        <w:fldChar w:fldCharType="begin" w:fldLock="1"/>
      </w:r>
      <w:r w:rsidR="003573F6">
        <w:rPr>
          <w:rFonts w:ascii="Century" w:hAnsi="Century" w:cs="Times New Roman"/>
          <w:sz w:val="24"/>
          <w:szCs w:val="24"/>
        </w:rPr>
        <w:instrText>ADDIN CSL_CITATION {"citationItems":[{"id":"ITEM-1","itemData":{"author":[{"dropping-particle":"","family":"Seapart","given":"William","non-dropping-particle":"","parse-names":false,"suffix":""}],"container-title":"Journal of American Studies","id":"ITEM-1","issued":{"date-parts":[["2007"]]},"title":"Radicalism and Globalisation","type":"article-journal"},"uris":["http://www.mendeley.com/documents/?uuid=d09b71db-e14a-4f8e-b15e-944cba31d493"]}],"mendeley":{"formattedCitation":"(Seapart, 2007)","plainTextFormattedCitation":"(Seapart, 2007)","previouslyFormattedCitation":"(Seapart, 2007)"},"properties":{"noteIndex":0},"schema":"https://github.com/citation-style-language/schema/raw/master/csl-citation.json"}</w:instrText>
      </w:r>
      <w:r w:rsidR="003573F6">
        <w:rPr>
          <w:rFonts w:ascii="Century" w:hAnsi="Century" w:cs="Times New Roman"/>
          <w:sz w:val="24"/>
          <w:szCs w:val="24"/>
        </w:rPr>
        <w:fldChar w:fldCharType="separate"/>
      </w:r>
      <w:r w:rsidR="003573F6" w:rsidRPr="003573F6">
        <w:rPr>
          <w:rFonts w:ascii="Century" w:hAnsi="Century" w:cs="Times New Roman"/>
          <w:noProof/>
          <w:sz w:val="24"/>
          <w:szCs w:val="24"/>
        </w:rPr>
        <w:t>(Seapart, 2007)</w:t>
      </w:r>
      <w:r w:rsidR="003573F6">
        <w:rPr>
          <w:rFonts w:ascii="Century" w:hAnsi="Century" w:cs="Times New Roman"/>
          <w:sz w:val="24"/>
          <w:szCs w:val="24"/>
        </w:rPr>
        <w:fldChar w:fldCharType="end"/>
      </w:r>
      <w:r w:rsidRPr="007076D7">
        <w:rPr>
          <w:rFonts w:ascii="Century" w:hAnsi="Century" w:cs="Times New Roman"/>
          <w:sz w:val="24"/>
          <w:szCs w:val="24"/>
        </w:rPr>
        <w:t xml:space="preserve">. Rumusan yang tidak jauh berbeda dikemukakan oleh Haedar Nashir mendefinisikan </w:t>
      </w:r>
      <w:r w:rsidR="004C2F48" w:rsidRPr="007076D7">
        <w:rPr>
          <w:rFonts w:ascii="Century" w:hAnsi="Century" w:cs="Times New Roman"/>
          <w:sz w:val="24"/>
          <w:szCs w:val="24"/>
        </w:rPr>
        <w:t>m</w:t>
      </w:r>
      <w:r w:rsidRPr="007076D7">
        <w:rPr>
          <w:rFonts w:ascii="Century" w:hAnsi="Century" w:cs="Times New Roman"/>
          <w:sz w:val="24"/>
          <w:szCs w:val="24"/>
        </w:rPr>
        <w:t xml:space="preserve">oderasi </w:t>
      </w:r>
      <w:r w:rsidR="004C2F48" w:rsidRPr="007076D7">
        <w:rPr>
          <w:rFonts w:ascii="Century" w:hAnsi="Century" w:cs="Times New Roman"/>
          <w:sz w:val="24"/>
          <w:szCs w:val="24"/>
        </w:rPr>
        <w:t>I</w:t>
      </w:r>
      <w:r w:rsidRPr="007076D7">
        <w:rPr>
          <w:rFonts w:ascii="Century" w:hAnsi="Century" w:cs="Times New Roman"/>
          <w:sz w:val="24"/>
          <w:szCs w:val="24"/>
        </w:rPr>
        <w:t>slam</w:t>
      </w:r>
      <w:r w:rsidR="004C2F48" w:rsidRPr="007076D7">
        <w:rPr>
          <w:rFonts w:ascii="Century" w:hAnsi="Century" w:cs="Times New Roman"/>
          <w:sz w:val="24"/>
          <w:szCs w:val="24"/>
        </w:rPr>
        <w:t xml:space="preserve"> </w:t>
      </w:r>
      <w:r w:rsidRPr="007076D7">
        <w:rPr>
          <w:rFonts w:ascii="Century" w:hAnsi="Century" w:cs="Times New Roman"/>
          <w:sz w:val="24"/>
          <w:szCs w:val="24"/>
        </w:rPr>
        <w:t>sebagai pemahaman praktis tentang konsep-konsep yang diambil dari al-</w:t>
      </w:r>
      <w:r w:rsidR="004C2F48" w:rsidRPr="007076D7">
        <w:rPr>
          <w:rFonts w:ascii="Century" w:hAnsi="Century" w:cs="Times New Roman"/>
          <w:sz w:val="24"/>
          <w:szCs w:val="24"/>
        </w:rPr>
        <w:t>Q</w:t>
      </w:r>
      <w:r w:rsidRPr="007076D7">
        <w:rPr>
          <w:rFonts w:ascii="Century" w:hAnsi="Century" w:cs="Times New Roman"/>
          <w:sz w:val="24"/>
          <w:szCs w:val="24"/>
        </w:rPr>
        <w:t xml:space="preserve">uran dan </w:t>
      </w:r>
      <w:r w:rsidR="004C2F48" w:rsidRPr="007076D7">
        <w:rPr>
          <w:rFonts w:ascii="Century" w:hAnsi="Century" w:cs="Times New Roman"/>
          <w:sz w:val="24"/>
          <w:szCs w:val="24"/>
        </w:rPr>
        <w:t>S</w:t>
      </w:r>
      <w:r w:rsidRPr="007076D7">
        <w:rPr>
          <w:rFonts w:ascii="Century" w:hAnsi="Century" w:cs="Times New Roman"/>
          <w:sz w:val="24"/>
          <w:szCs w:val="24"/>
        </w:rPr>
        <w:t>unnah untuk kehidupan sehari-hari yang bersifat progresif, dan bahasa keislaman merupakan upaya memahami seputar isu-isu kontemporer, keyakinan para jamaah, bagaimana kecenderungan mereka mempengaruhi diri sendiri dan orang lain</w:t>
      </w:r>
      <w:r w:rsidR="003573F6">
        <w:rPr>
          <w:rFonts w:ascii="Century" w:hAnsi="Century" w:cs="Times New Roman"/>
          <w:sz w:val="24"/>
          <w:szCs w:val="24"/>
        </w:rPr>
        <w:t xml:space="preserve"> </w:t>
      </w:r>
      <w:r w:rsidR="003573F6">
        <w:rPr>
          <w:rFonts w:ascii="Century" w:hAnsi="Century" w:cs="Times New Roman"/>
          <w:sz w:val="24"/>
          <w:szCs w:val="24"/>
        </w:rPr>
        <w:fldChar w:fldCharType="begin" w:fldLock="1"/>
      </w:r>
      <w:r w:rsidR="003573F6">
        <w:rPr>
          <w:rFonts w:ascii="Century" w:hAnsi="Century" w:cs="Times New Roman"/>
          <w:sz w:val="24"/>
          <w:szCs w:val="24"/>
        </w:rPr>
        <w:instrText>ADDIN CSL_CITATION {"citationItems":[{"id":"ITEM-1","itemData":{"author":[{"dropping-particle":"","family":"Nashir","given":"Haedar","non-dropping-particle":"","parse-names":false,"suffix":""}],"id":"ITEM-1","issued":{"date-parts":[["2010"]]},"publisher":"Mizan","publisher-place":"Bandung","title":"Muhammadiyah Gerakan Pembaharuan. Bandung","type":"book"},"uris":["http://www.mendeley.com/documents/?uuid=adca4eb4-883d-4be4-8916-0deaa67bfd9d"]}],"mendeley":{"formattedCitation":"(Nashir, 2010)","plainTextFormattedCitation":"(Nashir, 2010)","previouslyFormattedCitation":"(Nashir, 2010)"},"properties":{"noteIndex":0},"schema":"https://github.com/citation-style-language/schema/raw/master/csl-citation.json"}</w:instrText>
      </w:r>
      <w:r w:rsidR="003573F6">
        <w:rPr>
          <w:rFonts w:ascii="Century" w:hAnsi="Century" w:cs="Times New Roman"/>
          <w:sz w:val="24"/>
          <w:szCs w:val="24"/>
        </w:rPr>
        <w:fldChar w:fldCharType="separate"/>
      </w:r>
      <w:r w:rsidR="003573F6" w:rsidRPr="003573F6">
        <w:rPr>
          <w:rFonts w:ascii="Century" w:hAnsi="Century" w:cs="Times New Roman"/>
          <w:noProof/>
          <w:sz w:val="24"/>
          <w:szCs w:val="24"/>
        </w:rPr>
        <w:t>(Nashir, 2010)</w:t>
      </w:r>
      <w:r w:rsidR="003573F6">
        <w:rPr>
          <w:rFonts w:ascii="Century" w:hAnsi="Century" w:cs="Times New Roman"/>
          <w:sz w:val="24"/>
          <w:szCs w:val="24"/>
        </w:rPr>
        <w:fldChar w:fldCharType="end"/>
      </w:r>
      <w:r w:rsidRPr="007076D7">
        <w:rPr>
          <w:rFonts w:ascii="Century" w:hAnsi="Century" w:cs="Times New Roman"/>
          <w:sz w:val="24"/>
          <w:szCs w:val="24"/>
        </w:rPr>
        <w:t>. Ringkasnya, penguatan wacana keislaman pada dasarnya merupakan gerakan yang utuh dari pengetahuan (kognisi), keterampilan (psikomotor) dan sikap (afeksi) berislam itu sendiri. Metode</w:t>
      </w:r>
      <w:r w:rsidR="004C2F48" w:rsidRPr="007076D7">
        <w:rPr>
          <w:rFonts w:ascii="Century" w:hAnsi="Century" w:cs="Times New Roman"/>
          <w:sz w:val="24"/>
          <w:szCs w:val="24"/>
        </w:rPr>
        <w:t xml:space="preserve"> yang dapat digunakan untuk meneguhkan paham moderasi tersebut salah satunya </w:t>
      </w:r>
      <w:r w:rsidRPr="007076D7">
        <w:rPr>
          <w:rFonts w:ascii="Century" w:hAnsi="Century" w:cs="Times New Roman"/>
          <w:sz w:val="24"/>
          <w:szCs w:val="24"/>
        </w:rPr>
        <w:t xml:space="preserve">adalah ceramah </w:t>
      </w:r>
      <w:r w:rsidR="004C2F48" w:rsidRPr="007076D7">
        <w:rPr>
          <w:rFonts w:ascii="Century" w:hAnsi="Century" w:cs="Times New Roman"/>
          <w:sz w:val="24"/>
          <w:szCs w:val="24"/>
        </w:rPr>
        <w:t xml:space="preserve">dan </w:t>
      </w:r>
      <w:r w:rsidRPr="007076D7">
        <w:rPr>
          <w:rFonts w:ascii="Century" w:hAnsi="Century" w:cs="Times New Roman"/>
          <w:sz w:val="24"/>
          <w:szCs w:val="24"/>
        </w:rPr>
        <w:t xml:space="preserve">pendampingan </w:t>
      </w:r>
      <w:r w:rsidR="004C2F48" w:rsidRPr="007076D7">
        <w:rPr>
          <w:rFonts w:ascii="Century" w:hAnsi="Century" w:cs="Times New Roman"/>
          <w:sz w:val="24"/>
          <w:szCs w:val="24"/>
        </w:rPr>
        <w:t>secara</w:t>
      </w:r>
      <w:r w:rsidRPr="007076D7">
        <w:rPr>
          <w:rFonts w:ascii="Century" w:hAnsi="Century" w:cs="Times New Roman"/>
          <w:sz w:val="24"/>
          <w:szCs w:val="24"/>
        </w:rPr>
        <w:t xml:space="preserve"> rutin.</w:t>
      </w:r>
    </w:p>
    <w:p w14:paraId="45495E43" w14:textId="2F304E58" w:rsidR="00523F45" w:rsidRPr="007076D7" w:rsidRDefault="00523F45"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Selama ini, masih ditemukan adanya sikap dan pemahaman keislaman yang bel</w:t>
      </w:r>
      <w:r w:rsidR="00B508A1" w:rsidRPr="007076D7">
        <w:rPr>
          <w:rFonts w:ascii="Century" w:hAnsi="Century" w:cs="Times New Roman"/>
          <w:sz w:val="24"/>
          <w:szCs w:val="24"/>
        </w:rPr>
        <w:t>u</w:t>
      </w:r>
      <w:r w:rsidRPr="007076D7">
        <w:rPr>
          <w:rFonts w:ascii="Century" w:hAnsi="Century" w:cs="Times New Roman"/>
          <w:sz w:val="24"/>
          <w:szCs w:val="24"/>
        </w:rPr>
        <w:t>m sesuai dengan pandangan moderasi beragama di kalangan pemuda</w:t>
      </w:r>
      <w:r w:rsidR="00B508A1" w:rsidRPr="007076D7">
        <w:rPr>
          <w:rFonts w:ascii="Century" w:hAnsi="Century" w:cs="Times New Roman"/>
          <w:sz w:val="24"/>
          <w:szCs w:val="24"/>
        </w:rPr>
        <w:t>.</w:t>
      </w:r>
      <w:r w:rsidRPr="007076D7">
        <w:rPr>
          <w:rFonts w:ascii="Century" w:hAnsi="Century" w:cs="Times New Roman"/>
          <w:sz w:val="24"/>
          <w:szCs w:val="24"/>
        </w:rPr>
        <w:t xml:space="preserve"> Ada kecenderungan bahwa Islam itu dipandang hanya satu</w:t>
      </w:r>
      <w:r w:rsidR="00B508A1" w:rsidRPr="007076D7">
        <w:rPr>
          <w:rFonts w:ascii="Century" w:hAnsi="Century" w:cs="Times New Roman"/>
          <w:sz w:val="24"/>
          <w:szCs w:val="24"/>
        </w:rPr>
        <w:t>.</w:t>
      </w:r>
      <w:r w:rsidRPr="007076D7">
        <w:rPr>
          <w:rFonts w:ascii="Century" w:hAnsi="Century" w:cs="Times New Roman"/>
          <w:sz w:val="24"/>
          <w:szCs w:val="24"/>
        </w:rPr>
        <w:t xml:space="preserve"> </w:t>
      </w:r>
      <w:r w:rsidR="00B508A1" w:rsidRPr="007076D7">
        <w:rPr>
          <w:rFonts w:ascii="Century" w:hAnsi="Century" w:cs="Times New Roman"/>
          <w:sz w:val="24"/>
          <w:szCs w:val="24"/>
        </w:rPr>
        <w:t>P</w:t>
      </w:r>
      <w:r w:rsidRPr="007076D7">
        <w:rPr>
          <w:rFonts w:ascii="Century" w:hAnsi="Century" w:cs="Times New Roman"/>
          <w:sz w:val="24"/>
          <w:szCs w:val="24"/>
        </w:rPr>
        <w:t>adahal</w:t>
      </w:r>
      <w:r w:rsidR="00B508A1" w:rsidRPr="007076D7">
        <w:rPr>
          <w:rFonts w:ascii="Century" w:hAnsi="Century" w:cs="Times New Roman"/>
          <w:sz w:val="24"/>
          <w:szCs w:val="24"/>
        </w:rPr>
        <w:t>,</w:t>
      </w:r>
      <w:r w:rsidRPr="007076D7">
        <w:rPr>
          <w:rFonts w:ascii="Century" w:hAnsi="Century" w:cs="Times New Roman"/>
          <w:sz w:val="24"/>
          <w:szCs w:val="24"/>
        </w:rPr>
        <w:t xml:space="preserve"> dalam kenyataannya dalam aspirasi dan ekspresinya memiliki banyak variasi, ada Islam </w:t>
      </w:r>
      <w:r w:rsidR="00BA7A74" w:rsidRPr="007076D7">
        <w:rPr>
          <w:rFonts w:ascii="Century" w:hAnsi="Century" w:cs="Times New Roman"/>
          <w:sz w:val="24"/>
          <w:szCs w:val="24"/>
        </w:rPr>
        <w:t>t</w:t>
      </w:r>
      <w:r w:rsidRPr="007076D7">
        <w:rPr>
          <w:rFonts w:ascii="Century" w:hAnsi="Century" w:cs="Times New Roman"/>
          <w:sz w:val="24"/>
          <w:szCs w:val="24"/>
        </w:rPr>
        <w:t xml:space="preserve">radisional, Islam </w:t>
      </w:r>
      <w:r w:rsidR="00BA7A74" w:rsidRPr="007076D7">
        <w:rPr>
          <w:rFonts w:ascii="Century" w:hAnsi="Century" w:cs="Times New Roman"/>
          <w:sz w:val="24"/>
          <w:szCs w:val="24"/>
        </w:rPr>
        <w:t>m</w:t>
      </w:r>
      <w:r w:rsidRPr="007076D7">
        <w:rPr>
          <w:rFonts w:ascii="Century" w:hAnsi="Century" w:cs="Times New Roman"/>
          <w:sz w:val="24"/>
          <w:szCs w:val="24"/>
        </w:rPr>
        <w:t>odernis, Islam konservati</w:t>
      </w:r>
      <w:r w:rsidR="00B508A1" w:rsidRPr="007076D7">
        <w:rPr>
          <w:rFonts w:ascii="Century" w:hAnsi="Century" w:cs="Times New Roman"/>
          <w:sz w:val="24"/>
          <w:szCs w:val="24"/>
        </w:rPr>
        <w:t>f</w:t>
      </w:r>
      <w:r w:rsidRPr="007076D7">
        <w:rPr>
          <w:rFonts w:ascii="Century" w:hAnsi="Century" w:cs="Times New Roman"/>
          <w:sz w:val="24"/>
          <w:szCs w:val="24"/>
        </w:rPr>
        <w:t xml:space="preserve">, Islam ekstremis, </w:t>
      </w:r>
      <w:r w:rsidR="00BA7A74" w:rsidRPr="007076D7">
        <w:rPr>
          <w:rFonts w:ascii="Century" w:hAnsi="Century" w:cs="Times New Roman"/>
          <w:sz w:val="24"/>
          <w:szCs w:val="24"/>
        </w:rPr>
        <w:t xml:space="preserve">dan </w:t>
      </w:r>
      <w:r w:rsidRPr="007076D7">
        <w:rPr>
          <w:rFonts w:ascii="Century" w:hAnsi="Century" w:cs="Times New Roman"/>
          <w:sz w:val="24"/>
          <w:szCs w:val="24"/>
        </w:rPr>
        <w:t>Islam kultural</w:t>
      </w:r>
      <w:r w:rsidR="003573F6">
        <w:rPr>
          <w:rFonts w:ascii="Century" w:hAnsi="Century" w:cs="Times New Roman"/>
          <w:sz w:val="24"/>
          <w:szCs w:val="24"/>
        </w:rPr>
        <w:t xml:space="preserve"> </w:t>
      </w:r>
      <w:r w:rsidR="003573F6">
        <w:rPr>
          <w:rFonts w:ascii="Century" w:hAnsi="Century" w:cs="Times New Roman"/>
          <w:sz w:val="24"/>
          <w:szCs w:val="24"/>
        </w:rPr>
        <w:fldChar w:fldCharType="begin" w:fldLock="1"/>
      </w:r>
      <w:r w:rsidR="00066A5C">
        <w:rPr>
          <w:rFonts w:ascii="Century" w:hAnsi="Century" w:cs="Times New Roman"/>
          <w:sz w:val="24"/>
          <w:szCs w:val="24"/>
        </w:rPr>
        <w:instrText>ADDIN CSL_CITATION {"citationItems":[{"id":"ITEM-1","itemData":{"author":[{"dropping-particle":"","family":"Seapart","given":"William","non-dropping-particle":"","parse-names":false,"suffix":""}],"container-title":"Journal of American Studies","id":"ITEM-1","issued":{"date-parts":[["2007"]]},"title":"Radicalism and Globalisation","type":"article-journal"},"uris":["http://www.mendeley.com/documents/?uuid=d09b71db-e14a-4f8e-b15e-944cba31d493"]},{"id":"ITEM-2","itemData":{"author":[{"dropping-particle":"","family":"Geertz","given":"Clifford","non-dropping-particle":"","parse-names":false,"suffix":""}],"id":"ITEM-2","issued":{"date-parts":[["1981"]]},"publisher":"Dunia Pustaka Jaya","publisher-place":"Jakarta","title":"Abangan, Santri, Priyayi dalam Masyarakat Jawa","type":"book"},"uris":["http://www.mendeley.com/documents/?uuid=0363cf36-a2d8-4e58-8a00-1d939016572a"]}],"mendeley":{"formattedCitation":"(Geertz, 1981; Seapart, 2007)","plainTextFormattedCitation":"(Geertz, 1981; Seapart, 2007)","previouslyFormattedCitation":"(Geertz, 1981; Seapart, 2007)"},"properties":{"noteIndex":0},"schema":"https://github.com/citation-style-language/schema/raw/master/csl-citation.json"}</w:instrText>
      </w:r>
      <w:r w:rsidR="003573F6">
        <w:rPr>
          <w:rFonts w:ascii="Century" w:hAnsi="Century" w:cs="Times New Roman"/>
          <w:sz w:val="24"/>
          <w:szCs w:val="24"/>
        </w:rPr>
        <w:fldChar w:fldCharType="separate"/>
      </w:r>
      <w:r w:rsidR="003573F6" w:rsidRPr="003573F6">
        <w:rPr>
          <w:rFonts w:ascii="Century" w:hAnsi="Century" w:cs="Times New Roman"/>
          <w:noProof/>
          <w:sz w:val="24"/>
          <w:szCs w:val="24"/>
        </w:rPr>
        <w:t>(Geertz, 1981; Seapart, 2007)</w:t>
      </w:r>
      <w:r w:rsidR="003573F6">
        <w:rPr>
          <w:rFonts w:ascii="Century" w:hAnsi="Century" w:cs="Times New Roman"/>
          <w:sz w:val="24"/>
          <w:szCs w:val="24"/>
        </w:rPr>
        <w:fldChar w:fldCharType="end"/>
      </w:r>
      <w:r w:rsidR="00066A5C">
        <w:rPr>
          <w:rFonts w:ascii="Century" w:hAnsi="Century" w:cs="Times New Roman"/>
          <w:sz w:val="24"/>
          <w:szCs w:val="24"/>
        </w:rPr>
        <w:t>. Akiba</w:t>
      </w:r>
      <w:r w:rsidRPr="007076D7">
        <w:rPr>
          <w:rFonts w:ascii="Century" w:hAnsi="Century" w:cs="Times New Roman"/>
          <w:sz w:val="24"/>
          <w:szCs w:val="24"/>
        </w:rPr>
        <w:t xml:space="preserve">tnya, </w:t>
      </w:r>
      <w:r w:rsidR="00B508A1" w:rsidRPr="007076D7">
        <w:rPr>
          <w:rFonts w:ascii="Century" w:hAnsi="Century" w:cs="Times New Roman"/>
          <w:sz w:val="24"/>
          <w:szCs w:val="24"/>
        </w:rPr>
        <w:t xml:space="preserve">masyarakat </w:t>
      </w:r>
      <w:r w:rsidRPr="007076D7">
        <w:rPr>
          <w:rFonts w:ascii="Century" w:hAnsi="Century" w:cs="Times New Roman"/>
          <w:sz w:val="24"/>
          <w:szCs w:val="24"/>
        </w:rPr>
        <w:t xml:space="preserve">terpengaruh oleh paham Islam </w:t>
      </w:r>
      <w:r w:rsidR="00C260E7" w:rsidRPr="007076D7">
        <w:rPr>
          <w:rFonts w:ascii="Century" w:hAnsi="Century" w:cs="Times New Roman"/>
          <w:sz w:val="24"/>
          <w:szCs w:val="24"/>
        </w:rPr>
        <w:t>tidak moderat</w:t>
      </w:r>
      <w:r w:rsidRPr="007076D7">
        <w:rPr>
          <w:rFonts w:ascii="Century" w:hAnsi="Century" w:cs="Times New Roman"/>
          <w:sz w:val="24"/>
          <w:szCs w:val="24"/>
        </w:rPr>
        <w:t xml:space="preserve"> karena kurangnya pengetahuan tentang hal </w:t>
      </w:r>
      <w:r w:rsidR="00C260E7" w:rsidRPr="007076D7">
        <w:rPr>
          <w:rFonts w:ascii="Century" w:hAnsi="Century" w:cs="Times New Roman"/>
          <w:sz w:val="24"/>
          <w:szCs w:val="24"/>
        </w:rPr>
        <w:t>Islam sendiri</w:t>
      </w:r>
      <w:r w:rsidR="001B106C">
        <w:rPr>
          <w:rFonts w:ascii="Century" w:hAnsi="Century" w:cs="Times New Roman"/>
          <w:sz w:val="24"/>
          <w:szCs w:val="24"/>
        </w:rPr>
        <w:t xml:space="preserve"> </w:t>
      </w:r>
      <w:r w:rsidR="001B106C">
        <w:rPr>
          <w:rFonts w:ascii="Century" w:hAnsi="Century" w:cs="Times New Roman"/>
          <w:sz w:val="24"/>
          <w:szCs w:val="24"/>
        </w:rPr>
        <w:fldChar w:fldCharType="begin" w:fldLock="1"/>
      </w:r>
      <w:r w:rsidR="001B106C">
        <w:rPr>
          <w:rFonts w:ascii="Century" w:hAnsi="Century" w:cs="Times New Roman"/>
          <w:sz w:val="24"/>
          <w:szCs w:val="24"/>
        </w:rPr>
        <w:instrText>ADDIN CSL_CITATION {"citationItems":[{"id":"ITEM-1","itemData":{"author":[{"dropping-particle":"","family":"Nashir","given":"Haedar","non-dropping-particle":"","parse-names":false,"suffix":""}],"id":"ITEM-1","issued":{"date-parts":[["2019"]]},"publisher":"Program Studi Doktor Politik Islam, Universitas Muhammadiyah Yogyakarta","publisher-place":"Yogyakarta","title":"Moderasi Indonesia dan Keindonesiaan: Perspektif Sosiologi","type":"article"},"uris":["http://www.mendeley.com/documents/?uuid=7edf7d00-771d-47ab-a12a-b3eaa4a80b1d"]},{"id":"ITEM-2","itemData":{"DOI":"https://doi.org/10.14421/ajis.2019.571.1-24","author":[{"dropping-particle":"","family":"Nashir","given":"Haedar","non-dropping-particle":"","parse-names":false,"suffix":""}],"container-title":"Al-Jami'ah: Journal of Islamic Studies","id":"ITEM-2","issue":"1","issued":{"date-parts":[["2019"]]},"page":"1-24","title":"Muhammadiyah’s moderation stance in the 2019 general election","type":"article-journal","volume":"57"},"uris":["http://www.mendeley.com/documents/?uuid=8bb4f721-a96e-479a-ad7b-2a51bc90ac96"]}],"mendeley":{"formattedCitation":"(Nashir, 2019a, 2019b)","plainTextFormattedCitation":"(Nashir, 2019a, 2019b)","previouslyFormattedCitation":"(Nashir, 2019a, 2019b)"},"properties":{"noteIndex":0},"schema":"https://github.com/citation-style-language/schema/raw/master/csl-citation.json"}</w:instrText>
      </w:r>
      <w:r w:rsidR="001B106C">
        <w:rPr>
          <w:rFonts w:ascii="Century" w:hAnsi="Century" w:cs="Times New Roman"/>
          <w:sz w:val="24"/>
          <w:szCs w:val="24"/>
        </w:rPr>
        <w:fldChar w:fldCharType="separate"/>
      </w:r>
      <w:r w:rsidR="001B106C" w:rsidRPr="001B106C">
        <w:rPr>
          <w:rFonts w:ascii="Century" w:hAnsi="Century" w:cs="Times New Roman"/>
          <w:noProof/>
          <w:sz w:val="24"/>
          <w:szCs w:val="24"/>
        </w:rPr>
        <w:t>(Nashir, 2019a, 2019b)</w:t>
      </w:r>
      <w:r w:rsidR="001B106C">
        <w:rPr>
          <w:rFonts w:ascii="Century" w:hAnsi="Century" w:cs="Times New Roman"/>
          <w:sz w:val="24"/>
          <w:szCs w:val="24"/>
        </w:rPr>
        <w:fldChar w:fldCharType="end"/>
      </w:r>
      <w:r w:rsidRPr="007076D7">
        <w:rPr>
          <w:rFonts w:ascii="Century" w:hAnsi="Century" w:cs="Times New Roman"/>
          <w:sz w:val="24"/>
          <w:szCs w:val="24"/>
        </w:rPr>
        <w:t>.</w:t>
      </w:r>
      <w:r w:rsidR="00AB1AA3" w:rsidRPr="007076D7">
        <w:rPr>
          <w:rFonts w:ascii="Century" w:hAnsi="Century" w:cs="Times New Roman"/>
          <w:sz w:val="24"/>
          <w:szCs w:val="24"/>
        </w:rPr>
        <w:t xml:space="preserve"> </w:t>
      </w:r>
      <w:r w:rsidRPr="007076D7">
        <w:rPr>
          <w:rFonts w:ascii="Century" w:hAnsi="Century" w:cs="Times New Roman"/>
          <w:sz w:val="24"/>
          <w:szCs w:val="24"/>
        </w:rPr>
        <w:t>Penguatan moderasi Islam di kalangan pemuda</w:t>
      </w:r>
      <w:r w:rsidR="00C260E7" w:rsidRPr="007076D7">
        <w:rPr>
          <w:rFonts w:ascii="Century" w:hAnsi="Century" w:cs="Times New Roman"/>
          <w:sz w:val="24"/>
          <w:szCs w:val="24"/>
        </w:rPr>
        <w:t>,</w:t>
      </w:r>
      <w:r w:rsidRPr="007076D7">
        <w:rPr>
          <w:rFonts w:ascii="Century" w:hAnsi="Century" w:cs="Times New Roman"/>
          <w:sz w:val="24"/>
          <w:szCs w:val="24"/>
        </w:rPr>
        <w:t xml:space="preserve"> oleh </w:t>
      </w:r>
      <w:r w:rsidR="00C260E7" w:rsidRPr="007076D7">
        <w:rPr>
          <w:rFonts w:ascii="Century" w:hAnsi="Century" w:cs="Times New Roman"/>
          <w:sz w:val="24"/>
          <w:szCs w:val="24"/>
        </w:rPr>
        <w:t>karenanya</w:t>
      </w:r>
      <w:r w:rsidRPr="007076D7">
        <w:rPr>
          <w:rFonts w:ascii="Century" w:hAnsi="Century" w:cs="Times New Roman"/>
          <w:sz w:val="24"/>
          <w:szCs w:val="24"/>
        </w:rPr>
        <w:t xml:space="preserve"> mendesak dilakukan untuk tidak hanya memberikan </w:t>
      </w:r>
      <w:r w:rsidR="00C260E7" w:rsidRPr="007076D7">
        <w:rPr>
          <w:rFonts w:ascii="Century" w:hAnsi="Century" w:cs="Times New Roman"/>
          <w:sz w:val="24"/>
          <w:szCs w:val="24"/>
        </w:rPr>
        <w:t>p</w:t>
      </w:r>
      <w:r w:rsidRPr="007076D7">
        <w:rPr>
          <w:rFonts w:ascii="Century" w:hAnsi="Century" w:cs="Times New Roman"/>
          <w:sz w:val="24"/>
          <w:szCs w:val="24"/>
        </w:rPr>
        <w:t xml:space="preserve">eneguhan </w:t>
      </w:r>
      <w:r w:rsidR="00C260E7" w:rsidRPr="007076D7">
        <w:rPr>
          <w:rFonts w:ascii="Century" w:hAnsi="Century" w:cs="Times New Roman"/>
          <w:sz w:val="24"/>
          <w:szCs w:val="24"/>
        </w:rPr>
        <w:t xml:space="preserve">pemahaman keagamaan yang </w:t>
      </w:r>
      <w:r w:rsidRPr="007076D7">
        <w:rPr>
          <w:rFonts w:ascii="Century" w:hAnsi="Century" w:cs="Times New Roman"/>
          <w:sz w:val="24"/>
          <w:szCs w:val="24"/>
        </w:rPr>
        <w:t>modera</w:t>
      </w:r>
      <w:r w:rsidR="00C260E7" w:rsidRPr="007076D7">
        <w:rPr>
          <w:rFonts w:ascii="Century" w:hAnsi="Century" w:cs="Times New Roman"/>
          <w:sz w:val="24"/>
          <w:szCs w:val="24"/>
        </w:rPr>
        <w:t>t, tetapi juga menumbuh-kembangkan jiwa beragama yang toleran, terbuka, dan progresif</w:t>
      </w:r>
      <w:r w:rsidRPr="007076D7">
        <w:rPr>
          <w:rFonts w:ascii="Century" w:hAnsi="Century" w:cs="Times New Roman"/>
          <w:sz w:val="24"/>
          <w:szCs w:val="24"/>
        </w:rPr>
        <w:t>.</w:t>
      </w:r>
      <w:r w:rsidR="00D06C2F" w:rsidRPr="007076D7">
        <w:rPr>
          <w:rFonts w:ascii="Century" w:hAnsi="Century" w:cs="Times New Roman"/>
          <w:sz w:val="24"/>
          <w:szCs w:val="24"/>
        </w:rPr>
        <w:t xml:space="preserve"> </w:t>
      </w:r>
    </w:p>
    <w:p w14:paraId="2AB2132C" w14:textId="716237E0" w:rsidR="00523F45" w:rsidRPr="007076D7" w:rsidRDefault="00523F45"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lastRenderedPageBreak/>
        <w:t>Karang Taruna sebagai wadah perkumpulan pemuda dapat berperan dalam pemberdayaan masyarakat di sekitar desanya</w:t>
      </w:r>
      <w:r w:rsidR="001B106C">
        <w:rPr>
          <w:rFonts w:ascii="Century" w:hAnsi="Century" w:cs="Times New Roman"/>
          <w:sz w:val="24"/>
          <w:szCs w:val="24"/>
        </w:rPr>
        <w:t xml:space="preserve"> </w:t>
      </w:r>
      <w:r w:rsidR="001B106C">
        <w:rPr>
          <w:rFonts w:ascii="Century" w:hAnsi="Century" w:cs="Times New Roman"/>
          <w:sz w:val="24"/>
          <w:szCs w:val="24"/>
        </w:rPr>
        <w:fldChar w:fldCharType="begin" w:fldLock="1"/>
      </w:r>
      <w:r w:rsidR="00110CC3">
        <w:rPr>
          <w:rFonts w:ascii="Century" w:hAnsi="Century" w:cs="Times New Roman"/>
          <w:sz w:val="24"/>
          <w:szCs w:val="24"/>
        </w:rPr>
        <w:instrText>ADDIN CSL_CITATION {"citationItems":[{"id":"ITEM-1","itemData":{"DOI":"https://doi.org/10.37304/paris.v1i1.1667","author":[{"dropping-particle":"","family":"Aminudin","given":"Muhammad","non-dropping-particle":"","parse-names":false,"suffix":""}],"container-title":"Jurnal Paris Langkis","id":"ITEM-1","issue":"1","issued":{"date-parts":[["2020"]]},"page":"21-26","title":"Peran Karang Taruna dalam Pemberdayaan Masyarakat Kelurahan Sei Gohong Kecamatan Bukit Batu Kota Palangkaraya","type":"article-journal","volume":"1"},"uris":["http://www.mendeley.com/documents/?uuid=ac1165c4-08ef-47b2-a5ac-df64b2eb4120"]}],"mendeley":{"formattedCitation":"(Aminudin, 2020)","plainTextFormattedCitation":"(Aminudin, 2020)","previouslyFormattedCitation":"(Aminudin, 2020)"},"properties":{"noteIndex":0},"schema":"https://github.com/citation-style-language/schema/raw/master/csl-citation.json"}</w:instrText>
      </w:r>
      <w:r w:rsidR="001B106C">
        <w:rPr>
          <w:rFonts w:ascii="Century" w:hAnsi="Century" w:cs="Times New Roman"/>
          <w:sz w:val="24"/>
          <w:szCs w:val="24"/>
        </w:rPr>
        <w:fldChar w:fldCharType="separate"/>
      </w:r>
      <w:r w:rsidR="001B106C" w:rsidRPr="001B106C">
        <w:rPr>
          <w:rFonts w:ascii="Century" w:hAnsi="Century" w:cs="Times New Roman"/>
          <w:noProof/>
          <w:sz w:val="24"/>
          <w:szCs w:val="24"/>
        </w:rPr>
        <w:t>(Aminudin, 2020)</w:t>
      </w:r>
      <w:r w:rsidR="001B106C">
        <w:rPr>
          <w:rFonts w:ascii="Century" w:hAnsi="Century" w:cs="Times New Roman"/>
          <w:sz w:val="24"/>
          <w:szCs w:val="24"/>
        </w:rPr>
        <w:fldChar w:fldCharType="end"/>
      </w:r>
      <w:r w:rsidRPr="007076D7">
        <w:rPr>
          <w:rFonts w:ascii="Century" w:hAnsi="Century" w:cs="Times New Roman"/>
          <w:sz w:val="24"/>
          <w:szCs w:val="24"/>
        </w:rPr>
        <w:t>.</w:t>
      </w:r>
      <w:r w:rsidR="00AB1AA3" w:rsidRPr="007076D7">
        <w:rPr>
          <w:rFonts w:ascii="Century" w:hAnsi="Century" w:cs="Times New Roman"/>
          <w:sz w:val="24"/>
          <w:szCs w:val="24"/>
        </w:rPr>
        <w:t xml:space="preserve"> </w:t>
      </w:r>
      <w:r w:rsidRPr="007076D7">
        <w:rPr>
          <w:rFonts w:ascii="Century" w:hAnsi="Century" w:cs="Times New Roman"/>
          <w:sz w:val="24"/>
          <w:szCs w:val="24"/>
        </w:rPr>
        <w:t>Upaya pemberdayaan ini dapat dilakukan dalam bidang ekonomi, sosial, dan keagamaan. Sebagai bagian dari elemen masyarakat, kalangan pemuda pada karang taruna dapat mempromosikan paham moderat beragama untuk menyemai nilai- nilai toleransi dan keberagaman pada masyarakat</w:t>
      </w:r>
      <w:r w:rsidR="001B106C">
        <w:rPr>
          <w:rFonts w:ascii="Century" w:hAnsi="Century" w:cs="Times New Roman"/>
          <w:sz w:val="24"/>
          <w:szCs w:val="24"/>
        </w:rPr>
        <w:t xml:space="preserve"> </w:t>
      </w:r>
      <w:r w:rsidR="00110CC3">
        <w:rPr>
          <w:rFonts w:ascii="Century" w:hAnsi="Century" w:cs="Times New Roman"/>
          <w:sz w:val="24"/>
          <w:szCs w:val="24"/>
        </w:rPr>
        <w:fldChar w:fldCharType="begin" w:fldLock="1"/>
      </w:r>
      <w:r w:rsidR="00110CC3">
        <w:rPr>
          <w:rFonts w:ascii="Century" w:hAnsi="Century" w:cs="Times New Roman"/>
          <w:sz w:val="24"/>
          <w:szCs w:val="24"/>
        </w:rPr>
        <w:instrText>ADDIN CSL_CITATION {"citationItems":[{"id":"ITEM-1","itemData":{"DOI":"http://journal.universitaspahlawan.ac.id/index.php/cdj/article/view/3019","author":[{"dropping-particle":"","family":"Widodo, B. S., Purba, I. P., &amp; Setiawan","given":"A.","non-dropping-particle":"","parse-names":false,"suffix":""}],"container-title":"Community Development Journal: Jurnal Pengabdian Masyarakat","id":"ITEM-1","issue":"3","issued":{"date-parts":[["2021"]]},"page":"1215-1222","title":"PENGUATAN NILAI-NILAI TOLERANSI DAN KEBERAGAMAN PADA MASYARAKAT DESA SAMBONG DUKUH KABUPATEN JOMBANG SEBAGAI RINTISAN DESA PANCASILA.","type":"article-journal","volume":"2"},"uris":["http://www.mendeley.com/documents/?uuid=8c404b04-72a6-4c2b-8ec8-49ec1ab1d1d0"]}],"mendeley":{"formattedCitation":"(Widodo, B. S., Purba, I. P., &amp; Setiawan, 2021)","manualFormatting":"(Widodo &amp; Setiawan, 2021)","plainTextFormattedCitation":"(Widodo, B. S., Purba, I. P., &amp; Setiawan, 2021)","previouslyFormattedCitation":"(Widodo, B. S., Purba, I. P., &amp; Setiawan, 2021)"},"properties":{"noteIndex":0},"schema":"https://github.com/citation-style-language/schema/raw/master/csl-citation.json"}</w:instrText>
      </w:r>
      <w:r w:rsidR="00110CC3">
        <w:rPr>
          <w:rFonts w:ascii="Century" w:hAnsi="Century" w:cs="Times New Roman"/>
          <w:sz w:val="24"/>
          <w:szCs w:val="24"/>
        </w:rPr>
        <w:fldChar w:fldCharType="separate"/>
      </w:r>
      <w:r w:rsidR="00110CC3" w:rsidRPr="00110CC3">
        <w:rPr>
          <w:rFonts w:ascii="Century" w:hAnsi="Century" w:cs="Times New Roman"/>
          <w:noProof/>
          <w:sz w:val="24"/>
          <w:szCs w:val="24"/>
        </w:rPr>
        <w:t>(Widodo</w:t>
      </w:r>
      <w:r w:rsidR="00110CC3">
        <w:rPr>
          <w:rFonts w:ascii="Century" w:hAnsi="Century" w:cs="Times New Roman"/>
          <w:noProof/>
          <w:sz w:val="24"/>
          <w:szCs w:val="24"/>
        </w:rPr>
        <w:t xml:space="preserve"> </w:t>
      </w:r>
      <w:r w:rsidR="00110CC3" w:rsidRPr="00110CC3">
        <w:rPr>
          <w:rFonts w:ascii="Century" w:hAnsi="Century" w:cs="Times New Roman"/>
          <w:noProof/>
          <w:sz w:val="24"/>
          <w:szCs w:val="24"/>
        </w:rPr>
        <w:t>&amp; Setiawan, 2021)</w:t>
      </w:r>
      <w:r w:rsidR="00110CC3">
        <w:rPr>
          <w:rFonts w:ascii="Century" w:hAnsi="Century" w:cs="Times New Roman"/>
          <w:sz w:val="24"/>
          <w:szCs w:val="24"/>
        </w:rPr>
        <w:fldChar w:fldCharType="end"/>
      </w:r>
      <w:r w:rsidRPr="007076D7">
        <w:rPr>
          <w:rFonts w:ascii="Century" w:hAnsi="Century" w:cs="Times New Roman"/>
          <w:sz w:val="24"/>
          <w:szCs w:val="24"/>
        </w:rPr>
        <w:t>. Dengan demikian, penguatan pemahaman moderat beragama pada kalangan pemuda menjadi salah satu metode yang efektif dalam mempromosikan dan menyebarkan sikap toleransi dan keberagaman di lingkungan masyarakat sekitar.</w:t>
      </w:r>
    </w:p>
    <w:p w14:paraId="7C7623DE" w14:textId="13C970EF" w:rsidR="00523F45" w:rsidRPr="006E4BAF" w:rsidRDefault="00B508A1" w:rsidP="006E4BAF">
      <w:pPr>
        <w:spacing w:line="360" w:lineRule="auto"/>
        <w:ind w:firstLine="720"/>
        <w:jc w:val="both"/>
        <w:rPr>
          <w:rFonts w:ascii="Century" w:hAnsi="Century" w:cs="Times New Roman"/>
          <w:sz w:val="24"/>
          <w:szCs w:val="24"/>
        </w:rPr>
      </w:pPr>
      <w:r w:rsidRPr="007076D7">
        <w:rPr>
          <w:rFonts w:ascii="Century" w:hAnsi="Century" w:cs="Times New Roman"/>
          <w:sz w:val="24"/>
          <w:szCs w:val="24"/>
        </w:rPr>
        <w:t>Kegiatan ini fokus pada faktor penyebab kedua yaitu moderasi Islam yang minim di kalangan pemuda yang merupakan kalangan terpenting dari dinamika ini masyarakat. Pengajian khusus tentang Moderasi Islam yang minim memang dialami oleh banyak kalangan, karena keinginan untuk mengetahui dan memahami apa itu visi Keislaman versi Muhammadiyah melalui pendekatan formal, yaitu melalui sekolah dan perguruan tinggi. Kalangan pemuda yang memiliki minat tinggi Islam tergoda oleh media sosial yang mudah diakses adalah kalangan pemuda yang memilih media sosial, sementara yang lain cenderung pasif. Akibatnya kemudian adalah terjadi melimpahnya informasi di kalangan masyarakat termasuk kalangan pemuda di Mantren Klidon Sukoharjo Ngaglik.</w:t>
      </w:r>
      <w:r w:rsidR="00B527A9" w:rsidRPr="006E4BAF">
        <w:rPr>
          <w:rFonts w:ascii="Century" w:hAnsi="Century" w:cs="Times New Roman"/>
          <w:b/>
          <w:bCs/>
          <w:sz w:val="24"/>
          <w:szCs w:val="24"/>
        </w:rPr>
        <w:t xml:space="preserve"> </w:t>
      </w:r>
    </w:p>
    <w:p w14:paraId="1953B396" w14:textId="66196CE9" w:rsidR="00EF6DF5" w:rsidRPr="007076D7" w:rsidRDefault="00BF305A"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Adanya kecenderungan beragama yang tinggi tanpa diimbangi dengan pencarian sumber pengetahuan yang luas menjadi satu fenomena yang merbak di kalangan anak muda akhir-akhir ini. Mereka dengan mudah mengidolakan figur yang belum tentu memiliki pengetahuan agama yang luas dan luwes sehingga cenderung menjadikannya sebagai “pengikut” paham yang tertutup. Sikap yang tertutup (eksklusif) dalam beragama akan berakibat pada sikap </w:t>
      </w:r>
      <w:r w:rsidR="00EF6DF5" w:rsidRPr="007076D7">
        <w:rPr>
          <w:rFonts w:ascii="Century" w:hAnsi="Century" w:cs="Times New Roman"/>
          <w:sz w:val="24"/>
          <w:szCs w:val="24"/>
        </w:rPr>
        <w:t xml:space="preserve">“arogan” </w:t>
      </w:r>
      <w:r w:rsidRPr="007076D7">
        <w:rPr>
          <w:rFonts w:ascii="Century" w:hAnsi="Century" w:cs="Times New Roman"/>
          <w:sz w:val="24"/>
          <w:szCs w:val="24"/>
        </w:rPr>
        <w:t>seseorang atau kelompok terhadap orang atau kelompok lain yang tidak sepaham</w:t>
      </w:r>
      <w:r w:rsidR="00EF6DF5" w:rsidRPr="007076D7">
        <w:rPr>
          <w:rFonts w:ascii="Century" w:hAnsi="Century" w:cs="Times New Roman"/>
          <w:sz w:val="24"/>
          <w:szCs w:val="24"/>
        </w:rPr>
        <w:t xml:space="preserve">. Bahkan, ada </w:t>
      </w:r>
      <w:r w:rsidR="00EF6DF5" w:rsidRPr="007076D7">
        <w:rPr>
          <w:rFonts w:ascii="Century" w:hAnsi="Century" w:cs="Times New Roman"/>
          <w:sz w:val="24"/>
          <w:szCs w:val="24"/>
        </w:rPr>
        <w:lastRenderedPageBreak/>
        <w:t>kece</w:t>
      </w:r>
      <w:r w:rsidR="00291191" w:rsidRPr="007076D7">
        <w:rPr>
          <w:rFonts w:ascii="Century" w:hAnsi="Century" w:cs="Times New Roman"/>
          <w:sz w:val="24"/>
          <w:szCs w:val="24"/>
        </w:rPr>
        <w:t>n</w:t>
      </w:r>
      <w:r w:rsidR="00EF6DF5" w:rsidRPr="007076D7">
        <w:rPr>
          <w:rFonts w:ascii="Century" w:hAnsi="Century" w:cs="Times New Roman"/>
          <w:sz w:val="24"/>
          <w:szCs w:val="24"/>
        </w:rPr>
        <w:t>derungan beragama dengan mengedepankan klaim sepihak sehingga kelompok lain pun dianggap sesat, salah, dan penghuni neraka. Sikap klaim seperti itu sangat bertolak belakang dengan fakta keragaman bangsa yang memerlukan pandangan dan sikap beragama yang terbuka dan moderat. Moderasi beragama, oleh karen</w:t>
      </w:r>
      <w:r w:rsidR="00291191" w:rsidRPr="007076D7">
        <w:rPr>
          <w:rFonts w:ascii="Century" w:hAnsi="Century" w:cs="Times New Roman"/>
          <w:sz w:val="24"/>
          <w:szCs w:val="24"/>
        </w:rPr>
        <w:t>an</w:t>
      </w:r>
      <w:r w:rsidR="00EF6DF5" w:rsidRPr="007076D7">
        <w:rPr>
          <w:rFonts w:ascii="Century" w:hAnsi="Century" w:cs="Times New Roman"/>
          <w:sz w:val="24"/>
          <w:szCs w:val="24"/>
        </w:rPr>
        <w:t>ya, menjadi jalan untuk membentuk pribadi-pribadi yang senantiasa beragama (berislam) secara utuh (kaffah) karena didasari pada kesadaran bahwa di luar dirinya banya</w:t>
      </w:r>
      <w:r w:rsidR="00291191" w:rsidRPr="007076D7">
        <w:rPr>
          <w:rFonts w:ascii="Century" w:hAnsi="Century" w:cs="Times New Roman"/>
          <w:sz w:val="24"/>
          <w:szCs w:val="24"/>
        </w:rPr>
        <w:t>k</w:t>
      </w:r>
      <w:r w:rsidR="00EF6DF5" w:rsidRPr="007076D7">
        <w:rPr>
          <w:rFonts w:ascii="Century" w:hAnsi="Century" w:cs="Times New Roman"/>
          <w:sz w:val="24"/>
          <w:szCs w:val="24"/>
        </w:rPr>
        <w:t xml:space="preserve"> varian keyaki</w:t>
      </w:r>
      <w:r w:rsidR="00291191" w:rsidRPr="007076D7">
        <w:rPr>
          <w:rFonts w:ascii="Century" w:hAnsi="Century" w:cs="Times New Roman"/>
          <w:sz w:val="24"/>
          <w:szCs w:val="24"/>
        </w:rPr>
        <w:t>n</w:t>
      </w:r>
      <w:r w:rsidR="00EF6DF5" w:rsidRPr="007076D7">
        <w:rPr>
          <w:rFonts w:ascii="Century" w:hAnsi="Century" w:cs="Times New Roman"/>
          <w:sz w:val="24"/>
          <w:szCs w:val="24"/>
        </w:rPr>
        <w:t xml:space="preserve">an dan cara pandang yang juga beragam. </w:t>
      </w:r>
    </w:p>
    <w:p w14:paraId="3130426A" w14:textId="7A50F1EE" w:rsidR="00CD6DE5" w:rsidRPr="007076D7" w:rsidRDefault="00EF6DF5"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Pada konteks masyarakat plural, dibutuhkan mekanisme kehidupan yang secara rasional memiliki dampak kepentingan yang tidak saja bersifat jangka pendek, tetapi juga jangka panjang. Artinya, masyarakat plural memiliki sejumlah kendala dan potensi dalam membangun relasi yang lebih terbuka. Pada kondisi ini, peneguhan </w:t>
      </w:r>
      <w:r w:rsidR="00523F45" w:rsidRPr="007076D7">
        <w:rPr>
          <w:rFonts w:ascii="Century" w:hAnsi="Century" w:cs="Times New Roman"/>
          <w:sz w:val="24"/>
          <w:szCs w:val="24"/>
        </w:rPr>
        <w:t>paham moderasi beragama bagi seluruh lapisan masyarakat khususnya kalangan pemuda di Mantren Klidon Sukoharjo</w:t>
      </w:r>
      <w:r w:rsidRPr="007076D7">
        <w:rPr>
          <w:rFonts w:ascii="Century" w:hAnsi="Century" w:cs="Times New Roman"/>
          <w:sz w:val="24"/>
          <w:szCs w:val="24"/>
        </w:rPr>
        <w:t xml:space="preserve"> penting dilakukan</w:t>
      </w:r>
      <w:r w:rsidR="00523F45" w:rsidRPr="007076D7">
        <w:rPr>
          <w:rFonts w:ascii="Century" w:hAnsi="Century" w:cs="Times New Roman"/>
          <w:sz w:val="24"/>
          <w:szCs w:val="24"/>
        </w:rPr>
        <w:t>.</w:t>
      </w:r>
      <w:r w:rsidR="00CD6DE5" w:rsidRPr="007076D7">
        <w:rPr>
          <w:rFonts w:ascii="Century" w:hAnsi="Century" w:cs="Times New Roman"/>
          <w:sz w:val="24"/>
          <w:szCs w:val="24"/>
        </w:rPr>
        <w:t xml:space="preserve"> </w:t>
      </w:r>
      <w:r w:rsidR="00523F45" w:rsidRPr="007076D7">
        <w:rPr>
          <w:rFonts w:ascii="Century" w:hAnsi="Century" w:cs="Times New Roman"/>
          <w:sz w:val="24"/>
          <w:szCs w:val="24"/>
        </w:rPr>
        <w:t>Untuk mewujudkan partis</w:t>
      </w:r>
      <w:r w:rsidR="00291191" w:rsidRPr="007076D7">
        <w:rPr>
          <w:rFonts w:ascii="Century" w:hAnsi="Century" w:cs="Times New Roman"/>
          <w:sz w:val="24"/>
          <w:szCs w:val="24"/>
        </w:rPr>
        <w:t>i</w:t>
      </w:r>
      <w:r w:rsidR="00523F45" w:rsidRPr="007076D7">
        <w:rPr>
          <w:rFonts w:ascii="Century" w:hAnsi="Century" w:cs="Times New Roman"/>
          <w:sz w:val="24"/>
          <w:szCs w:val="24"/>
        </w:rPr>
        <w:t xml:space="preserve">pasi dan ketertarikan memahami </w:t>
      </w:r>
      <w:r w:rsidRPr="007076D7">
        <w:rPr>
          <w:rFonts w:ascii="Century" w:hAnsi="Century" w:cs="Times New Roman"/>
          <w:sz w:val="24"/>
          <w:szCs w:val="24"/>
        </w:rPr>
        <w:t>paham-paham beragama</w:t>
      </w:r>
      <w:r w:rsidR="00921509" w:rsidRPr="007076D7">
        <w:rPr>
          <w:rFonts w:ascii="Century" w:hAnsi="Century" w:cs="Times New Roman"/>
          <w:sz w:val="24"/>
          <w:szCs w:val="24"/>
        </w:rPr>
        <w:t xml:space="preserve"> di kalangan pemuda,</w:t>
      </w:r>
      <w:r w:rsidR="00523F45" w:rsidRPr="007076D7">
        <w:rPr>
          <w:rFonts w:ascii="Century" w:hAnsi="Century" w:cs="Times New Roman"/>
          <w:sz w:val="24"/>
          <w:szCs w:val="24"/>
        </w:rPr>
        <w:t xml:space="preserve"> perlu dilakukan berbagai cara agar mereka memahaminya secara ko</w:t>
      </w:r>
      <w:r w:rsidR="00291191" w:rsidRPr="007076D7">
        <w:rPr>
          <w:rFonts w:ascii="Century" w:hAnsi="Century" w:cs="Times New Roman"/>
          <w:sz w:val="24"/>
          <w:szCs w:val="24"/>
        </w:rPr>
        <w:t>m</w:t>
      </w:r>
      <w:r w:rsidR="00523F45" w:rsidRPr="007076D7">
        <w:rPr>
          <w:rFonts w:ascii="Century" w:hAnsi="Century" w:cs="Times New Roman"/>
          <w:sz w:val="24"/>
          <w:szCs w:val="24"/>
        </w:rPr>
        <w:t xml:space="preserve">prehensif mulai dari teori, konsep dan aplikatif pemahaman moderasi beragama yang dapat diterapkan di lingkungan masyarakat. Dengan pemahaman moderasi beragama yang memadai kalangan pemuda di karang taruna dapat mempromosikan dan menularkan nilai moderasi beragama kepada masyarakat sekitar. </w:t>
      </w:r>
    </w:p>
    <w:p w14:paraId="5C9A7642" w14:textId="50CC9CE0" w:rsidR="00523F45" w:rsidRPr="007076D7" w:rsidRDefault="00523F45"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Adapun upaya yang dilakukan untuk memberikan pemahaman terhadap moderasi beragama</w:t>
      </w:r>
      <w:r w:rsidR="00CD6DE5" w:rsidRPr="007076D7">
        <w:rPr>
          <w:rFonts w:ascii="Century" w:hAnsi="Century" w:cs="Times New Roman"/>
          <w:sz w:val="24"/>
          <w:szCs w:val="24"/>
        </w:rPr>
        <w:t xml:space="preserve"> ada dua. </w:t>
      </w:r>
      <w:r w:rsidR="00CD6DE5" w:rsidRPr="007076D7">
        <w:rPr>
          <w:rFonts w:ascii="Century" w:hAnsi="Century" w:cs="Times New Roman"/>
          <w:i/>
          <w:iCs/>
          <w:sz w:val="24"/>
          <w:szCs w:val="24"/>
        </w:rPr>
        <w:t xml:space="preserve">Pertama, </w:t>
      </w:r>
      <w:r w:rsidRPr="007076D7">
        <w:rPr>
          <w:rFonts w:ascii="Century" w:hAnsi="Century" w:cs="Times New Roman"/>
          <w:sz w:val="24"/>
          <w:szCs w:val="24"/>
        </w:rPr>
        <w:t>Sosialisasi Teori, Konsep dan Aplikasi Paham Moderat Beragama</w:t>
      </w:r>
      <w:r w:rsidR="00CD6DE5" w:rsidRPr="007076D7">
        <w:rPr>
          <w:rFonts w:ascii="Century" w:hAnsi="Century" w:cs="Times New Roman"/>
          <w:sz w:val="24"/>
          <w:szCs w:val="24"/>
        </w:rPr>
        <w:t xml:space="preserve">. </w:t>
      </w:r>
      <w:r w:rsidRPr="007076D7">
        <w:rPr>
          <w:rFonts w:ascii="Century" w:hAnsi="Century" w:cs="Times New Roman"/>
          <w:sz w:val="24"/>
          <w:szCs w:val="24"/>
        </w:rPr>
        <w:t xml:space="preserve">Sosialisasi dilakukan dengan mengundang narasumber ahli </w:t>
      </w:r>
      <w:r w:rsidR="00CD6DE5" w:rsidRPr="007076D7">
        <w:rPr>
          <w:rFonts w:ascii="Century" w:hAnsi="Century" w:cs="Times New Roman"/>
          <w:sz w:val="24"/>
          <w:szCs w:val="24"/>
        </w:rPr>
        <w:t xml:space="preserve">yang memiliki pengetahuan mengenai moderasi beragama. Narasumber </w:t>
      </w:r>
      <w:r w:rsidRPr="007076D7">
        <w:rPr>
          <w:rFonts w:ascii="Century" w:hAnsi="Century" w:cs="Times New Roman"/>
          <w:sz w:val="24"/>
          <w:szCs w:val="24"/>
        </w:rPr>
        <w:t>menyampaikan dan memberikan pemahaman kepada kalangan pemuda berkaitan dengan teori, konsep dan mengaplikasikan nilai moderat di</w:t>
      </w:r>
      <w:r w:rsidR="00291191" w:rsidRPr="007076D7">
        <w:rPr>
          <w:rFonts w:ascii="Century" w:hAnsi="Century" w:cs="Times New Roman"/>
          <w:sz w:val="24"/>
          <w:szCs w:val="24"/>
        </w:rPr>
        <w:t xml:space="preserve"> </w:t>
      </w:r>
      <w:r w:rsidRPr="007076D7">
        <w:rPr>
          <w:rFonts w:ascii="Century" w:hAnsi="Century" w:cs="Times New Roman"/>
          <w:sz w:val="24"/>
          <w:szCs w:val="24"/>
        </w:rPr>
        <w:t>lingkungan masyarakat.</w:t>
      </w:r>
      <w:r w:rsidR="00CD6DE5" w:rsidRPr="007076D7">
        <w:rPr>
          <w:rFonts w:ascii="Century" w:hAnsi="Century" w:cs="Times New Roman"/>
          <w:sz w:val="24"/>
          <w:szCs w:val="24"/>
        </w:rPr>
        <w:t xml:space="preserve"> </w:t>
      </w:r>
      <w:r w:rsidR="00CD6DE5" w:rsidRPr="007076D7">
        <w:rPr>
          <w:rFonts w:ascii="Century" w:hAnsi="Century" w:cs="Times New Roman"/>
          <w:i/>
          <w:iCs/>
          <w:sz w:val="24"/>
          <w:szCs w:val="24"/>
        </w:rPr>
        <w:t xml:space="preserve">Kedua, </w:t>
      </w:r>
      <w:r w:rsidR="00CD6DE5" w:rsidRPr="007076D7">
        <w:rPr>
          <w:rFonts w:ascii="Century" w:hAnsi="Century" w:cs="Times New Roman"/>
          <w:sz w:val="24"/>
          <w:szCs w:val="24"/>
        </w:rPr>
        <w:t xml:space="preserve">mengevaluasi pengetahuan mereka dengan memberikan beberapa </w:t>
      </w:r>
      <w:r w:rsidR="00CD6DE5" w:rsidRPr="007076D7">
        <w:rPr>
          <w:rFonts w:ascii="Century" w:hAnsi="Century" w:cs="Times New Roman"/>
          <w:sz w:val="24"/>
          <w:szCs w:val="24"/>
        </w:rPr>
        <w:lastRenderedPageBreak/>
        <w:t xml:space="preserve">pertanyaan mengenai moderasi beragama, termasuk pengetahuan umum mengenai pergaulan yang melibatkan kelompok agama yang berbeda. </w:t>
      </w:r>
    </w:p>
    <w:p w14:paraId="1F735DF7" w14:textId="38C28B35" w:rsidR="00523F45" w:rsidRPr="007076D7" w:rsidRDefault="00E807C3" w:rsidP="00F01DD7">
      <w:pPr>
        <w:pStyle w:val="ListParagraph"/>
        <w:numPr>
          <w:ilvl w:val="0"/>
          <w:numId w:val="2"/>
        </w:numPr>
        <w:spacing w:line="360" w:lineRule="auto"/>
        <w:ind w:left="360"/>
        <w:jc w:val="both"/>
        <w:rPr>
          <w:rFonts w:ascii="Century" w:hAnsi="Century" w:cs="Times New Roman"/>
          <w:b/>
          <w:bCs/>
          <w:sz w:val="24"/>
          <w:szCs w:val="24"/>
        </w:rPr>
      </w:pPr>
      <w:r>
        <w:rPr>
          <w:rFonts w:ascii="Century" w:hAnsi="Century" w:cs="Times New Roman"/>
          <w:b/>
          <w:bCs/>
          <w:sz w:val="24"/>
          <w:szCs w:val="24"/>
        </w:rPr>
        <w:t>METODE PELAKSANAAN</w:t>
      </w:r>
    </w:p>
    <w:p w14:paraId="002BB315" w14:textId="4A42359E" w:rsidR="00DB5D38" w:rsidRPr="007076D7" w:rsidRDefault="00CD6DE5"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Peneguhan paham moderat (moderasi beragama) di kalangan pemuda dilakukan </w:t>
      </w:r>
      <w:r w:rsidR="000B4176" w:rsidRPr="007076D7">
        <w:rPr>
          <w:rFonts w:ascii="Century" w:hAnsi="Century" w:cs="Times New Roman"/>
          <w:sz w:val="24"/>
          <w:szCs w:val="24"/>
        </w:rPr>
        <w:t xml:space="preserve">di </w:t>
      </w:r>
      <w:r w:rsidR="001F7369" w:rsidRPr="007076D7">
        <w:rPr>
          <w:rFonts w:ascii="Century" w:hAnsi="Century" w:cs="Times New Roman"/>
          <w:sz w:val="24"/>
          <w:szCs w:val="24"/>
        </w:rPr>
        <w:t xml:space="preserve">Masjid Al Amin, </w:t>
      </w:r>
      <w:r w:rsidR="000B4176" w:rsidRPr="007076D7">
        <w:rPr>
          <w:rFonts w:ascii="Century" w:hAnsi="Century" w:cs="Times New Roman"/>
          <w:sz w:val="24"/>
          <w:szCs w:val="24"/>
        </w:rPr>
        <w:t>Dusun Klidon Mantren</w:t>
      </w:r>
      <w:r w:rsidR="001F7369" w:rsidRPr="007076D7">
        <w:rPr>
          <w:rFonts w:ascii="Century" w:hAnsi="Century" w:cs="Times New Roman"/>
          <w:sz w:val="24"/>
          <w:szCs w:val="24"/>
        </w:rPr>
        <w:t>,</w:t>
      </w:r>
      <w:r w:rsidR="000B4176" w:rsidRPr="007076D7">
        <w:rPr>
          <w:rFonts w:ascii="Century" w:hAnsi="Century" w:cs="Times New Roman"/>
          <w:sz w:val="24"/>
          <w:szCs w:val="24"/>
        </w:rPr>
        <w:t xml:space="preserve"> Desa Sukoharjo</w:t>
      </w:r>
      <w:r w:rsidR="001F7369" w:rsidRPr="007076D7">
        <w:rPr>
          <w:rFonts w:ascii="Century" w:hAnsi="Century" w:cs="Times New Roman"/>
          <w:sz w:val="24"/>
          <w:szCs w:val="24"/>
        </w:rPr>
        <w:t>,</w:t>
      </w:r>
      <w:r w:rsidR="000B4176" w:rsidRPr="007076D7">
        <w:rPr>
          <w:rFonts w:ascii="Century" w:hAnsi="Century" w:cs="Times New Roman"/>
          <w:sz w:val="24"/>
          <w:szCs w:val="24"/>
        </w:rPr>
        <w:t xml:space="preserve"> Kecamatan Ngaglik Sleman </w:t>
      </w:r>
      <w:r w:rsidR="006C2455" w:rsidRPr="007076D7">
        <w:rPr>
          <w:rFonts w:ascii="Century" w:hAnsi="Century" w:cs="Times New Roman"/>
          <w:sz w:val="24"/>
          <w:szCs w:val="24"/>
        </w:rPr>
        <w:t xml:space="preserve">DIY </w:t>
      </w:r>
      <w:r w:rsidR="000B4176" w:rsidRPr="007076D7">
        <w:rPr>
          <w:rFonts w:ascii="Century" w:hAnsi="Century" w:cs="Times New Roman"/>
          <w:sz w:val="24"/>
          <w:szCs w:val="24"/>
        </w:rPr>
        <w:t xml:space="preserve">pada Sabtu 26 Maret 2022. Kegiatan ini melibatkan 32 </w:t>
      </w:r>
      <w:r w:rsidR="00DC42C4" w:rsidRPr="007076D7">
        <w:rPr>
          <w:rFonts w:ascii="Century" w:hAnsi="Century" w:cs="Times New Roman"/>
          <w:sz w:val="24"/>
          <w:szCs w:val="24"/>
        </w:rPr>
        <w:t xml:space="preserve">orang (22 </w:t>
      </w:r>
      <w:r w:rsidR="000B4176" w:rsidRPr="007076D7">
        <w:rPr>
          <w:rFonts w:ascii="Century" w:hAnsi="Century" w:cs="Times New Roman"/>
          <w:sz w:val="24"/>
          <w:szCs w:val="24"/>
        </w:rPr>
        <w:t>pemuda</w:t>
      </w:r>
      <w:r w:rsidR="00DC42C4" w:rsidRPr="007076D7">
        <w:rPr>
          <w:rFonts w:ascii="Century" w:hAnsi="Century" w:cs="Times New Roman"/>
          <w:sz w:val="24"/>
          <w:szCs w:val="24"/>
        </w:rPr>
        <w:t xml:space="preserve"> dan 10 pemudi)</w:t>
      </w:r>
      <w:r w:rsidR="000B4176" w:rsidRPr="007076D7">
        <w:rPr>
          <w:rFonts w:ascii="Century" w:hAnsi="Century" w:cs="Times New Roman"/>
          <w:sz w:val="24"/>
          <w:szCs w:val="24"/>
        </w:rPr>
        <w:t xml:space="preserve"> dan 5 orang warga termasuk Kepala Pedukuhan dan tokoh agama serta tokoh masyarakat. Pemuda berdasarkan kelompok umur antara 14-28 tahun. Mereka terdiri atas pelajar, mahasiswa, dan beberapa orang telah bekerja. Para pemuda tersebut pun berasal dari kampung Mantren dan ada pula yang berasal dari luar (pendatang) namun telah menetap salaam beberapa tahun di kampung ini. </w:t>
      </w:r>
      <w:r w:rsidR="00DB5D38" w:rsidRPr="007076D7">
        <w:rPr>
          <w:rFonts w:ascii="Century" w:hAnsi="Century" w:cs="Times New Roman"/>
          <w:sz w:val="24"/>
          <w:szCs w:val="24"/>
        </w:rPr>
        <w:t xml:space="preserve">Kegiatan ini sendiri dilakukan atas Kerjasama antara tim pengabdi dengan pemuda-pemudi Klidon Mantren yang memang aktif terlibat dalam berbagai kegiatan sosial dan keagamaan. Sebelum </w:t>
      </w:r>
      <w:r w:rsidR="00291191" w:rsidRPr="007076D7">
        <w:rPr>
          <w:rFonts w:ascii="Century" w:hAnsi="Century" w:cs="Times New Roman"/>
          <w:sz w:val="24"/>
          <w:szCs w:val="24"/>
        </w:rPr>
        <w:t xml:space="preserve">pandemic </w:t>
      </w:r>
      <w:r w:rsidR="00DB5D38" w:rsidRPr="007076D7">
        <w:rPr>
          <w:rFonts w:ascii="Century" w:hAnsi="Century" w:cs="Times New Roman"/>
          <w:sz w:val="24"/>
          <w:szCs w:val="24"/>
        </w:rPr>
        <w:t xml:space="preserve">Covid-19, mereka terlibat sebagai penyelenggara kegiatan peringatan Hari Kemerdekaan RI, peringatan hari besar Islam, dan kegiatan bakti sosial. </w:t>
      </w:r>
    </w:p>
    <w:p w14:paraId="0B43559F" w14:textId="5D29AF85" w:rsidR="00415E06" w:rsidRPr="007076D7" w:rsidRDefault="00DB5D38"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Kegiatan pengabdian ini di</w:t>
      </w:r>
      <w:r w:rsidR="00FD32D1" w:rsidRPr="007076D7">
        <w:rPr>
          <w:rFonts w:ascii="Century" w:hAnsi="Century" w:cs="Times New Roman"/>
          <w:sz w:val="24"/>
          <w:szCs w:val="24"/>
        </w:rPr>
        <w:t xml:space="preserve">lakukan </w:t>
      </w:r>
      <w:r w:rsidRPr="007076D7">
        <w:rPr>
          <w:rFonts w:ascii="Century" w:hAnsi="Century" w:cs="Times New Roman"/>
          <w:sz w:val="24"/>
          <w:szCs w:val="24"/>
        </w:rPr>
        <w:t xml:space="preserve">dengan format berbagi dan </w:t>
      </w:r>
      <w:r w:rsidR="00FD32D1" w:rsidRPr="007076D7">
        <w:rPr>
          <w:rFonts w:ascii="Century" w:hAnsi="Century" w:cs="Times New Roman"/>
          <w:sz w:val="24"/>
          <w:szCs w:val="24"/>
        </w:rPr>
        <w:t>diskusi</w:t>
      </w:r>
      <w:r w:rsidRPr="007076D7">
        <w:rPr>
          <w:rFonts w:ascii="Century" w:hAnsi="Century" w:cs="Times New Roman"/>
          <w:sz w:val="24"/>
          <w:szCs w:val="24"/>
        </w:rPr>
        <w:t xml:space="preserve"> secara santai</w:t>
      </w:r>
      <w:r w:rsidR="001F7369" w:rsidRPr="007076D7">
        <w:rPr>
          <w:rFonts w:ascii="Century" w:hAnsi="Century" w:cs="Times New Roman"/>
          <w:sz w:val="24"/>
          <w:szCs w:val="24"/>
        </w:rPr>
        <w:t>.</w:t>
      </w:r>
      <w:r w:rsidRPr="007076D7">
        <w:rPr>
          <w:rFonts w:ascii="Century" w:hAnsi="Century" w:cs="Times New Roman"/>
          <w:sz w:val="24"/>
          <w:szCs w:val="24"/>
        </w:rPr>
        <w:t xml:space="preserve"> Kegiatan inti dibagi menjadi dua sesi, yaitu penyampaian materi dan tanya jawab.</w:t>
      </w:r>
      <w:r w:rsidR="00FD32D1" w:rsidRPr="007076D7">
        <w:rPr>
          <w:rFonts w:ascii="Century" w:hAnsi="Century" w:cs="Times New Roman"/>
          <w:sz w:val="24"/>
          <w:szCs w:val="24"/>
        </w:rPr>
        <w:t xml:space="preserve"> Penyampaian materi berlangsung selama 45 menit </w:t>
      </w:r>
      <w:r w:rsidR="000B4176" w:rsidRPr="007076D7">
        <w:rPr>
          <w:rFonts w:ascii="Century" w:hAnsi="Century" w:cs="Times New Roman"/>
          <w:sz w:val="24"/>
          <w:szCs w:val="24"/>
        </w:rPr>
        <w:t>dan</w:t>
      </w:r>
      <w:r w:rsidR="00FD32D1" w:rsidRPr="007076D7">
        <w:rPr>
          <w:rFonts w:ascii="Century" w:hAnsi="Century" w:cs="Times New Roman"/>
          <w:sz w:val="24"/>
          <w:szCs w:val="24"/>
        </w:rPr>
        <w:t xml:space="preserve"> dilanjutkan dengan tanya jawab</w:t>
      </w:r>
      <w:r w:rsidR="000B4176" w:rsidRPr="007076D7">
        <w:rPr>
          <w:rFonts w:ascii="Century" w:hAnsi="Century" w:cs="Times New Roman"/>
          <w:sz w:val="24"/>
          <w:szCs w:val="24"/>
        </w:rPr>
        <w:t xml:space="preserve"> selama 30 menit</w:t>
      </w:r>
      <w:r w:rsidR="00FD32D1" w:rsidRPr="007076D7">
        <w:rPr>
          <w:rFonts w:ascii="Century" w:hAnsi="Century" w:cs="Times New Roman"/>
          <w:sz w:val="24"/>
          <w:szCs w:val="24"/>
        </w:rPr>
        <w:t>. Secara singkat, pelaksanaan acara</w:t>
      </w:r>
      <w:r w:rsidR="00523F45" w:rsidRPr="007076D7">
        <w:rPr>
          <w:rFonts w:ascii="Century" w:hAnsi="Century" w:cs="Times New Roman"/>
          <w:sz w:val="24"/>
          <w:szCs w:val="24"/>
        </w:rPr>
        <w:t xml:space="preserve"> ini dilaksanakan melalui </w:t>
      </w:r>
      <w:r w:rsidR="00415E06" w:rsidRPr="007076D7">
        <w:rPr>
          <w:rFonts w:ascii="Century" w:hAnsi="Century" w:cs="Times New Roman"/>
          <w:sz w:val="24"/>
          <w:szCs w:val="24"/>
        </w:rPr>
        <w:t xml:space="preserve">dua </w:t>
      </w:r>
      <w:r w:rsidR="00523F45" w:rsidRPr="007076D7">
        <w:rPr>
          <w:rFonts w:ascii="Century" w:hAnsi="Century" w:cs="Times New Roman"/>
          <w:sz w:val="24"/>
          <w:szCs w:val="24"/>
        </w:rPr>
        <w:t>tahap</w:t>
      </w:r>
      <w:r w:rsidR="00415E06" w:rsidRPr="007076D7">
        <w:rPr>
          <w:rFonts w:ascii="Century" w:hAnsi="Century" w:cs="Times New Roman"/>
          <w:sz w:val="24"/>
          <w:szCs w:val="24"/>
        </w:rPr>
        <w:t>.</w:t>
      </w:r>
      <w:r w:rsidR="001F7369" w:rsidRPr="007076D7">
        <w:rPr>
          <w:rFonts w:ascii="Century" w:hAnsi="Century" w:cs="Times New Roman"/>
          <w:sz w:val="24"/>
          <w:szCs w:val="24"/>
        </w:rPr>
        <w:t xml:space="preserve"> </w:t>
      </w:r>
      <w:r w:rsidR="00415E06" w:rsidRPr="007076D7">
        <w:rPr>
          <w:rFonts w:ascii="Century" w:hAnsi="Century" w:cs="Times New Roman"/>
          <w:i/>
          <w:iCs/>
          <w:sz w:val="24"/>
          <w:szCs w:val="24"/>
        </w:rPr>
        <w:t xml:space="preserve">Pertama, </w:t>
      </w:r>
      <w:r w:rsidR="00415E06" w:rsidRPr="007076D7">
        <w:rPr>
          <w:rFonts w:ascii="Century" w:hAnsi="Century" w:cs="Times New Roman"/>
          <w:sz w:val="24"/>
          <w:szCs w:val="24"/>
        </w:rPr>
        <w:t>p</w:t>
      </w:r>
      <w:r w:rsidR="00B51443" w:rsidRPr="007076D7">
        <w:rPr>
          <w:rFonts w:ascii="Century" w:hAnsi="Century" w:cs="Times New Roman"/>
          <w:sz w:val="24"/>
          <w:szCs w:val="24"/>
        </w:rPr>
        <w:t xml:space="preserve">enyampaian materi. </w:t>
      </w:r>
      <w:r w:rsidR="00523F45" w:rsidRPr="007076D7">
        <w:rPr>
          <w:rFonts w:ascii="Century" w:hAnsi="Century" w:cs="Times New Roman"/>
          <w:sz w:val="24"/>
          <w:szCs w:val="24"/>
        </w:rPr>
        <w:t>Metode yang</w:t>
      </w:r>
      <w:r w:rsidR="00291191" w:rsidRPr="007076D7">
        <w:rPr>
          <w:rFonts w:ascii="Century" w:hAnsi="Century" w:cs="Times New Roman"/>
          <w:sz w:val="24"/>
          <w:szCs w:val="24"/>
        </w:rPr>
        <w:t xml:space="preserve"> </w:t>
      </w:r>
      <w:r w:rsidR="00523F45" w:rsidRPr="007076D7">
        <w:rPr>
          <w:rFonts w:ascii="Century" w:hAnsi="Century" w:cs="Times New Roman"/>
          <w:sz w:val="24"/>
          <w:szCs w:val="24"/>
        </w:rPr>
        <w:t>di</w:t>
      </w:r>
      <w:r w:rsidR="00B51443" w:rsidRPr="007076D7">
        <w:rPr>
          <w:rFonts w:ascii="Century" w:hAnsi="Century" w:cs="Times New Roman"/>
          <w:sz w:val="24"/>
          <w:szCs w:val="24"/>
        </w:rPr>
        <w:t>gunakan</w:t>
      </w:r>
      <w:r w:rsidR="00523F45" w:rsidRPr="007076D7">
        <w:rPr>
          <w:rFonts w:ascii="Century" w:hAnsi="Century" w:cs="Times New Roman"/>
          <w:sz w:val="24"/>
          <w:szCs w:val="24"/>
        </w:rPr>
        <w:t xml:space="preserve"> dalam proses kegiatan ini adalah metode belajar orang dewasa dengan model sosialisasi dimana terdapat interaksi antara narasumber dengan kalangan pemuda sebagai peserta. Kalangan pemuda akan diberikan materi pengayaan terlebih dahulu tentang teori, konsep dan kasus aplikatif dalam memahami paham moderat beragama di lingkungan masyarakat</w:t>
      </w:r>
      <w:r w:rsidR="00FD32D1" w:rsidRPr="007076D7">
        <w:rPr>
          <w:rFonts w:ascii="Century" w:hAnsi="Century" w:cs="Times New Roman"/>
          <w:sz w:val="24"/>
          <w:szCs w:val="24"/>
        </w:rPr>
        <w:t xml:space="preserve">. </w:t>
      </w:r>
      <w:r w:rsidRPr="007076D7">
        <w:rPr>
          <w:rFonts w:ascii="Century" w:hAnsi="Century" w:cs="Times New Roman"/>
          <w:sz w:val="24"/>
          <w:szCs w:val="24"/>
        </w:rPr>
        <w:t xml:space="preserve">Narasumber, Dr. </w:t>
      </w:r>
      <w:r w:rsidRPr="007076D7">
        <w:rPr>
          <w:rFonts w:ascii="Century" w:hAnsi="Century" w:cs="Times New Roman"/>
          <w:sz w:val="24"/>
          <w:szCs w:val="24"/>
        </w:rPr>
        <w:lastRenderedPageBreak/>
        <w:t>Aris Fauzan, MA, menyampaikan materi dalam bentuk ceramah yang dilengkapi dengan presentasi. Di sela-sela materi, narasumber membuka kesempatan kepada pemuda da</w:t>
      </w:r>
      <w:r w:rsidR="00B51443" w:rsidRPr="007076D7">
        <w:rPr>
          <w:rFonts w:ascii="Century" w:hAnsi="Century" w:cs="Times New Roman"/>
          <w:sz w:val="24"/>
          <w:szCs w:val="24"/>
        </w:rPr>
        <w:t>n pemudi untuk bertanya. Demikian pula, ia melemparkan pertanyaan ringan kepada hadirin yang tidak sering mengundang tawa sehingga suasana berjalan dengan cair.</w:t>
      </w:r>
    </w:p>
    <w:tbl>
      <w:tblPr>
        <w:tblStyle w:val="TableGrid"/>
        <w:tblW w:w="0" w:type="auto"/>
        <w:tblLook w:val="04A0" w:firstRow="1" w:lastRow="0" w:firstColumn="1" w:lastColumn="0" w:noHBand="0" w:noVBand="1"/>
      </w:tblPr>
      <w:tblGrid>
        <w:gridCol w:w="4074"/>
        <w:gridCol w:w="4222"/>
      </w:tblGrid>
      <w:tr w:rsidR="00C06D0F" w:rsidRPr="007076D7" w14:paraId="06A1BD90" w14:textId="77777777" w:rsidTr="00C06D0F">
        <w:tc>
          <w:tcPr>
            <w:tcW w:w="4148" w:type="dxa"/>
          </w:tcPr>
          <w:p w14:paraId="40BFD018" w14:textId="4269DC20" w:rsidR="00C06D0F" w:rsidRPr="007076D7" w:rsidRDefault="00C06D0F" w:rsidP="00F01DD7">
            <w:pPr>
              <w:spacing w:line="360" w:lineRule="auto"/>
              <w:jc w:val="center"/>
              <w:rPr>
                <w:rFonts w:ascii="Century" w:hAnsi="Century" w:cs="Times New Roman"/>
                <w:sz w:val="24"/>
                <w:szCs w:val="24"/>
              </w:rPr>
            </w:pPr>
            <w:r w:rsidRPr="007076D7">
              <w:rPr>
                <w:rFonts w:ascii="Century" w:hAnsi="Century"/>
                <w:noProof/>
                <w:sz w:val="24"/>
                <w:szCs w:val="24"/>
              </w:rPr>
              <w:drawing>
                <wp:inline distT="0" distB="0" distL="0" distR="0" wp14:anchorId="548F1873" wp14:editId="7E14AB93">
                  <wp:extent cx="2469515" cy="2660373"/>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821" b="14385"/>
                          <a:stretch/>
                        </pic:blipFill>
                        <pic:spPr bwMode="auto">
                          <a:xfrm>
                            <a:off x="0" y="0"/>
                            <a:ext cx="2481199" cy="2672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8" w:type="dxa"/>
          </w:tcPr>
          <w:p w14:paraId="199F12D2" w14:textId="639D17EB" w:rsidR="00C06D0F" w:rsidRPr="007076D7" w:rsidRDefault="00C06D0F" w:rsidP="00F01DD7">
            <w:pPr>
              <w:spacing w:line="360" w:lineRule="auto"/>
              <w:jc w:val="center"/>
              <w:rPr>
                <w:rFonts w:ascii="Century" w:hAnsi="Century" w:cs="Times New Roman"/>
                <w:sz w:val="24"/>
                <w:szCs w:val="24"/>
              </w:rPr>
            </w:pPr>
            <w:r w:rsidRPr="007076D7">
              <w:rPr>
                <w:rFonts w:ascii="Century" w:hAnsi="Century"/>
                <w:noProof/>
                <w:sz w:val="24"/>
                <w:szCs w:val="24"/>
              </w:rPr>
              <w:drawing>
                <wp:inline distT="0" distB="0" distL="0" distR="0" wp14:anchorId="03F0ED4E" wp14:editId="7A50EAA2">
                  <wp:extent cx="2564765" cy="26600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984"/>
                          <a:stretch/>
                        </pic:blipFill>
                        <pic:spPr bwMode="auto">
                          <a:xfrm>
                            <a:off x="0" y="0"/>
                            <a:ext cx="2604055" cy="27007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06D0F" w:rsidRPr="007076D7" w14:paraId="24E37D85" w14:textId="77777777" w:rsidTr="00C06D0F">
        <w:tc>
          <w:tcPr>
            <w:tcW w:w="4148" w:type="dxa"/>
          </w:tcPr>
          <w:p w14:paraId="05F1E46E" w14:textId="0970A495" w:rsidR="00C06D0F" w:rsidRPr="007076D7" w:rsidRDefault="00C06D0F" w:rsidP="00F01DD7">
            <w:pPr>
              <w:spacing w:line="360" w:lineRule="auto"/>
              <w:jc w:val="center"/>
              <w:rPr>
                <w:rFonts w:ascii="Century" w:hAnsi="Century" w:cs="Times New Roman"/>
                <w:sz w:val="24"/>
                <w:szCs w:val="24"/>
              </w:rPr>
            </w:pPr>
            <w:r w:rsidRPr="007076D7">
              <w:rPr>
                <w:rFonts w:ascii="Century" w:hAnsi="Century" w:cs="Times New Roman"/>
                <w:sz w:val="24"/>
                <w:szCs w:val="24"/>
              </w:rPr>
              <w:t>Foto 1. Penyampaian Materi</w:t>
            </w:r>
          </w:p>
        </w:tc>
        <w:tc>
          <w:tcPr>
            <w:tcW w:w="4148" w:type="dxa"/>
          </w:tcPr>
          <w:p w14:paraId="2BD4FC65" w14:textId="225AD4AD" w:rsidR="00C06D0F" w:rsidRPr="007076D7" w:rsidRDefault="00C06D0F" w:rsidP="00F01DD7">
            <w:pPr>
              <w:spacing w:line="360" w:lineRule="auto"/>
              <w:jc w:val="center"/>
              <w:rPr>
                <w:rFonts w:ascii="Century" w:hAnsi="Century" w:cs="Times New Roman"/>
                <w:sz w:val="24"/>
                <w:szCs w:val="24"/>
              </w:rPr>
            </w:pPr>
            <w:r w:rsidRPr="007076D7">
              <w:rPr>
                <w:rFonts w:ascii="Century" w:hAnsi="Century" w:cs="Times New Roman"/>
                <w:sz w:val="24"/>
                <w:szCs w:val="24"/>
              </w:rPr>
              <w:t>Foto 2. Pemudi Menyimak Materi</w:t>
            </w:r>
          </w:p>
        </w:tc>
      </w:tr>
    </w:tbl>
    <w:p w14:paraId="2AC1A327" w14:textId="77777777" w:rsidR="00415E06" w:rsidRPr="007076D7" w:rsidRDefault="00415E06" w:rsidP="00F01DD7">
      <w:pPr>
        <w:spacing w:line="360" w:lineRule="auto"/>
        <w:ind w:firstLine="720"/>
        <w:jc w:val="both"/>
        <w:rPr>
          <w:rFonts w:ascii="Century" w:hAnsi="Century" w:cs="Times New Roman"/>
          <w:sz w:val="24"/>
          <w:szCs w:val="24"/>
        </w:rPr>
      </w:pPr>
    </w:p>
    <w:p w14:paraId="2D67106A" w14:textId="27DFF2F7" w:rsidR="00523F45" w:rsidRPr="007076D7" w:rsidRDefault="00415E06" w:rsidP="00F01DD7">
      <w:pPr>
        <w:spacing w:line="360" w:lineRule="auto"/>
        <w:ind w:firstLine="720"/>
        <w:jc w:val="both"/>
        <w:rPr>
          <w:rFonts w:ascii="Century" w:hAnsi="Century" w:cs="Times New Roman"/>
          <w:sz w:val="24"/>
          <w:szCs w:val="24"/>
        </w:rPr>
      </w:pPr>
      <w:r w:rsidRPr="007076D7">
        <w:rPr>
          <w:rFonts w:ascii="Century" w:hAnsi="Century" w:cs="Times New Roman"/>
          <w:i/>
          <w:iCs/>
          <w:sz w:val="24"/>
          <w:szCs w:val="24"/>
        </w:rPr>
        <w:t xml:space="preserve">Kedua, </w:t>
      </w:r>
      <w:r w:rsidRPr="007076D7">
        <w:rPr>
          <w:rFonts w:ascii="Century" w:hAnsi="Century" w:cs="Times New Roman"/>
          <w:sz w:val="24"/>
          <w:szCs w:val="24"/>
        </w:rPr>
        <w:t>t</w:t>
      </w:r>
      <w:r w:rsidR="00B51443" w:rsidRPr="007076D7">
        <w:rPr>
          <w:rFonts w:ascii="Century" w:hAnsi="Century" w:cs="Times New Roman"/>
          <w:sz w:val="24"/>
          <w:szCs w:val="24"/>
        </w:rPr>
        <w:t xml:space="preserve">anya jawab. </w:t>
      </w:r>
      <w:r w:rsidR="00FD32D1" w:rsidRPr="007076D7">
        <w:rPr>
          <w:rFonts w:ascii="Century" w:hAnsi="Century" w:cs="Times New Roman"/>
          <w:sz w:val="24"/>
          <w:szCs w:val="24"/>
        </w:rPr>
        <w:t>Membuka kesempata</w:t>
      </w:r>
      <w:r w:rsidR="00291191" w:rsidRPr="007076D7">
        <w:rPr>
          <w:rFonts w:ascii="Century" w:hAnsi="Century" w:cs="Times New Roman"/>
          <w:sz w:val="24"/>
          <w:szCs w:val="24"/>
        </w:rPr>
        <w:t xml:space="preserve">n </w:t>
      </w:r>
      <w:r w:rsidR="00FD32D1" w:rsidRPr="007076D7">
        <w:rPr>
          <w:rFonts w:ascii="Century" w:hAnsi="Century" w:cs="Times New Roman"/>
          <w:sz w:val="24"/>
          <w:szCs w:val="24"/>
        </w:rPr>
        <w:t xml:space="preserve">kepada seluruh pemuda untuk mengajukan pertanyaan atau komentar mengenai moderasi beragama. Di antara pemuda, ada yang menanyakan mengenai sikap bergaul dengan pemeluk agama lain. Menurutnya, keberadaan tetangga yang berbeda agama tidak mungkin dianggap sebagai sesuatu yang berbahaya. Sebab, mereka juga makhluk ciptaan Tuhan yang diberi sejumlah hak yang sama dengan makhluk atau manusia lainnya. </w:t>
      </w:r>
      <w:r w:rsidR="00B51443" w:rsidRPr="007076D7">
        <w:rPr>
          <w:rFonts w:ascii="Century" w:hAnsi="Century" w:cs="Times New Roman"/>
          <w:sz w:val="24"/>
          <w:szCs w:val="24"/>
        </w:rPr>
        <w:t xml:space="preserve">Ada pula di antara mereka bertanya mengenai esensi moderasi beragama itu sendiri. Baginya, sangat sulit menanggapi berbagai peristiwa dengan tidak memihak. Sebagai seorang Muslim misalnya, apakah klaim bahwa hanya agama Islamlah yang paling benar dianggap salah? Lalu, bagaimana sikap sebagai seorang Muslim yang baik terkait dengan hal ini agar orang lain </w:t>
      </w:r>
      <w:r w:rsidR="00B51443" w:rsidRPr="007076D7">
        <w:rPr>
          <w:rFonts w:ascii="Century" w:hAnsi="Century" w:cs="Times New Roman"/>
          <w:sz w:val="24"/>
          <w:szCs w:val="24"/>
        </w:rPr>
        <w:lastRenderedPageBreak/>
        <w:t>(pemeluk agama lain) tidak marah? Demikian beberapa pertanyaan yang muncul dari para peserta (pemuda-pemudi).</w:t>
      </w:r>
    </w:p>
    <w:tbl>
      <w:tblPr>
        <w:tblStyle w:val="TableGrid"/>
        <w:tblW w:w="0" w:type="auto"/>
        <w:tblLook w:val="04A0" w:firstRow="1" w:lastRow="0" w:firstColumn="1" w:lastColumn="0" w:noHBand="0" w:noVBand="1"/>
      </w:tblPr>
      <w:tblGrid>
        <w:gridCol w:w="4059"/>
        <w:gridCol w:w="4237"/>
      </w:tblGrid>
      <w:tr w:rsidR="007F1B24" w:rsidRPr="007076D7" w14:paraId="1E88B520" w14:textId="77777777" w:rsidTr="00C310F3">
        <w:tc>
          <w:tcPr>
            <w:tcW w:w="4059" w:type="dxa"/>
          </w:tcPr>
          <w:p w14:paraId="0D9B49B4" w14:textId="77777777" w:rsidR="007F1B24" w:rsidRPr="007076D7" w:rsidRDefault="007F1B24" w:rsidP="00F01DD7">
            <w:pPr>
              <w:spacing w:line="360" w:lineRule="auto"/>
              <w:jc w:val="both"/>
              <w:rPr>
                <w:rFonts w:ascii="Century" w:hAnsi="Century" w:cs="Times New Roman"/>
                <w:noProof/>
                <w:sz w:val="24"/>
                <w:szCs w:val="24"/>
              </w:rPr>
            </w:pPr>
          </w:p>
          <w:p w14:paraId="3697502E" w14:textId="79CECCFF" w:rsidR="00020D99" w:rsidRPr="007076D7" w:rsidRDefault="007F1B24" w:rsidP="00F01DD7">
            <w:pPr>
              <w:spacing w:line="360" w:lineRule="auto"/>
              <w:jc w:val="both"/>
              <w:rPr>
                <w:rFonts w:ascii="Century" w:hAnsi="Century" w:cs="Times New Roman"/>
                <w:sz w:val="24"/>
                <w:szCs w:val="24"/>
              </w:rPr>
            </w:pPr>
            <w:r w:rsidRPr="007076D7">
              <w:rPr>
                <w:rFonts w:ascii="Century" w:hAnsi="Century" w:cs="Times New Roman"/>
                <w:noProof/>
                <w:sz w:val="24"/>
                <w:szCs w:val="24"/>
              </w:rPr>
              <w:drawing>
                <wp:inline distT="0" distB="0" distL="0" distR="0" wp14:anchorId="374A1A02" wp14:editId="3CFECABE">
                  <wp:extent cx="2469515" cy="1980491"/>
                  <wp:effectExtent l="0" t="0" r="698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97" r="25139"/>
                          <a:stretch/>
                        </pic:blipFill>
                        <pic:spPr bwMode="auto">
                          <a:xfrm>
                            <a:off x="0" y="0"/>
                            <a:ext cx="2488102" cy="19953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37" w:type="dxa"/>
          </w:tcPr>
          <w:p w14:paraId="4195DB08" w14:textId="77777777" w:rsidR="007F1B24" w:rsidRPr="007076D7" w:rsidRDefault="007F1B24" w:rsidP="00F01DD7">
            <w:pPr>
              <w:spacing w:line="360" w:lineRule="auto"/>
              <w:jc w:val="both"/>
              <w:rPr>
                <w:rFonts w:ascii="Century" w:hAnsi="Century" w:cs="Times New Roman"/>
                <w:noProof/>
                <w:sz w:val="24"/>
                <w:szCs w:val="24"/>
              </w:rPr>
            </w:pPr>
          </w:p>
          <w:p w14:paraId="65EBB4EC" w14:textId="5D9F4138" w:rsidR="00020D99" w:rsidRPr="007076D7" w:rsidRDefault="005F5B5F" w:rsidP="00F01DD7">
            <w:pPr>
              <w:spacing w:line="360" w:lineRule="auto"/>
              <w:jc w:val="both"/>
              <w:rPr>
                <w:rFonts w:ascii="Century" w:hAnsi="Century" w:cs="Times New Roman"/>
                <w:sz w:val="24"/>
                <w:szCs w:val="24"/>
              </w:rPr>
            </w:pPr>
            <w:r w:rsidRPr="007076D7">
              <w:rPr>
                <w:rFonts w:ascii="Century" w:hAnsi="Century" w:cs="Times New Roman"/>
                <w:noProof/>
                <w:sz w:val="24"/>
                <w:szCs w:val="24"/>
              </w:rPr>
              <w:drawing>
                <wp:inline distT="0" distB="0" distL="0" distR="0" wp14:anchorId="0EF1106F" wp14:editId="7A7F807E">
                  <wp:extent cx="2590165" cy="198056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412" r="16168"/>
                          <a:stretch/>
                        </pic:blipFill>
                        <pic:spPr bwMode="auto">
                          <a:xfrm>
                            <a:off x="0" y="0"/>
                            <a:ext cx="2620502" cy="200376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F1B24" w:rsidRPr="007076D7" w14:paraId="2B32F2C4" w14:textId="77777777" w:rsidTr="00C310F3">
        <w:tc>
          <w:tcPr>
            <w:tcW w:w="4059" w:type="dxa"/>
          </w:tcPr>
          <w:p w14:paraId="7D995BF8" w14:textId="104D36BE" w:rsidR="00020D99" w:rsidRPr="007076D7" w:rsidRDefault="007F1B24" w:rsidP="00F01DD7">
            <w:pPr>
              <w:spacing w:line="360" w:lineRule="auto"/>
              <w:jc w:val="center"/>
              <w:rPr>
                <w:rFonts w:ascii="Century" w:hAnsi="Century" w:cs="Times New Roman"/>
                <w:sz w:val="24"/>
                <w:szCs w:val="24"/>
              </w:rPr>
            </w:pPr>
            <w:r w:rsidRPr="007076D7">
              <w:rPr>
                <w:rFonts w:ascii="Century" w:hAnsi="Century" w:cs="Times New Roman"/>
                <w:sz w:val="24"/>
                <w:szCs w:val="24"/>
              </w:rPr>
              <w:t>Foto 4. Suasana Pengajian/Ceramah</w:t>
            </w:r>
          </w:p>
        </w:tc>
        <w:tc>
          <w:tcPr>
            <w:tcW w:w="4237" w:type="dxa"/>
          </w:tcPr>
          <w:p w14:paraId="7F6A4701" w14:textId="235EAB0F" w:rsidR="00020D99" w:rsidRPr="007076D7" w:rsidRDefault="007F1B24" w:rsidP="00F01DD7">
            <w:pPr>
              <w:spacing w:line="360" w:lineRule="auto"/>
              <w:jc w:val="center"/>
              <w:rPr>
                <w:rFonts w:ascii="Century" w:hAnsi="Century" w:cs="Times New Roman"/>
                <w:sz w:val="24"/>
                <w:szCs w:val="24"/>
              </w:rPr>
            </w:pPr>
            <w:r w:rsidRPr="007076D7">
              <w:rPr>
                <w:rFonts w:ascii="Century" w:hAnsi="Century" w:cs="Times New Roman"/>
                <w:sz w:val="24"/>
                <w:szCs w:val="24"/>
              </w:rPr>
              <w:t>Foto 5. Suasana Pengajian/Ceramah</w:t>
            </w:r>
          </w:p>
        </w:tc>
      </w:tr>
    </w:tbl>
    <w:p w14:paraId="77987625" w14:textId="77777777" w:rsidR="00C06D0F" w:rsidRPr="007076D7" w:rsidRDefault="00C06D0F" w:rsidP="00F01DD7">
      <w:pPr>
        <w:spacing w:line="360" w:lineRule="auto"/>
        <w:ind w:firstLine="720"/>
        <w:jc w:val="both"/>
        <w:rPr>
          <w:rFonts w:ascii="Century" w:hAnsi="Century" w:cs="Times New Roman"/>
          <w:sz w:val="24"/>
          <w:szCs w:val="24"/>
        </w:rPr>
      </w:pPr>
    </w:p>
    <w:p w14:paraId="59DAB380" w14:textId="1219B9AF" w:rsidR="00875B89" w:rsidRPr="007076D7" w:rsidRDefault="00875B89"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Selain pemuda dan pemudi, kegiatan ini juga dihadiri oleh tokoh masyarakat dan tokoh agama. Acara dibuka oleh pembawa acara kemudian dilanjutkan dengan sambutan oleh Ketua Tim Pengabdi. Kemudian, </w:t>
      </w:r>
      <w:r w:rsidR="000E270B" w:rsidRPr="007076D7">
        <w:rPr>
          <w:rFonts w:ascii="Century" w:hAnsi="Century" w:cs="Times New Roman"/>
          <w:sz w:val="24"/>
          <w:szCs w:val="24"/>
        </w:rPr>
        <w:t>Kepala Pedukuhan Klidon juga menyampaikan sambutannya. Dalam sambutannya, Ibu Manda, menyampaikan apresiasi yang tinggi kepada Universitas Muhammadiyah Yogyakarta melalui adanya program Pengabdian Kepada Masyarakat (PKM) di wilayah kerjanya. Bapak Suyadi, tokoh masyarakat Mantren juga mencurahkan pendapatnya. Ia dengan terbuka menyatakan bahwa:</w:t>
      </w:r>
    </w:p>
    <w:p w14:paraId="7FF51BD4" w14:textId="488EB5D0" w:rsidR="000E270B" w:rsidRPr="007076D7" w:rsidRDefault="000E270B" w:rsidP="003D4A12">
      <w:pPr>
        <w:spacing w:line="240" w:lineRule="auto"/>
        <w:ind w:left="720"/>
        <w:jc w:val="both"/>
        <w:rPr>
          <w:rFonts w:ascii="Century" w:hAnsi="Century" w:cs="Times New Roman"/>
          <w:sz w:val="24"/>
          <w:szCs w:val="24"/>
        </w:rPr>
      </w:pPr>
      <w:r w:rsidRPr="007076D7">
        <w:rPr>
          <w:rFonts w:ascii="Century" w:hAnsi="Century" w:cs="Times New Roman"/>
          <w:sz w:val="24"/>
          <w:szCs w:val="24"/>
        </w:rPr>
        <w:t xml:space="preserve">“Kegiatan seperti ini baru terjadi pertama kali di kampung Mantren. Ini adalah acara yang luar biasa bagi kami warga kampung. Saya pribadi mengharapkan agar masih ada kelanjutan kegiatan ini di masa mendatang”. </w:t>
      </w:r>
    </w:p>
    <w:p w14:paraId="25E1B64B" w14:textId="3FB112F4" w:rsidR="000E270B" w:rsidRPr="007076D7" w:rsidRDefault="000E270B" w:rsidP="00F01DD7">
      <w:pPr>
        <w:spacing w:line="360" w:lineRule="auto"/>
        <w:jc w:val="both"/>
        <w:rPr>
          <w:rFonts w:ascii="Century" w:hAnsi="Century" w:cs="Times New Roman"/>
          <w:sz w:val="24"/>
          <w:szCs w:val="24"/>
        </w:rPr>
      </w:pPr>
      <w:r w:rsidRPr="007076D7">
        <w:rPr>
          <w:rFonts w:ascii="Century" w:hAnsi="Century" w:cs="Times New Roman"/>
          <w:sz w:val="24"/>
          <w:szCs w:val="24"/>
        </w:rPr>
        <w:t xml:space="preserve">Selain Bapak Suyadi, salah seorang tokoh agama sekaligus Ketua Takmir Masjid Al Amin, Bapak Djayusman, menyatakan hal yang sama. Ia sangat berterima kasih dengan adanya kegiatan yang membuka wawasan bagi </w:t>
      </w:r>
      <w:r w:rsidR="00A737ED" w:rsidRPr="007076D7">
        <w:rPr>
          <w:rFonts w:ascii="Century" w:hAnsi="Century" w:cs="Times New Roman"/>
          <w:sz w:val="24"/>
          <w:szCs w:val="24"/>
        </w:rPr>
        <w:t xml:space="preserve">warga khususnya para pemuda dan pemudi. </w:t>
      </w:r>
    </w:p>
    <w:p w14:paraId="0730F7EE" w14:textId="28E2093C" w:rsidR="00A737ED" w:rsidRPr="007076D7" w:rsidRDefault="00A737ED" w:rsidP="003D4A12">
      <w:pPr>
        <w:spacing w:line="240" w:lineRule="auto"/>
        <w:ind w:left="720"/>
        <w:jc w:val="both"/>
        <w:rPr>
          <w:rFonts w:ascii="Century" w:hAnsi="Century" w:cs="Times New Roman"/>
          <w:sz w:val="24"/>
          <w:szCs w:val="24"/>
        </w:rPr>
      </w:pPr>
      <w:r w:rsidRPr="007076D7">
        <w:rPr>
          <w:rFonts w:ascii="Century" w:hAnsi="Century" w:cs="Times New Roman"/>
          <w:sz w:val="24"/>
          <w:szCs w:val="24"/>
        </w:rPr>
        <w:lastRenderedPageBreak/>
        <w:t xml:space="preserve">“Kegiatan seperti ini harus digalakkan karena sangat bermanfaat untuk kita semua. Kita telah diberikan pengetahuan mengenai bagaimana bersikap, bagaimana beragama dengan baik agar kita semua hidup damai. Ini program yang harus dilanjutkan jika memang bisa”. </w:t>
      </w:r>
    </w:p>
    <w:p w14:paraId="686CD9AC" w14:textId="52423E81" w:rsidR="00EB40BF" w:rsidRPr="007076D7" w:rsidRDefault="00A737ED" w:rsidP="00F01DD7">
      <w:pPr>
        <w:spacing w:line="360" w:lineRule="auto"/>
        <w:jc w:val="both"/>
        <w:rPr>
          <w:rFonts w:ascii="Century" w:hAnsi="Century" w:cs="Times New Roman"/>
          <w:sz w:val="24"/>
          <w:szCs w:val="24"/>
        </w:rPr>
      </w:pPr>
      <w:r w:rsidRPr="007076D7">
        <w:rPr>
          <w:rFonts w:ascii="Century" w:hAnsi="Century" w:cs="Times New Roman"/>
          <w:sz w:val="24"/>
          <w:szCs w:val="24"/>
        </w:rPr>
        <w:t>Setelah penyampaian beberapa pesan dari Kepala Pedukuhan, Tokoh Agama, dan Tokoh Masyarakat kegiatan kemudian acara dilanju</w:t>
      </w:r>
      <w:r w:rsidR="00262EE4" w:rsidRPr="007076D7">
        <w:rPr>
          <w:rFonts w:ascii="Century" w:hAnsi="Century" w:cs="Times New Roman"/>
          <w:sz w:val="24"/>
          <w:szCs w:val="24"/>
        </w:rPr>
        <w:t>t</w:t>
      </w:r>
      <w:r w:rsidRPr="007076D7">
        <w:rPr>
          <w:rFonts w:ascii="Century" w:hAnsi="Century" w:cs="Times New Roman"/>
          <w:sz w:val="24"/>
          <w:szCs w:val="24"/>
        </w:rPr>
        <w:t xml:space="preserve">kan kembali. Tim Pengabdi dari Universitas Muhammadiyah Yogyakarta menyerahkan “Kado” kepada pemuda-pemudi Mantren untuk mendukung pendanaan kegiatan selanjutnya. Acara kemudian ditutup oleh pembawa acara yang dilanjutkan dengan sesi foto sersama.   </w:t>
      </w:r>
    </w:p>
    <w:tbl>
      <w:tblPr>
        <w:tblStyle w:val="TableGrid"/>
        <w:tblW w:w="0" w:type="auto"/>
        <w:tblLook w:val="04A0" w:firstRow="1" w:lastRow="0" w:firstColumn="1" w:lastColumn="0" w:noHBand="0" w:noVBand="1"/>
      </w:tblPr>
      <w:tblGrid>
        <w:gridCol w:w="3768"/>
        <w:gridCol w:w="4528"/>
      </w:tblGrid>
      <w:tr w:rsidR="007E4E19" w:rsidRPr="007076D7" w14:paraId="0C342096" w14:textId="77777777" w:rsidTr="007E4E19">
        <w:tc>
          <w:tcPr>
            <w:tcW w:w="4148" w:type="dxa"/>
          </w:tcPr>
          <w:p w14:paraId="0947B957" w14:textId="1DF45D09" w:rsidR="007E4E19" w:rsidRPr="007076D7" w:rsidRDefault="007E4E19" w:rsidP="00F01DD7">
            <w:pPr>
              <w:spacing w:line="360" w:lineRule="auto"/>
              <w:jc w:val="center"/>
              <w:rPr>
                <w:rFonts w:ascii="Century" w:hAnsi="Century" w:cs="Times New Roman"/>
                <w:sz w:val="24"/>
                <w:szCs w:val="24"/>
              </w:rPr>
            </w:pPr>
            <w:r w:rsidRPr="007076D7">
              <w:rPr>
                <w:rFonts w:ascii="Century" w:hAnsi="Century"/>
                <w:noProof/>
                <w:sz w:val="24"/>
                <w:szCs w:val="24"/>
              </w:rPr>
              <w:drawing>
                <wp:inline distT="0" distB="0" distL="0" distR="0" wp14:anchorId="4FDD7B52" wp14:editId="276E5911">
                  <wp:extent cx="2275840" cy="2557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a:extLst>
                              <a:ext uri="{28A0092B-C50C-407E-A947-70E740481C1C}">
                                <a14:useLocalDpi xmlns:a14="http://schemas.microsoft.com/office/drawing/2010/main" val="0"/>
                              </a:ext>
                            </a:extLst>
                          </a:blip>
                          <a:srcRect l="18300" t="30248" r="20781" b="23658"/>
                          <a:stretch/>
                        </pic:blipFill>
                        <pic:spPr bwMode="auto">
                          <a:xfrm>
                            <a:off x="0" y="0"/>
                            <a:ext cx="2318408" cy="26056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8" w:type="dxa"/>
          </w:tcPr>
          <w:p w14:paraId="63407B2B" w14:textId="77777777" w:rsidR="007E4E19" w:rsidRPr="007076D7" w:rsidRDefault="007E4E19" w:rsidP="00F01DD7">
            <w:pPr>
              <w:spacing w:line="360" w:lineRule="auto"/>
              <w:jc w:val="center"/>
              <w:rPr>
                <w:rFonts w:ascii="Century" w:hAnsi="Century"/>
                <w:noProof/>
                <w:sz w:val="24"/>
                <w:szCs w:val="24"/>
              </w:rPr>
            </w:pPr>
          </w:p>
          <w:p w14:paraId="1F9E050A" w14:textId="5E2DB78B" w:rsidR="007E4E19" w:rsidRPr="007076D7" w:rsidRDefault="007E4E19" w:rsidP="00F01DD7">
            <w:pPr>
              <w:spacing w:line="360" w:lineRule="auto"/>
              <w:jc w:val="center"/>
              <w:rPr>
                <w:rFonts w:ascii="Century" w:hAnsi="Century" w:cs="Times New Roman"/>
                <w:sz w:val="24"/>
                <w:szCs w:val="24"/>
              </w:rPr>
            </w:pPr>
            <w:r w:rsidRPr="007076D7">
              <w:rPr>
                <w:rFonts w:ascii="Century" w:hAnsi="Century"/>
                <w:noProof/>
                <w:sz w:val="24"/>
                <w:szCs w:val="24"/>
              </w:rPr>
              <w:drawing>
                <wp:inline distT="0" distB="0" distL="0" distR="0" wp14:anchorId="76F70364" wp14:editId="335C9C9C">
                  <wp:extent cx="2755265" cy="238633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704" t="2335" r="11713" b="-5"/>
                          <a:stretch/>
                        </pic:blipFill>
                        <pic:spPr bwMode="auto">
                          <a:xfrm>
                            <a:off x="0" y="0"/>
                            <a:ext cx="2771405" cy="24003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E4E19" w:rsidRPr="007076D7" w14:paraId="4EC23D33" w14:textId="77777777" w:rsidTr="007E4E19">
        <w:tc>
          <w:tcPr>
            <w:tcW w:w="4148" w:type="dxa"/>
          </w:tcPr>
          <w:p w14:paraId="46D2C6B3" w14:textId="503237F7" w:rsidR="007E4E19" w:rsidRPr="007076D7" w:rsidRDefault="007E4E19" w:rsidP="00F01DD7">
            <w:pPr>
              <w:spacing w:line="360" w:lineRule="auto"/>
              <w:jc w:val="center"/>
              <w:rPr>
                <w:rFonts w:ascii="Century" w:hAnsi="Century" w:cs="Times New Roman"/>
                <w:sz w:val="24"/>
                <w:szCs w:val="24"/>
              </w:rPr>
            </w:pPr>
            <w:r w:rsidRPr="007076D7">
              <w:rPr>
                <w:rFonts w:ascii="Century" w:hAnsi="Century" w:cs="Times New Roman"/>
                <w:sz w:val="24"/>
                <w:szCs w:val="24"/>
              </w:rPr>
              <w:t xml:space="preserve">Foto </w:t>
            </w:r>
            <w:r w:rsidR="007F1B24" w:rsidRPr="007076D7">
              <w:rPr>
                <w:rFonts w:ascii="Century" w:hAnsi="Century" w:cs="Times New Roman"/>
                <w:sz w:val="24"/>
                <w:szCs w:val="24"/>
              </w:rPr>
              <w:t>5</w:t>
            </w:r>
            <w:r w:rsidRPr="007076D7">
              <w:rPr>
                <w:rFonts w:ascii="Century" w:hAnsi="Century" w:cs="Times New Roman"/>
                <w:sz w:val="24"/>
                <w:szCs w:val="24"/>
              </w:rPr>
              <w:t>. Penyerahan Dana Program</w:t>
            </w:r>
          </w:p>
        </w:tc>
        <w:tc>
          <w:tcPr>
            <w:tcW w:w="4148" w:type="dxa"/>
          </w:tcPr>
          <w:p w14:paraId="1F1DA150" w14:textId="77EAB5A1" w:rsidR="007E4E19" w:rsidRPr="007076D7" w:rsidRDefault="001D2B5F" w:rsidP="00F01DD7">
            <w:pPr>
              <w:spacing w:line="360" w:lineRule="auto"/>
              <w:jc w:val="center"/>
              <w:rPr>
                <w:rFonts w:ascii="Century" w:hAnsi="Century" w:cs="Times New Roman"/>
                <w:sz w:val="24"/>
                <w:szCs w:val="24"/>
              </w:rPr>
            </w:pPr>
            <w:r w:rsidRPr="007076D7">
              <w:rPr>
                <w:rFonts w:ascii="Century" w:hAnsi="Century" w:cs="Times New Roman"/>
                <w:sz w:val="24"/>
                <w:szCs w:val="24"/>
              </w:rPr>
              <w:t xml:space="preserve">Foto </w:t>
            </w:r>
            <w:r w:rsidR="007F1B24" w:rsidRPr="007076D7">
              <w:rPr>
                <w:rFonts w:ascii="Century" w:hAnsi="Century" w:cs="Times New Roman"/>
                <w:sz w:val="24"/>
                <w:szCs w:val="24"/>
              </w:rPr>
              <w:t>6</w:t>
            </w:r>
            <w:r w:rsidRPr="007076D7">
              <w:rPr>
                <w:rFonts w:ascii="Century" w:hAnsi="Century" w:cs="Times New Roman"/>
                <w:sz w:val="24"/>
                <w:szCs w:val="24"/>
              </w:rPr>
              <w:t>. Foto Bersama Tim &amp; Peserta</w:t>
            </w:r>
          </w:p>
        </w:tc>
      </w:tr>
    </w:tbl>
    <w:p w14:paraId="10FD6C5C" w14:textId="5E874ADF" w:rsidR="0042527D" w:rsidRPr="007076D7" w:rsidRDefault="0042527D" w:rsidP="00F01DD7">
      <w:pPr>
        <w:spacing w:line="360" w:lineRule="auto"/>
        <w:jc w:val="both"/>
        <w:rPr>
          <w:rFonts w:ascii="Century" w:hAnsi="Century" w:cs="Times New Roman"/>
          <w:sz w:val="24"/>
          <w:szCs w:val="24"/>
        </w:rPr>
      </w:pPr>
    </w:p>
    <w:p w14:paraId="07503863" w14:textId="74A385D5" w:rsidR="001D2B5F" w:rsidRPr="007076D7" w:rsidRDefault="001D2B5F" w:rsidP="00F01DD7">
      <w:pPr>
        <w:spacing w:line="360" w:lineRule="auto"/>
        <w:jc w:val="both"/>
        <w:rPr>
          <w:rFonts w:ascii="Century" w:hAnsi="Century" w:cs="Times New Roman"/>
          <w:sz w:val="24"/>
          <w:szCs w:val="24"/>
        </w:rPr>
      </w:pPr>
      <w:r w:rsidRPr="007076D7">
        <w:rPr>
          <w:rFonts w:ascii="Century" w:hAnsi="Century" w:cs="Times New Roman"/>
          <w:sz w:val="24"/>
          <w:szCs w:val="24"/>
        </w:rPr>
        <w:t xml:space="preserve">Kegiatan Pengabdian Kepada Masyarakat (PKM) yang diselenggarakan atas kerjasama antara Tim Pengabdi UMY dengan Pemuda &amp; Pemudi Klidon Mantren berjalan dengan sukses. Setelah sesi foto bersama sebagai dokumen penyelenggaraan kegiatan, Tim Pengabdi beserta Kepala Pedukuhan, tokoh masyarakat, tokoh agama, dan pemuda-pemudi masih melanjutkan diskusi santai mengenai tindak lanjut program peneguhan paham moderasi pada waktu yang akan datang. </w:t>
      </w:r>
    </w:p>
    <w:p w14:paraId="65ED8E85" w14:textId="39AC283B" w:rsidR="00523F45" w:rsidRPr="007076D7" w:rsidRDefault="00BB7B80" w:rsidP="00F01DD7">
      <w:pPr>
        <w:pStyle w:val="ListParagraph"/>
        <w:numPr>
          <w:ilvl w:val="0"/>
          <w:numId w:val="2"/>
        </w:numPr>
        <w:spacing w:line="360" w:lineRule="auto"/>
        <w:ind w:left="450" w:hanging="450"/>
        <w:jc w:val="both"/>
        <w:rPr>
          <w:rFonts w:ascii="Century" w:hAnsi="Century" w:cs="Times New Roman"/>
          <w:b/>
          <w:bCs/>
          <w:sz w:val="24"/>
          <w:szCs w:val="24"/>
        </w:rPr>
      </w:pPr>
      <w:r>
        <w:rPr>
          <w:rFonts w:ascii="Century" w:hAnsi="Century" w:cs="Times New Roman"/>
          <w:b/>
          <w:bCs/>
          <w:sz w:val="24"/>
          <w:szCs w:val="24"/>
        </w:rPr>
        <w:lastRenderedPageBreak/>
        <w:t>HASIL DAN PEMBAHASAN</w:t>
      </w:r>
    </w:p>
    <w:p w14:paraId="17CEB6F7" w14:textId="5578AFAB" w:rsidR="005C616C" w:rsidRPr="007076D7" w:rsidRDefault="005C616C"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Berdasarkan pada hasil pre-test dan post-test yang dilakukan pada kegiatan PKM ini, terlihat bahwa pemahaman pemuda mengenai moderasi beragama termasuk baik. Pre-test diberikan sebelum kegiatan dimulai yang bertujuan untuk mengetahui apakah pemuda mengetahui (1) apa itu moderasi beragama, artinya paham seperti apa: (2) bagaimana sikap dalam relasi sosial, khususnya dengan pemeluk agama lain (non-Muslim); dan (3) apa yang mereka lakukan terhadap warga berkeyaki</w:t>
      </w:r>
      <w:r w:rsidR="00291191" w:rsidRPr="007076D7">
        <w:rPr>
          <w:rFonts w:ascii="Century" w:hAnsi="Century" w:cs="Times New Roman"/>
          <w:sz w:val="24"/>
          <w:szCs w:val="24"/>
        </w:rPr>
        <w:t>n</w:t>
      </w:r>
      <w:r w:rsidRPr="007076D7">
        <w:rPr>
          <w:rFonts w:ascii="Century" w:hAnsi="Century" w:cs="Times New Roman"/>
          <w:sz w:val="24"/>
          <w:szCs w:val="24"/>
        </w:rPr>
        <w:t>an yang berbeda. Dari beberapa pertanyaan tersebut dijawab dengan baik oleh pemuda dengan hasil sebagaimana berikut.</w:t>
      </w:r>
    </w:p>
    <w:p w14:paraId="2C6DF940" w14:textId="77777777" w:rsidR="007B4AD6" w:rsidRPr="007076D7" w:rsidRDefault="007B4AD6" w:rsidP="00F01DD7">
      <w:pPr>
        <w:spacing w:line="360" w:lineRule="auto"/>
        <w:ind w:firstLine="720"/>
        <w:jc w:val="both"/>
        <w:rPr>
          <w:rFonts w:ascii="Century" w:hAnsi="Century" w:cs="Times New Roman"/>
          <w:sz w:val="24"/>
          <w:szCs w:val="24"/>
        </w:rPr>
      </w:pPr>
    </w:p>
    <w:tbl>
      <w:tblPr>
        <w:tblStyle w:val="TableGrid"/>
        <w:tblW w:w="0" w:type="auto"/>
        <w:tblLook w:val="04A0" w:firstRow="1" w:lastRow="0" w:firstColumn="1" w:lastColumn="0" w:noHBand="0" w:noVBand="1"/>
      </w:tblPr>
      <w:tblGrid>
        <w:gridCol w:w="4162"/>
        <w:gridCol w:w="4134"/>
      </w:tblGrid>
      <w:tr w:rsidR="002E51CA" w:rsidRPr="007076D7" w14:paraId="7A3991C1" w14:textId="77777777" w:rsidTr="00A56AD0">
        <w:tc>
          <w:tcPr>
            <w:tcW w:w="4162" w:type="dxa"/>
          </w:tcPr>
          <w:p w14:paraId="24B40D78" w14:textId="48A7B11B" w:rsidR="007B4AD6" w:rsidRPr="007076D7" w:rsidRDefault="007B4AD6" w:rsidP="00F01DD7">
            <w:pPr>
              <w:spacing w:line="360" w:lineRule="auto"/>
              <w:jc w:val="both"/>
              <w:rPr>
                <w:rFonts w:ascii="Century" w:hAnsi="Century" w:cs="Times New Roman"/>
                <w:sz w:val="24"/>
                <w:szCs w:val="24"/>
              </w:rPr>
            </w:pPr>
            <w:r w:rsidRPr="007076D7">
              <w:rPr>
                <w:rFonts w:ascii="Century" w:hAnsi="Century" w:cs="Times New Roman"/>
                <w:noProof/>
                <w:sz w:val="24"/>
                <w:szCs w:val="24"/>
              </w:rPr>
              <w:drawing>
                <wp:inline distT="0" distB="0" distL="0" distR="0" wp14:anchorId="64423678" wp14:editId="2B2579AF">
                  <wp:extent cx="2628900" cy="2346325"/>
                  <wp:effectExtent l="0" t="0" r="0"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134" w:type="dxa"/>
          </w:tcPr>
          <w:p w14:paraId="2A7589F0" w14:textId="558F5B11" w:rsidR="007B4AD6" w:rsidRPr="007076D7" w:rsidRDefault="002E51CA" w:rsidP="00F01DD7">
            <w:pPr>
              <w:spacing w:line="360" w:lineRule="auto"/>
              <w:jc w:val="both"/>
              <w:rPr>
                <w:rFonts w:ascii="Century" w:hAnsi="Century" w:cs="Times New Roman"/>
                <w:sz w:val="24"/>
                <w:szCs w:val="24"/>
              </w:rPr>
            </w:pPr>
            <w:r w:rsidRPr="007076D7">
              <w:rPr>
                <w:rFonts w:ascii="Century" w:hAnsi="Century" w:cs="Times New Roman"/>
                <w:noProof/>
                <w:sz w:val="24"/>
                <w:szCs w:val="24"/>
              </w:rPr>
              <w:drawing>
                <wp:inline distT="0" distB="0" distL="0" distR="0" wp14:anchorId="77A58C3D" wp14:editId="7EAF5C30">
                  <wp:extent cx="2597150" cy="2346325"/>
                  <wp:effectExtent l="0" t="0" r="1270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A56AD0" w:rsidRPr="007076D7" w14:paraId="764CA60C" w14:textId="77777777" w:rsidTr="00EE3F85">
        <w:tc>
          <w:tcPr>
            <w:tcW w:w="8296" w:type="dxa"/>
            <w:gridSpan w:val="2"/>
          </w:tcPr>
          <w:p w14:paraId="5559EFAD" w14:textId="765D8F9A" w:rsidR="00A56AD0" w:rsidRPr="007076D7" w:rsidRDefault="00A56AD0" w:rsidP="00F01DD7">
            <w:pPr>
              <w:spacing w:line="360" w:lineRule="auto"/>
              <w:jc w:val="center"/>
              <w:rPr>
                <w:rFonts w:ascii="Century" w:hAnsi="Century" w:cs="Times New Roman"/>
                <w:sz w:val="24"/>
                <w:szCs w:val="24"/>
              </w:rPr>
            </w:pPr>
            <w:r w:rsidRPr="007076D7">
              <w:rPr>
                <w:rFonts w:ascii="Century" w:hAnsi="Century" w:cs="Times New Roman"/>
                <w:sz w:val="24"/>
                <w:szCs w:val="24"/>
              </w:rPr>
              <w:t>Gambar 1. Hasil Tes mengenai Pengetahuan Moderasi</w:t>
            </w:r>
          </w:p>
        </w:tc>
      </w:tr>
    </w:tbl>
    <w:p w14:paraId="35B9420C" w14:textId="2E451CC8" w:rsidR="00BA71F9" w:rsidRPr="007076D7" w:rsidRDefault="005C616C"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 </w:t>
      </w:r>
    </w:p>
    <w:p w14:paraId="77A7CCC9" w14:textId="16B140C6" w:rsidR="00904ABB" w:rsidRPr="007076D7" w:rsidRDefault="00A43EA4" w:rsidP="00F01DD7">
      <w:pPr>
        <w:spacing w:line="360" w:lineRule="auto"/>
        <w:jc w:val="both"/>
        <w:rPr>
          <w:rFonts w:ascii="Century" w:hAnsi="Century" w:cs="Times New Roman"/>
          <w:sz w:val="24"/>
          <w:szCs w:val="24"/>
        </w:rPr>
      </w:pPr>
      <w:r w:rsidRPr="007076D7">
        <w:rPr>
          <w:rFonts w:ascii="Century" w:hAnsi="Century" w:cs="Times New Roman"/>
          <w:sz w:val="24"/>
          <w:szCs w:val="24"/>
        </w:rPr>
        <w:t xml:space="preserve">Pemahaman mengenai moderasi beragama di kalangan pemuda </w:t>
      </w:r>
      <w:r w:rsidR="00152861" w:rsidRPr="007076D7">
        <w:rPr>
          <w:rFonts w:ascii="Century" w:hAnsi="Century" w:cs="Times New Roman"/>
          <w:sz w:val="24"/>
          <w:szCs w:val="24"/>
        </w:rPr>
        <w:t xml:space="preserve">secara umum </w:t>
      </w:r>
      <w:r w:rsidRPr="007076D7">
        <w:rPr>
          <w:rFonts w:ascii="Century" w:hAnsi="Century" w:cs="Times New Roman"/>
          <w:sz w:val="24"/>
          <w:szCs w:val="24"/>
        </w:rPr>
        <w:t xml:space="preserve">baik. Hal ini dilihat dari hasil tes yang dilakukan sebelum kegiatan dimulai. Ketika diberi pertanyaan mengenai definisi moderasi, sebanyak 30 orang menjawab “berpaham seimbang atau netral”, dan terdapat 4 orang menjawab “tidak tahu”.  </w:t>
      </w:r>
      <w:r w:rsidR="00152861" w:rsidRPr="007076D7">
        <w:rPr>
          <w:rFonts w:ascii="Century" w:hAnsi="Century" w:cs="Times New Roman"/>
          <w:sz w:val="24"/>
          <w:szCs w:val="24"/>
        </w:rPr>
        <w:t>Pertanyaan ini dimaksudkan untuk mengetahui sejauh</w:t>
      </w:r>
      <w:r w:rsidR="00291191" w:rsidRPr="007076D7">
        <w:rPr>
          <w:rFonts w:ascii="Century" w:hAnsi="Century" w:cs="Times New Roman"/>
          <w:sz w:val="24"/>
          <w:szCs w:val="24"/>
        </w:rPr>
        <w:t xml:space="preserve"> </w:t>
      </w:r>
      <w:r w:rsidR="00152861" w:rsidRPr="007076D7">
        <w:rPr>
          <w:rFonts w:ascii="Century" w:hAnsi="Century" w:cs="Times New Roman"/>
          <w:sz w:val="24"/>
          <w:szCs w:val="24"/>
        </w:rPr>
        <w:t xml:space="preserve">mana pengetahuan mereka mengenai moderasi beragama dalam tataran kognitif. Sebelum kegiatan diakhiri, tim pengabdi </w:t>
      </w:r>
      <w:r w:rsidR="00904ABB" w:rsidRPr="007076D7">
        <w:rPr>
          <w:rFonts w:ascii="Century" w:hAnsi="Century" w:cs="Times New Roman"/>
          <w:sz w:val="24"/>
          <w:szCs w:val="24"/>
        </w:rPr>
        <w:lastRenderedPageBreak/>
        <w:t>k</w:t>
      </w:r>
      <w:r w:rsidR="00152861" w:rsidRPr="007076D7">
        <w:rPr>
          <w:rFonts w:ascii="Century" w:hAnsi="Century" w:cs="Times New Roman"/>
          <w:sz w:val="24"/>
          <w:szCs w:val="24"/>
        </w:rPr>
        <w:t>embali memberikan pertanyaan yang sama dan keseluruhan responden menjawab “berpaham seimbang atau netral”. Artinya, ceramah mengenai m</w:t>
      </w:r>
      <w:r w:rsidR="00291191" w:rsidRPr="007076D7">
        <w:rPr>
          <w:rFonts w:ascii="Century" w:hAnsi="Century" w:cs="Times New Roman"/>
          <w:sz w:val="24"/>
          <w:szCs w:val="24"/>
        </w:rPr>
        <w:t>o</w:t>
      </w:r>
      <w:r w:rsidR="00152861" w:rsidRPr="007076D7">
        <w:rPr>
          <w:rFonts w:ascii="Century" w:hAnsi="Century" w:cs="Times New Roman"/>
          <w:sz w:val="24"/>
          <w:szCs w:val="24"/>
        </w:rPr>
        <w:t xml:space="preserve">derasi beragama yang disampaikan memberikan peneguhan pemahaman kepada mereka. </w:t>
      </w:r>
    </w:p>
    <w:p w14:paraId="30783AB6" w14:textId="65572562" w:rsidR="00A43EA4" w:rsidRPr="007076D7" w:rsidRDefault="00152861"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Hal </w:t>
      </w:r>
      <w:r w:rsidR="00904ABB" w:rsidRPr="007076D7">
        <w:rPr>
          <w:rFonts w:ascii="Century" w:hAnsi="Century" w:cs="Times New Roman"/>
          <w:sz w:val="24"/>
          <w:szCs w:val="24"/>
        </w:rPr>
        <w:t>tersebut</w:t>
      </w:r>
      <w:r w:rsidRPr="007076D7">
        <w:rPr>
          <w:rFonts w:ascii="Century" w:hAnsi="Century" w:cs="Times New Roman"/>
          <w:sz w:val="24"/>
          <w:szCs w:val="24"/>
        </w:rPr>
        <w:t xml:space="preserve"> dapat dilihat pada dua sisi yang saling berhubungan. </w:t>
      </w:r>
      <w:r w:rsidRPr="007076D7">
        <w:rPr>
          <w:rFonts w:ascii="Century" w:hAnsi="Century" w:cs="Times New Roman"/>
          <w:i/>
          <w:iCs/>
          <w:sz w:val="24"/>
          <w:szCs w:val="24"/>
        </w:rPr>
        <w:t xml:space="preserve">Pertama, </w:t>
      </w:r>
      <w:r w:rsidRPr="007076D7">
        <w:rPr>
          <w:rFonts w:ascii="Century" w:hAnsi="Century" w:cs="Times New Roman"/>
          <w:sz w:val="24"/>
          <w:szCs w:val="24"/>
        </w:rPr>
        <w:t xml:space="preserve">apa yang diketahui oleh pemuda-pemudi merupakan modal besar dalam mewujudkan kehidupan masyarakat yang lebih harmonis di masa mendatang. Sebab, hubungan antar-agama sering bermasalah hanya dipicu oleh adanya silang </w:t>
      </w:r>
      <w:r w:rsidR="001B2AC2" w:rsidRPr="007076D7">
        <w:rPr>
          <w:rFonts w:ascii="Century" w:hAnsi="Century" w:cs="Times New Roman"/>
          <w:sz w:val="24"/>
          <w:szCs w:val="24"/>
        </w:rPr>
        <w:t xml:space="preserve">pendapat di antara individu dan kelompok. </w:t>
      </w:r>
      <w:r w:rsidR="001B2AC2" w:rsidRPr="007076D7">
        <w:rPr>
          <w:rFonts w:ascii="Century" w:hAnsi="Century" w:cs="Times New Roman"/>
          <w:i/>
          <w:iCs/>
          <w:sz w:val="24"/>
          <w:szCs w:val="24"/>
        </w:rPr>
        <w:t xml:space="preserve">Kedua, </w:t>
      </w:r>
      <w:r w:rsidR="001B2AC2" w:rsidRPr="007076D7">
        <w:rPr>
          <w:rFonts w:ascii="Century" w:hAnsi="Century" w:cs="Times New Roman"/>
          <w:sz w:val="24"/>
          <w:szCs w:val="24"/>
        </w:rPr>
        <w:t xml:space="preserve">apa yang ditunjukkan oleh responden dengan jawaban yang sesuai dengan substansi moderasi merupakan cerminan atas kedewasaan mereka menyikapi perbedaan-perbedaan. Di kampung Mantren, dihuni oleh beragam pemeluk agama sehingga pemahaman seperti ini penting ditanamkan dan diteguhkan dari waktu ke waktu sebagai upaya merancang kehidupan yang lebih inklusif di masa mendatang. </w:t>
      </w:r>
      <w:r w:rsidR="00904ABB" w:rsidRPr="007076D7">
        <w:rPr>
          <w:rFonts w:ascii="Century" w:hAnsi="Century" w:cs="Times New Roman"/>
          <w:sz w:val="24"/>
          <w:szCs w:val="24"/>
        </w:rPr>
        <w:t>Salah satu upaya untuk menumbuhkan sikap inklusif adalah dengan membangun kesadaran bersama mengenai makna persaudaraan meskipun berlatar belakang identitas (agama) yang berbeda</w:t>
      </w:r>
      <w:r w:rsidR="00110CC3">
        <w:rPr>
          <w:rFonts w:ascii="Century" w:hAnsi="Century" w:cs="Times New Roman"/>
          <w:sz w:val="24"/>
          <w:szCs w:val="24"/>
        </w:rPr>
        <w:t xml:space="preserve"> </w:t>
      </w:r>
      <w:r w:rsidR="006F42F0" w:rsidRPr="007076D7">
        <w:rPr>
          <w:rFonts w:ascii="Century" w:hAnsi="Century" w:cs="Times New Roman"/>
          <w:sz w:val="24"/>
          <w:szCs w:val="24"/>
        </w:rPr>
        <w:fldChar w:fldCharType="begin" w:fldLock="1"/>
      </w:r>
      <w:r w:rsidR="00FA0345">
        <w:rPr>
          <w:rFonts w:ascii="Century" w:hAnsi="Century" w:cs="Times New Roman"/>
          <w:sz w:val="24"/>
          <w:szCs w:val="24"/>
        </w:rPr>
        <w:instrText>ADDIN CSL_CITATION {"citationItems":[{"id":"ITEM-1","itemData":{"DOI":"10.47131/jtb.v1i1.13","ISSN":"2622-514X","abstract":"This article discusses the importance of inclusive religious education as an instrument for building and developing a model of contextual religious education in Indonesia. This discussion aims to provide alternative thinking to correct the reality of exclusive religious practices that are thought to be influenced by ways of learning religion in schools that have not been able to change and shape Naradidik's inclusive attitude. From the results of various literature studies, it was found that in addition to the widely commented education politics and religious education system, religious education built on an exclusive paradigm has helped shape attitudes of hatred and intolerance among narrators, which can be used as fertile ground for the growth of radicalism and extremism. It was found that inclusive religious education that pays attention to efforts to build awareness of differences can be an effective model that transforms religious education in the context of this pluralistic society in Indonesia. Inclusive religious education is also a medium of religious learning that can shape the moderate attitude of students. In this regard inclusive religious education can be used as a solution for strengthening attitudes towards other groups outside of their own groups and managing diversity in Indonesia.\r \r \r Abstrak\r Artikel ini mendiskusikan pentingnya pendidikan agama inklusif sebagai instrumen untuk membangun dan mengembangkan satu model pendidikan agama kontekstual di Indonesia. Pembahasan ini bertujuan memberi pemikiran alternatif untuk mengoreksi realitas praktik keagamaan eksklusif yang diduga turut dipengaruhi oleh cara pembelajaran agama di sekolah yang belum mampu mengubah dan membentuk sikap inklusif naradidik. Dari hasil kajian berbagai literatur ditemuai bahwa selain politik pendidikan dan sistem pendidikan agama di Indonesia yang banyak dikomentari, pendidikan agama yang dibangun dalam paradigma eksklusif telah turut membentuk sikap kebencian dan intoleransi di kalangan naradidik, yang dapat dijadikan lahan subur tumbuhnya gerakan radikalisme dan ekstrimisme. Ditemui bahwa pendidikan agama inklusif yang memberi perhatian pada upaya membangun penyadaran terhadap perbedaan dapat dijadikan model efektif yang mentransformasi pendidikan keagamaan dalam konteks bermasyarakat di Indonesia yang majemuk ini. Pendidikan agama inklusif sekaligus menjadi media pembelajaran agama yang dapat membentuk sikap moderat nara didik. Dalam kaitan ini pendidikan ag…","author":[{"dropping-particle":"","family":"Rumahuru","given":"Yance Z","non-dropping-particle":"","parse-names":false,"suffix":""}],"container-title":"JURNAL TERUNA BHAKTI","id":"ITEM-1","issued":{"date-parts":[["2019"]]},"title":"Mengembangkan Pendidikan Agama Inklusif sebagai Solusi Pengelolaan Keragaman di Indonesia","type":"article-journal"},"uris":["http://www.mendeley.com/documents/?uuid=a2897938-ef62-4beb-9de1-6d393702380d","http://www.mendeley.com/documents/?uuid=24c00239-4ebe-4764-871a-5d92b9dca8e1","http://www.mendeley.com/documents/?uuid=1a325daa-ab7d-49d3-b9bd-948fdbbe5e6d"]}],"mendeley":{"formattedCitation":"(Rumahuru, 2019)","plainTextFormattedCitation":"(Rumahuru, 2019)","previouslyFormattedCitation":"(Rumahuru, 2019)"},"properties":{"noteIndex":0},"schema":"https://github.com/citation-style-language/schema/raw/master/csl-citation.json"}</w:instrText>
      </w:r>
      <w:r w:rsidR="006F42F0" w:rsidRPr="007076D7">
        <w:rPr>
          <w:rFonts w:ascii="Century" w:hAnsi="Century" w:cs="Times New Roman"/>
          <w:sz w:val="24"/>
          <w:szCs w:val="24"/>
        </w:rPr>
        <w:fldChar w:fldCharType="separate"/>
      </w:r>
      <w:r w:rsidR="006F42F0" w:rsidRPr="007076D7">
        <w:rPr>
          <w:rFonts w:ascii="Century" w:hAnsi="Century" w:cs="Times New Roman"/>
          <w:noProof/>
          <w:sz w:val="24"/>
          <w:szCs w:val="24"/>
        </w:rPr>
        <w:t>(Rumahuru, 2019)</w:t>
      </w:r>
      <w:r w:rsidR="006F42F0" w:rsidRPr="007076D7">
        <w:rPr>
          <w:rFonts w:ascii="Century" w:hAnsi="Century" w:cs="Times New Roman"/>
          <w:sz w:val="24"/>
          <w:szCs w:val="24"/>
        </w:rPr>
        <w:fldChar w:fldCharType="end"/>
      </w:r>
      <w:r w:rsidR="006F42F0" w:rsidRPr="007076D7">
        <w:rPr>
          <w:rFonts w:ascii="Century" w:hAnsi="Century" w:cs="Times New Roman"/>
          <w:sz w:val="24"/>
          <w:szCs w:val="24"/>
        </w:rPr>
        <w:t xml:space="preserve">. </w:t>
      </w:r>
    </w:p>
    <w:p w14:paraId="263E6B10" w14:textId="3D0A1E1F" w:rsidR="001B2AC2" w:rsidRPr="007076D7" w:rsidRDefault="001B2AC2" w:rsidP="00F01DD7">
      <w:pPr>
        <w:spacing w:line="360" w:lineRule="auto"/>
        <w:jc w:val="both"/>
        <w:rPr>
          <w:rFonts w:ascii="Century" w:hAnsi="Century" w:cs="Times New Roman"/>
          <w:sz w:val="24"/>
          <w:szCs w:val="24"/>
        </w:rPr>
      </w:pPr>
      <w:r w:rsidRPr="007076D7">
        <w:rPr>
          <w:rFonts w:ascii="Century" w:hAnsi="Century" w:cs="Times New Roman"/>
          <w:sz w:val="24"/>
          <w:szCs w:val="24"/>
        </w:rPr>
        <w:tab/>
        <w:t>Hal yang menarik lainnya selain pengetahuan mengenai moderasi beragama adalah sikap mereka terhadap keberadaan warga atau kelompok agama lain di lingkungan tempat tinggalnya. Ketika diberikan pertanyaan “Jika ada tetangga yang berbeda agama, apa yang Anda lakukan kepada mereka?”. Pertanyaan ini dimaksudkan untuk mengetahui apakah ada hubungan antara pengetahuan (kognitif) mereka mengenai moderasi dengan praktik kehidupan sosialnya. Jawaban yang diberikan pun seragam, semua responden menj</w:t>
      </w:r>
      <w:r w:rsidR="00291191" w:rsidRPr="007076D7">
        <w:rPr>
          <w:rFonts w:ascii="Century" w:hAnsi="Century" w:cs="Times New Roman"/>
          <w:sz w:val="24"/>
          <w:szCs w:val="24"/>
        </w:rPr>
        <w:t>a</w:t>
      </w:r>
      <w:r w:rsidRPr="007076D7">
        <w:rPr>
          <w:rFonts w:ascii="Century" w:hAnsi="Century" w:cs="Times New Roman"/>
          <w:sz w:val="24"/>
          <w:szCs w:val="24"/>
        </w:rPr>
        <w:t>wab “</w:t>
      </w:r>
      <w:r w:rsidR="0050030E" w:rsidRPr="007076D7">
        <w:rPr>
          <w:rFonts w:ascii="Century" w:hAnsi="Century" w:cs="Times New Roman"/>
          <w:sz w:val="24"/>
          <w:szCs w:val="24"/>
        </w:rPr>
        <w:t>bergaul dengan normal”. Salah seorang dari mereka, ND</w:t>
      </w:r>
      <w:r w:rsidR="0052453C" w:rsidRPr="007076D7">
        <w:rPr>
          <w:rFonts w:ascii="Century" w:hAnsi="Century" w:cs="Times New Roman"/>
          <w:sz w:val="24"/>
          <w:szCs w:val="24"/>
        </w:rPr>
        <w:t xml:space="preserve"> (25)</w:t>
      </w:r>
      <w:r w:rsidR="0050030E" w:rsidRPr="007076D7">
        <w:rPr>
          <w:rFonts w:ascii="Century" w:hAnsi="Century" w:cs="Times New Roman"/>
          <w:sz w:val="24"/>
          <w:szCs w:val="24"/>
        </w:rPr>
        <w:t>, menyatakan:</w:t>
      </w:r>
    </w:p>
    <w:p w14:paraId="56D3150A" w14:textId="42ADDD7A" w:rsidR="00D56C7D" w:rsidRPr="007076D7" w:rsidRDefault="0050030E" w:rsidP="0050030E">
      <w:pPr>
        <w:ind w:left="720"/>
        <w:jc w:val="both"/>
        <w:rPr>
          <w:rFonts w:ascii="Century" w:hAnsi="Century" w:cs="Times New Roman"/>
          <w:sz w:val="24"/>
          <w:szCs w:val="24"/>
        </w:rPr>
      </w:pPr>
      <w:r w:rsidRPr="007076D7">
        <w:rPr>
          <w:rFonts w:ascii="Century" w:hAnsi="Century" w:cs="Times New Roman"/>
          <w:sz w:val="24"/>
          <w:szCs w:val="24"/>
        </w:rPr>
        <w:t xml:space="preserve">“Tidak ada masalah dengan siapa pun. Saya akan bergaul dengan orang berbeda agama dengan normal. Saya menganggap keberadaan mereka sebagai pelengkap kehidupan. Selama mereka tidak </w:t>
      </w:r>
      <w:r w:rsidRPr="007076D7">
        <w:rPr>
          <w:rFonts w:ascii="Century" w:hAnsi="Century" w:cs="Times New Roman"/>
          <w:sz w:val="24"/>
          <w:szCs w:val="24"/>
        </w:rPr>
        <w:lastRenderedPageBreak/>
        <w:t>mengganggu keyakinan saya, tidak masalah. Saya kira mereka juga seperti itu, jika tidak diganggu akan damai” (Wawancara, 26 Maret 2022 di Mantren).</w:t>
      </w:r>
    </w:p>
    <w:p w14:paraId="23165775" w14:textId="7F6EE0A3" w:rsidR="0050030E" w:rsidRPr="007076D7" w:rsidRDefault="0050030E"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Sikap beragama yang seimbang akan membawa pergaulan lebih ca</w:t>
      </w:r>
      <w:r w:rsidR="002B7BA1" w:rsidRPr="007076D7">
        <w:rPr>
          <w:rFonts w:ascii="Century" w:hAnsi="Century" w:cs="Times New Roman"/>
          <w:sz w:val="24"/>
          <w:szCs w:val="24"/>
        </w:rPr>
        <w:t>ir</w:t>
      </w:r>
      <w:r w:rsidRPr="007076D7">
        <w:rPr>
          <w:rFonts w:ascii="Century" w:hAnsi="Century" w:cs="Times New Roman"/>
          <w:sz w:val="24"/>
          <w:szCs w:val="24"/>
        </w:rPr>
        <w:t xml:space="preserve"> dan terbuka.</w:t>
      </w:r>
      <w:r w:rsidR="002B7BA1" w:rsidRPr="007076D7">
        <w:rPr>
          <w:rFonts w:ascii="Century" w:hAnsi="Century" w:cs="Times New Roman"/>
          <w:sz w:val="24"/>
          <w:szCs w:val="24"/>
        </w:rPr>
        <w:t xml:space="preserve"> Sikap seperti ini pada dasarnya merupakan ciri khas bangsa Indonesia yang sangat menghargai perbedaan </w:t>
      </w:r>
      <w:r w:rsidR="006F42F0" w:rsidRPr="007076D7">
        <w:rPr>
          <w:rFonts w:ascii="Century" w:hAnsi="Century" w:cs="Times New Roman"/>
          <w:sz w:val="24"/>
          <w:szCs w:val="24"/>
        </w:rPr>
        <w:fldChar w:fldCharType="begin" w:fldLock="1"/>
      </w:r>
      <w:r w:rsidR="00FA0345">
        <w:rPr>
          <w:rFonts w:ascii="Century" w:hAnsi="Century" w:cs="Times New Roman"/>
          <w:sz w:val="24"/>
          <w:szCs w:val="24"/>
        </w:rPr>
        <w:instrText>ADDIN CSL_CITATION {"citationItems":[{"id":"ITEM-1","itemData":{"abstract":"… KH. Achid Malik mengutip pendapat dari KH. Abdurrahman Wahid (Gus Dur) sewaktu menjabat sebagai presiden Indonesia. Era pemerintahan Gusdur, beliau mengatur sebuah sistem pemerintahannya yang toleran, menghargai perbedaan baik suku, agama dan etnis …","author":[{"dropping-particle":"","family":"Komarudin","given":"A","non-dropping-particle":"","parse-names":false,"suffix":""}],"container-title":"Madaniyah","id":"ITEM-1","issued":{"date-parts":[["2021"]]},"title":"Kampanye Nilai-Nilai Moderasi Islam melalui Santri Menulis","type":"article-journal"},"uris":["http://www.mendeley.com/documents/?uuid=066da179-6652-43c9-a74f-3640c014015b","http://www.mendeley.com/documents/?uuid=86c460c7-130e-4fbe-b67a-ea2408b6b739","http://www.mendeley.com/documents/?uuid=1a1990b6-f5c5-4e0c-94ff-8164550f3bef"]},{"id":"ITEM-2","itemData":{"DOI":"10.18860/psi.v15i1.6659","ISSN":"1829-5703","abstract":"&lt;p&gt;Toleransi dibutuhkan dalam suatu masyarakat yang komposisinya beragam, mulai dari keberagaman etnis, suku, budaya, bahasa dan agama. Perilaku toleran dan sikap menghargai perbedaan juga dibutuhkan ketika kita menjalin relasi dengan bangsa-bangsa lain serta sudah memutuskan untuk terlibat dalam tatanan global. Toleransi merupakan penerimaan atas hal-hal yang tidak disetujui atau tidak disukai agar kita dapat berhubungan dan berinteraksi lebih baik dengan orang lain. Artikel ini ditujukan untuk mengkaji toleransi dari sudut pandang Psikologi Sosial mulai dari sejarah, pengertian dan konsep tentang toleransi; kondisi dan karakteristik toleransi; serta dimensi-dimensi dari toleransi. Artikel ini juga ditujukan untuk melakukan studi awal dalam rangka mengembangkan skala yang mengukur konstruk toleransi. Skala toleransi disusun berdasarkan Index of Tolerance yang dibuat oleh Soldatova, dkk. Hasil penelitian menunjukkan reliabilitas skala kurang baik (0,55) dan terdapat 8 buah item yang tidak valid untuk mengukur konstruk toleransi. Diperlukan perbaikan dan penyesuaian agar skala ini bisa digunakan untuk memahami dan mengukur toleransi di Indonesia.&lt;/p&gt;","author":[{"dropping-particle":"","family":"Supriyanto","given":"Supriyanto","non-dropping-particle":"","parse-names":false,"suffix":""}],"container-title":"Psikoislamika : Jurnal Psikologi dan Psikologi Islam","id":"ITEM-2","issue":"1","issued":{"date-parts":[["2018"]]},"page":"23","title":"Memahami dan Mengukur Toleransi dari Perspektif Psikologi Sosial","type":"article-journal","volume":"15"},"uris":["http://www.mendeley.com/documents/?uuid=2e4d1756-9a5e-4d2f-8053-42f3e8567ef0","http://www.mendeley.com/documents/?uuid=9001191d-bc8f-4a2a-80e4-d11de9bde108"]}],"mendeley":{"formattedCitation":"(Komarudin, 2021; Supriyanto, 2018)","plainTextFormattedCitation":"(Komarudin, 2021; Supriyanto, 2018)","previouslyFormattedCitation":"(Komarudin, 2021; Supriyanto, 2018)"},"properties":{"noteIndex":0},"schema":"https://github.com/citation-style-language/schema/raw/master/csl-citation.json"}</w:instrText>
      </w:r>
      <w:r w:rsidR="006F42F0" w:rsidRPr="007076D7">
        <w:rPr>
          <w:rFonts w:ascii="Century" w:hAnsi="Century" w:cs="Times New Roman"/>
          <w:sz w:val="24"/>
          <w:szCs w:val="24"/>
        </w:rPr>
        <w:fldChar w:fldCharType="separate"/>
      </w:r>
      <w:r w:rsidR="006F42F0" w:rsidRPr="007076D7">
        <w:rPr>
          <w:rFonts w:ascii="Century" w:hAnsi="Century" w:cs="Times New Roman"/>
          <w:noProof/>
          <w:sz w:val="24"/>
          <w:szCs w:val="24"/>
        </w:rPr>
        <w:t>(Komarudin, 2021; Supriyanto, 2018)</w:t>
      </w:r>
      <w:r w:rsidR="006F42F0" w:rsidRPr="007076D7">
        <w:rPr>
          <w:rFonts w:ascii="Century" w:hAnsi="Century" w:cs="Times New Roman"/>
          <w:sz w:val="24"/>
          <w:szCs w:val="24"/>
        </w:rPr>
        <w:fldChar w:fldCharType="end"/>
      </w:r>
      <w:r w:rsidR="006F42F0" w:rsidRPr="007076D7">
        <w:rPr>
          <w:rFonts w:ascii="Century" w:hAnsi="Century" w:cs="Times New Roman"/>
          <w:sz w:val="24"/>
          <w:szCs w:val="24"/>
        </w:rPr>
        <w:t xml:space="preserve"> </w:t>
      </w:r>
      <w:r w:rsidR="002B7BA1" w:rsidRPr="007076D7">
        <w:rPr>
          <w:rFonts w:ascii="Century" w:hAnsi="Century" w:cs="Times New Roman"/>
          <w:sz w:val="24"/>
          <w:szCs w:val="24"/>
        </w:rPr>
        <w:t xml:space="preserve">dan senantiasa mengedepankan penghargaan terhadap perbedaan yang ada. Pada pola pemukiman warga di kampung-kampung misalnya, sangat sulit membedakan mana yang menganut agama A, dan mana yang menganut agama B dan seterusnya. Sebab, mereka hidup berdampingan tanpa mengidentifikasi diri dengan menonjolkan perbedaan tempat tinggal. Adapun penamaan kampung yang kental dengan tema agama tertentu, bukanlah dimaksudkan untuk membuat perbedaan dan pembedaan. Akan tetapi, hal tersebut ditujukan untuk memudahkan pengidentifikasian saja. </w:t>
      </w:r>
      <w:r w:rsidR="00693A06" w:rsidRPr="007076D7">
        <w:rPr>
          <w:rFonts w:ascii="Century" w:hAnsi="Century" w:cs="Times New Roman"/>
          <w:sz w:val="24"/>
          <w:szCs w:val="24"/>
        </w:rPr>
        <w:t>Bahkan, di salah satu kampung di Pati Jawa Tengah, berdiri bangunan masjid dan gereja yang hanya berjara</w:t>
      </w:r>
      <w:r w:rsidR="00291191" w:rsidRPr="007076D7">
        <w:rPr>
          <w:rFonts w:ascii="Century" w:hAnsi="Century" w:cs="Times New Roman"/>
          <w:sz w:val="24"/>
          <w:szCs w:val="24"/>
        </w:rPr>
        <w:t>k</w:t>
      </w:r>
      <w:r w:rsidR="00693A06" w:rsidRPr="007076D7">
        <w:rPr>
          <w:rFonts w:ascii="Century" w:hAnsi="Century" w:cs="Times New Roman"/>
          <w:sz w:val="24"/>
          <w:szCs w:val="24"/>
        </w:rPr>
        <w:t xml:space="preserve"> beberapa meter. Hal tersebut tidak menimbulkan persoalan karena bangunan relasi sosial yang ada pada bangsa ini berasal dari konsensus bersama</w:t>
      </w:r>
      <w:r w:rsidR="002B7BA1" w:rsidRPr="007076D7">
        <w:rPr>
          <w:rFonts w:ascii="Century" w:hAnsi="Century" w:cs="Times New Roman"/>
          <w:sz w:val="24"/>
          <w:szCs w:val="24"/>
        </w:rPr>
        <w:t xml:space="preserve"> </w:t>
      </w:r>
      <w:r w:rsidR="00693A06" w:rsidRPr="007076D7">
        <w:rPr>
          <w:rFonts w:ascii="Century" w:hAnsi="Century" w:cs="Times New Roman"/>
          <w:sz w:val="24"/>
          <w:szCs w:val="24"/>
        </w:rPr>
        <w:t xml:space="preserve">atas penghargaan terhadap berbagai perbedaan, termasuk perbedaan keyakinan. </w:t>
      </w:r>
      <w:r w:rsidRPr="007076D7">
        <w:rPr>
          <w:rFonts w:ascii="Century" w:hAnsi="Century" w:cs="Times New Roman"/>
          <w:sz w:val="24"/>
          <w:szCs w:val="24"/>
        </w:rPr>
        <w:t xml:space="preserve"> </w:t>
      </w:r>
    </w:p>
    <w:p w14:paraId="4ED4024B" w14:textId="53BA2516" w:rsidR="002B7BA1" w:rsidRPr="007076D7" w:rsidRDefault="002B7BA1" w:rsidP="00F01DD7">
      <w:pPr>
        <w:spacing w:line="360" w:lineRule="auto"/>
        <w:jc w:val="both"/>
        <w:rPr>
          <w:rFonts w:ascii="Century" w:hAnsi="Century" w:cs="Times New Roman"/>
          <w:sz w:val="24"/>
          <w:szCs w:val="24"/>
        </w:rPr>
      </w:pPr>
      <w:r w:rsidRPr="007076D7">
        <w:rPr>
          <w:rFonts w:ascii="Century" w:hAnsi="Century" w:cs="Times New Roman"/>
          <w:sz w:val="24"/>
          <w:szCs w:val="24"/>
        </w:rPr>
        <w:tab/>
      </w:r>
      <w:r w:rsidR="00693A06" w:rsidRPr="007076D7">
        <w:rPr>
          <w:rFonts w:ascii="Century" w:hAnsi="Century" w:cs="Times New Roman"/>
          <w:sz w:val="24"/>
          <w:szCs w:val="24"/>
        </w:rPr>
        <w:t>Sejalan dengan hal tersebut di atas, n</w:t>
      </w:r>
      <w:r w:rsidRPr="007076D7">
        <w:rPr>
          <w:rFonts w:ascii="Century" w:hAnsi="Century" w:cs="Times New Roman"/>
          <w:sz w:val="24"/>
          <w:szCs w:val="24"/>
        </w:rPr>
        <w:t>arasumber dengan lugas menyampaikan, bahwa:</w:t>
      </w:r>
    </w:p>
    <w:p w14:paraId="552B928A" w14:textId="4C50DCAB" w:rsidR="002B7BA1" w:rsidRPr="007076D7" w:rsidRDefault="002B7BA1" w:rsidP="002B7BA1">
      <w:pPr>
        <w:ind w:left="720" w:right="-64" w:hanging="90"/>
        <w:jc w:val="both"/>
        <w:rPr>
          <w:rFonts w:ascii="Century" w:hAnsi="Century" w:cs="Times New Roman"/>
          <w:sz w:val="24"/>
          <w:szCs w:val="24"/>
        </w:rPr>
      </w:pPr>
      <w:proofErr w:type="gramStart"/>
      <w:r w:rsidRPr="007076D7">
        <w:rPr>
          <w:rFonts w:ascii="Century" w:hAnsi="Century" w:cs="Times New Roman"/>
          <w:sz w:val="24"/>
          <w:szCs w:val="24"/>
        </w:rPr>
        <w:t>“ …</w:t>
      </w:r>
      <w:proofErr w:type="gramEnd"/>
      <w:r w:rsidRPr="007076D7">
        <w:rPr>
          <w:rFonts w:ascii="Century" w:hAnsi="Century" w:cs="Times New Roman"/>
          <w:sz w:val="24"/>
          <w:szCs w:val="24"/>
        </w:rPr>
        <w:t xml:space="preserve"> menjadi seseorang yang moderat itu perlu sebab dalam kehidupan sehari-hari kita akan selalu dihadapi oleh keberagaman. Terlebih sebagai warga Indonesia yang kehidupan masyarakatnya beranekaragam sehingga memiliki semboyan Bhinneka Tunggal Ika. Moderasi diartikan sebagai penghindaran terhadap tindak kekerasan atau keekstr</w:t>
      </w:r>
      <w:r w:rsidR="00291191" w:rsidRPr="007076D7">
        <w:rPr>
          <w:rFonts w:ascii="Century" w:hAnsi="Century" w:cs="Times New Roman"/>
          <w:sz w:val="24"/>
          <w:szCs w:val="24"/>
        </w:rPr>
        <w:t>e</w:t>
      </w:r>
      <w:r w:rsidRPr="007076D7">
        <w:rPr>
          <w:rFonts w:ascii="Century" w:hAnsi="Century" w:cs="Times New Roman"/>
          <w:sz w:val="24"/>
          <w:szCs w:val="24"/>
        </w:rPr>
        <w:t xml:space="preserve">man. Dalam praktiknya, moderasi bisa dilakukan dengan merawat keberagaman, menghargai semua perbedaan, adil, dan saling menghormati satu sama lain. Sikap moderat di kalangan pemuda perlu ditumbuhkan karena pemuda yang akan menjadi penerus bangsa, maka hal-hal mendasar yang </w:t>
      </w:r>
      <w:r w:rsidRPr="007076D7">
        <w:rPr>
          <w:rFonts w:ascii="Century" w:hAnsi="Century" w:cs="Times New Roman"/>
          <w:sz w:val="24"/>
          <w:szCs w:val="24"/>
        </w:rPr>
        <w:lastRenderedPageBreak/>
        <w:t>perlu diperhatikan adalah tidak merasa paling benar, memahami alasan orang lain, menghargai dan menerima pendapat orang lain”.</w:t>
      </w:r>
    </w:p>
    <w:p w14:paraId="066AC38D" w14:textId="2A55FD34" w:rsidR="002B7BA1" w:rsidRPr="007076D7" w:rsidRDefault="00693A06" w:rsidP="00F01DD7">
      <w:pPr>
        <w:spacing w:line="360" w:lineRule="auto"/>
        <w:jc w:val="both"/>
        <w:rPr>
          <w:rFonts w:ascii="Century" w:hAnsi="Century" w:cs="Times New Roman"/>
          <w:sz w:val="24"/>
          <w:szCs w:val="24"/>
        </w:rPr>
      </w:pPr>
      <w:r w:rsidRPr="007076D7">
        <w:rPr>
          <w:rFonts w:ascii="Century" w:hAnsi="Century" w:cs="Times New Roman"/>
          <w:sz w:val="24"/>
          <w:szCs w:val="24"/>
        </w:rPr>
        <w:t xml:space="preserve">Fakta bahwa bangsa Indonesia adalah bangsa yang beragam tidak dapat dinafikan. Keragaman yang ada justru menjadi kekuatan utama pembangunan bangsa ini. Oleh karena itu, hal dibutuhkan adalah posisi netral dalam kehidupan, baik dalam kehidupan sosial, politik, maupun keagamaan. </w:t>
      </w:r>
      <w:r w:rsidR="005311C1" w:rsidRPr="007076D7">
        <w:rPr>
          <w:rFonts w:ascii="Century" w:hAnsi="Century" w:cs="Times New Roman"/>
          <w:sz w:val="24"/>
          <w:szCs w:val="24"/>
        </w:rPr>
        <w:t xml:space="preserve">Sikap moderat menjadi jalan untuk terus merajut kebersamaan di atas perbedaan-perbedaan </w:t>
      </w:r>
      <w:r w:rsidR="001C447D" w:rsidRPr="007076D7">
        <w:rPr>
          <w:rFonts w:ascii="Century" w:hAnsi="Century" w:cs="Times New Roman"/>
          <w:sz w:val="24"/>
          <w:szCs w:val="24"/>
        </w:rPr>
        <w:t xml:space="preserve">di antara anak bangsa. </w:t>
      </w:r>
      <w:r w:rsidR="00322F26" w:rsidRPr="007076D7">
        <w:rPr>
          <w:rFonts w:ascii="Century" w:hAnsi="Century" w:cs="Times New Roman"/>
          <w:sz w:val="24"/>
          <w:szCs w:val="24"/>
        </w:rPr>
        <w:t>Sebaliknya, sikap fanatik yang berlebihan akan membawa kepada pertentangan atau konflik</w:t>
      </w:r>
      <w:r w:rsidR="003D4A12">
        <w:rPr>
          <w:rFonts w:ascii="Century" w:hAnsi="Century" w:cs="Times New Roman"/>
          <w:sz w:val="24"/>
          <w:szCs w:val="24"/>
        </w:rPr>
        <w:t xml:space="preserve"> </w:t>
      </w:r>
      <w:r w:rsidR="003D4A12">
        <w:rPr>
          <w:rFonts w:ascii="Century" w:hAnsi="Century" w:cs="Times New Roman"/>
          <w:sz w:val="24"/>
          <w:szCs w:val="24"/>
        </w:rPr>
        <w:fldChar w:fldCharType="begin" w:fldLock="1"/>
      </w:r>
      <w:r w:rsidR="001D1CEC">
        <w:rPr>
          <w:rFonts w:ascii="Century" w:hAnsi="Century" w:cs="Times New Roman"/>
          <w:sz w:val="24"/>
          <w:szCs w:val="24"/>
        </w:rPr>
        <w:instrText>ADDIN CSL_CITATION {"citationItems":[{"id":"ITEM-1","itemData":{"DOI":"http://dx.doi.org/10.24014/trs.v10i1.5720","author":[{"dropping-particle":"","family":"Hanafi","given":"Imam","non-dropping-particle":"","parse-names":false,"suffix":""}],"container-title":"TOLERANSI: Media Komunikasi umat Beragama","id":"ITEM-1","issue":"1","issued":{"date-parts":[["2018"]]},"page":"43-54","title":"Agama dalam bayang-bayang fanatisme: sebuah upaya mengelola konflik agama","type":"article-journal","volume":"10"},"uris":["http://www.mendeley.com/documents/?uuid=3fdfb879-d7e4-4d2a-aba6-555ddc2d5e09"]}],"mendeley":{"formattedCitation":"(Hanafi, 2018)","plainTextFormattedCitation":"(Hanafi, 2018)","previouslyFormattedCitation":"(Hanafi, 2018)"},"properties":{"noteIndex":0},"schema":"https://github.com/citation-style-language/schema/raw/master/csl-citation.json"}</w:instrText>
      </w:r>
      <w:r w:rsidR="003D4A12">
        <w:rPr>
          <w:rFonts w:ascii="Century" w:hAnsi="Century" w:cs="Times New Roman"/>
          <w:sz w:val="24"/>
          <w:szCs w:val="24"/>
        </w:rPr>
        <w:fldChar w:fldCharType="separate"/>
      </w:r>
      <w:r w:rsidR="003D4A12" w:rsidRPr="003D4A12">
        <w:rPr>
          <w:rFonts w:ascii="Century" w:hAnsi="Century" w:cs="Times New Roman"/>
          <w:noProof/>
          <w:sz w:val="24"/>
          <w:szCs w:val="24"/>
        </w:rPr>
        <w:t>(Hanafi, 2018)</w:t>
      </w:r>
      <w:r w:rsidR="003D4A12">
        <w:rPr>
          <w:rFonts w:ascii="Century" w:hAnsi="Century" w:cs="Times New Roman"/>
          <w:sz w:val="24"/>
          <w:szCs w:val="24"/>
        </w:rPr>
        <w:fldChar w:fldCharType="end"/>
      </w:r>
      <w:r w:rsidR="00322F26" w:rsidRPr="007076D7">
        <w:rPr>
          <w:rFonts w:ascii="Century" w:hAnsi="Century" w:cs="Times New Roman"/>
          <w:sz w:val="24"/>
          <w:szCs w:val="24"/>
        </w:rPr>
        <w:t xml:space="preserve">. </w:t>
      </w:r>
    </w:p>
    <w:p w14:paraId="6FDE5EA9" w14:textId="7E5307B3" w:rsidR="001F1EDD" w:rsidRPr="007076D7" w:rsidRDefault="001F1EDD" w:rsidP="00F01DD7">
      <w:pPr>
        <w:spacing w:line="360" w:lineRule="auto"/>
        <w:jc w:val="both"/>
        <w:rPr>
          <w:rFonts w:ascii="Century" w:hAnsi="Century" w:cs="Times New Roman"/>
          <w:sz w:val="24"/>
          <w:szCs w:val="24"/>
        </w:rPr>
      </w:pPr>
      <w:r w:rsidRPr="007076D7">
        <w:rPr>
          <w:rFonts w:ascii="Century" w:hAnsi="Century" w:cs="Times New Roman"/>
          <w:sz w:val="24"/>
          <w:szCs w:val="24"/>
        </w:rPr>
        <w:tab/>
        <w:t>S</w:t>
      </w:r>
      <w:r w:rsidR="00ED6D74" w:rsidRPr="007076D7">
        <w:rPr>
          <w:rFonts w:ascii="Century" w:hAnsi="Century" w:cs="Times New Roman"/>
          <w:sz w:val="24"/>
          <w:szCs w:val="24"/>
        </w:rPr>
        <w:t>alah satu pemuda</w:t>
      </w:r>
      <w:r w:rsidR="0052453C" w:rsidRPr="007076D7">
        <w:rPr>
          <w:rFonts w:ascii="Century" w:hAnsi="Century" w:cs="Times New Roman"/>
          <w:sz w:val="24"/>
          <w:szCs w:val="24"/>
        </w:rPr>
        <w:t>, RA (21),</w:t>
      </w:r>
      <w:r w:rsidRPr="007076D7">
        <w:rPr>
          <w:rFonts w:ascii="Century" w:hAnsi="Century" w:cs="Times New Roman"/>
          <w:sz w:val="24"/>
          <w:szCs w:val="24"/>
        </w:rPr>
        <w:t xml:space="preserve"> juga </w:t>
      </w:r>
      <w:r w:rsidR="00ED6D74" w:rsidRPr="007076D7">
        <w:rPr>
          <w:rFonts w:ascii="Century" w:hAnsi="Century" w:cs="Times New Roman"/>
          <w:sz w:val="24"/>
          <w:szCs w:val="24"/>
        </w:rPr>
        <w:t xml:space="preserve">menyampaikan </w:t>
      </w:r>
      <w:r w:rsidRPr="007076D7">
        <w:rPr>
          <w:rFonts w:ascii="Century" w:hAnsi="Century" w:cs="Times New Roman"/>
          <w:sz w:val="24"/>
          <w:szCs w:val="24"/>
        </w:rPr>
        <w:t xml:space="preserve">pernyataan seputar penggunaan media sosial yang sering digunakan sebagai media diseminasi paham (keagamaan) saat ini. Ia menanyakan: </w:t>
      </w:r>
    </w:p>
    <w:p w14:paraId="0E1F4C63" w14:textId="6805B205" w:rsidR="001F1EDD" w:rsidRPr="007076D7" w:rsidRDefault="001F1EDD" w:rsidP="0052453C">
      <w:pPr>
        <w:tabs>
          <w:tab w:val="left" w:pos="720"/>
        </w:tabs>
        <w:ind w:left="720"/>
        <w:jc w:val="both"/>
        <w:rPr>
          <w:rFonts w:ascii="Century" w:hAnsi="Century" w:cs="Times New Roman"/>
          <w:sz w:val="24"/>
          <w:szCs w:val="24"/>
        </w:rPr>
      </w:pPr>
      <w:r w:rsidRPr="007076D7">
        <w:rPr>
          <w:rFonts w:ascii="Century" w:hAnsi="Century" w:cs="Times New Roman"/>
          <w:sz w:val="24"/>
          <w:szCs w:val="24"/>
        </w:rPr>
        <w:t>“S</w:t>
      </w:r>
      <w:r w:rsidR="00ED6D74" w:rsidRPr="007076D7">
        <w:rPr>
          <w:rFonts w:ascii="Century" w:hAnsi="Century" w:cs="Times New Roman"/>
          <w:sz w:val="24"/>
          <w:szCs w:val="24"/>
        </w:rPr>
        <w:t xml:space="preserve">ikap apa yang harus dilakukan ketika memiliki rekan yang sering </w:t>
      </w:r>
      <w:r w:rsidR="00291191" w:rsidRPr="007076D7">
        <w:rPr>
          <w:rFonts w:ascii="Century" w:hAnsi="Century" w:cs="Times New Roman"/>
          <w:sz w:val="24"/>
          <w:szCs w:val="24"/>
        </w:rPr>
        <w:t>memiliki opini</w:t>
      </w:r>
      <w:r w:rsidR="00ED6D74" w:rsidRPr="007076D7">
        <w:rPr>
          <w:rFonts w:ascii="Century" w:hAnsi="Century" w:cs="Times New Roman"/>
          <w:sz w:val="24"/>
          <w:szCs w:val="24"/>
        </w:rPr>
        <w:t xml:space="preserve"> terlalu ekstrem di media sosial, apakah harus diingatkan atau cukup didiamkan saja</w:t>
      </w:r>
      <w:r w:rsidRPr="007076D7">
        <w:rPr>
          <w:rFonts w:ascii="Century" w:hAnsi="Century" w:cs="Times New Roman"/>
          <w:sz w:val="24"/>
          <w:szCs w:val="24"/>
        </w:rPr>
        <w:t>?</w:t>
      </w:r>
    </w:p>
    <w:p w14:paraId="78A857D3" w14:textId="552E7A57" w:rsidR="00ED6D74" w:rsidRPr="007076D7" w:rsidRDefault="0052453C"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Merespons pertanyaan tersebut, narasumber memberikan jawaban yang juga moderat seperti tema kegiatan pengabdian ini. Menurutnya, </w:t>
      </w:r>
      <w:r w:rsidR="00ED6D74" w:rsidRPr="007076D7">
        <w:rPr>
          <w:rFonts w:ascii="Century" w:hAnsi="Century" w:cs="Times New Roman"/>
          <w:sz w:val="24"/>
          <w:szCs w:val="24"/>
        </w:rPr>
        <w:t>untuk membenahi hal lain (mengomentari, mencemooh, menyampaikan rasa tidak suka) bisa dilakukan kepada diri sendiri terlebih dahulu. Jangan sampai tenaga yang dimiliki terkuras habis untuk mengurusi hal-hal lain sementara dirinya sendiri tidak berkembang. Orang yang demikian akan berada pada titik jenuh, sebagai temannya jika kita merasa terganggu diamkan saja dan tetap terus mengembangkan diri dengan mencari ilmu.</w:t>
      </w:r>
    </w:p>
    <w:p w14:paraId="575D515D" w14:textId="1B58AB27" w:rsidR="008433BD" w:rsidRPr="007076D7" w:rsidRDefault="008433BD" w:rsidP="008433BD">
      <w:pPr>
        <w:jc w:val="both"/>
        <w:rPr>
          <w:rFonts w:ascii="Century" w:hAnsi="Century" w:cs="Times New Roman"/>
          <w:sz w:val="24"/>
          <w:szCs w:val="24"/>
        </w:rPr>
      </w:pPr>
      <w:r w:rsidRPr="007076D7">
        <w:rPr>
          <w:rFonts w:ascii="Century" w:hAnsi="Century" w:cs="Times New Roman"/>
          <w:b/>
          <w:bCs/>
          <w:sz w:val="24"/>
          <w:szCs w:val="24"/>
        </w:rPr>
        <w:tab/>
      </w:r>
      <w:r w:rsidRPr="007076D7">
        <w:rPr>
          <w:rFonts w:ascii="Century" w:hAnsi="Century" w:cs="Times New Roman"/>
          <w:sz w:val="24"/>
          <w:szCs w:val="24"/>
        </w:rPr>
        <w:t xml:space="preserve">Lebih lanjut, disampaikan juga mengenai </w:t>
      </w:r>
      <w:r w:rsidR="0052453C" w:rsidRPr="007076D7">
        <w:rPr>
          <w:rFonts w:ascii="Century" w:hAnsi="Century" w:cs="Times New Roman"/>
          <w:sz w:val="24"/>
          <w:szCs w:val="24"/>
        </w:rPr>
        <w:t>l</w:t>
      </w:r>
      <w:r w:rsidRPr="007076D7">
        <w:rPr>
          <w:rFonts w:ascii="Century" w:hAnsi="Century" w:cs="Times New Roman"/>
          <w:sz w:val="24"/>
          <w:szCs w:val="24"/>
        </w:rPr>
        <w:t>angkah-langkah menjadi seorang yang moderat. Beberapa langkah untuk menjadi seseorang yang moderat di antaranya:</w:t>
      </w:r>
    </w:p>
    <w:p w14:paraId="18BC161E" w14:textId="17D89F55" w:rsidR="008433BD" w:rsidRPr="007076D7" w:rsidRDefault="008433BD" w:rsidP="008433BD">
      <w:pPr>
        <w:ind w:left="720"/>
        <w:jc w:val="both"/>
        <w:rPr>
          <w:rFonts w:ascii="Century" w:hAnsi="Century" w:cs="Times New Roman"/>
          <w:sz w:val="24"/>
          <w:szCs w:val="24"/>
        </w:rPr>
      </w:pPr>
      <w:proofErr w:type="gramStart"/>
      <w:r w:rsidRPr="007076D7">
        <w:rPr>
          <w:rFonts w:ascii="Century" w:hAnsi="Century" w:cs="Times New Roman"/>
          <w:sz w:val="24"/>
          <w:szCs w:val="24"/>
        </w:rPr>
        <w:t>“ …</w:t>
      </w:r>
      <w:proofErr w:type="gramEnd"/>
      <w:r w:rsidRPr="007076D7">
        <w:rPr>
          <w:rFonts w:ascii="Century" w:hAnsi="Century" w:cs="Times New Roman"/>
          <w:sz w:val="24"/>
          <w:szCs w:val="24"/>
        </w:rPr>
        <w:t xml:space="preserve"> memiliki sikap terbuka artinya seseorang harus menggunakan mata, telinga, dan hati untuk memahami dan menghargai perbedaan. </w:t>
      </w:r>
      <w:r w:rsidR="007E4224" w:rsidRPr="007076D7">
        <w:rPr>
          <w:rFonts w:ascii="Century" w:hAnsi="Century" w:cs="Times New Roman"/>
          <w:i/>
          <w:iCs/>
          <w:sz w:val="24"/>
          <w:szCs w:val="24"/>
        </w:rPr>
        <w:t xml:space="preserve">Pertama, </w:t>
      </w:r>
      <w:r w:rsidR="007E4224" w:rsidRPr="007076D7">
        <w:rPr>
          <w:rFonts w:ascii="Century" w:hAnsi="Century" w:cs="Times New Roman"/>
          <w:sz w:val="24"/>
          <w:szCs w:val="24"/>
        </w:rPr>
        <w:t>s</w:t>
      </w:r>
      <w:r w:rsidRPr="007076D7">
        <w:rPr>
          <w:rFonts w:ascii="Century" w:hAnsi="Century" w:cs="Times New Roman"/>
          <w:sz w:val="24"/>
          <w:szCs w:val="24"/>
        </w:rPr>
        <w:t xml:space="preserve">elalu berpikir maju dengan berbekal ilmu dan mengutamakan kemuliaan budi pekerti. </w:t>
      </w:r>
      <w:r w:rsidR="007E4224" w:rsidRPr="007076D7">
        <w:rPr>
          <w:rFonts w:ascii="Century" w:hAnsi="Century" w:cs="Times New Roman"/>
          <w:i/>
          <w:iCs/>
          <w:sz w:val="24"/>
          <w:szCs w:val="24"/>
        </w:rPr>
        <w:t>Kedua,</w:t>
      </w:r>
      <w:r w:rsidRPr="007076D7">
        <w:rPr>
          <w:rFonts w:ascii="Century" w:hAnsi="Century" w:cs="Times New Roman"/>
          <w:sz w:val="24"/>
          <w:szCs w:val="24"/>
        </w:rPr>
        <w:t xml:space="preserve"> kemampuan berpikir rasional</w:t>
      </w:r>
      <w:r w:rsidR="007E4224" w:rsidRPr="007076D7">
        <w:rPr>
          <w:rFonts w:ascii="Century" w:hAnsi="Century" w:cs="Times New Roman"/>
          <w:sz w:val="24"/>
          <w:szCs w:val="24"/>
        </w:rPr>
        <w:t>.</w:t>
      </w:r>
      <w:r w:rsidRPr="007076D7">
        <w:rPr>
          <w:rFonts w:ascii="Century" w:hAnsi="Century" w:cs="Times New Roman"/>
          <w:sz w:val="24"/>
          <w:szCs w:val="24"/>
        </w:rPr>
        <w:t xml:space="preserve"> </w:t>
      </w:r>
      <w:r w:rsidR="007E4224" w:rsidRPr="007076D7">
        <w:rPr>
          <w:rFonts w:ascii="Century" w:hAnsi="Century" w:cs="Times New Roman"/>
          <w:sz w:val="24"/>
          <w:szCs w:val="24"/>
        </w:rPr>
        <w:t xml:space="preserve">Hal ini dilakukan dengan </w:t>
      </w:r>
      <w:r w:rsidRPr="007076D7">
        <w:rPr>
          <w:rFonts w:ascii="Century" w:hAnsi="Century" w:cs="Times New Roman"/>
          <w:sz w:val="24"/>
          <w:szCs w:val="24"/>
        </w:rPr>
        <w:t>me</w:t>
      </w:r>
      <w:r w:rsidR="007E4224" w:rsidRPr="007076D7">
        <w:rPr>
          <w:rFonts w:ascii="Century" w:hAnsi="Century" w:cs="Times New Roman"/>
          <w:sz w:val="24"/>
          <w:szCs w:val="24"/>
        </w:rPr>
        <w:t>lihat</w:t>
      </w:r>
      <w:r w:rsidRPr="007076D7">
        <w:rPr>
          <w:rFonts w:ascii="Century" w:hAnsi="Century" w:cs="Times New Roman"/>
          <w:sz w:val="24"/>
          <w:szCs w:val="24"/>
        </w:rPr>
        <w:t xml:space="preserve"> segala sesuatu </w:t>
      </w:r>
      <w:r w:rsidRPr="007076D7">
        <w:rPr>
          <w:rFonts w:ascii="Century" w:hAnsi="Century" w:cs="Times New Roman"/>
          <w:sz w:val="24"/>
          <w:szCs w:val="24"/>
        </w:rPr>
        <w:lastRenderedPageBreak/>
        <w:t xml:space="preserve">dengan akal sehat. Hal ini bisa dilakukan dengan menyampaikan pendapat yang berlandaskan ilmu bukan sekedar opini, sehingga yang disampaikan akan lebih tertata (metodis dan sistematis). </w:t>
      </w:r>
      <w:r w:rsidRPr="007076D7">
        <w:rPr>
          <w:rFonts w:ascii="Century" w:hAnsi="Century" w:cs="Times New Roman"/>
          <w:i/>
          <w:iCs/>
          <w:sz w:val="24"/>
          <w:szCs w:val="24"/>
        </w:rPr>
        <w:t>Ketiga</w:t>
      </w:r>
      <w:r w:rsidR="007E4224" w:rsidRPr="007076D7">
        <w:rPr>
          <w:rFonts w:ascii="Century" w:hAnsi="Century" w:cs="Times New Roman"/>
          <w:sz w:val="24"/>
          <w:szCs w:val="24"/>
        </w:rPr>
        <w:t>,</w:t>
      </w:r>
      <w:r w:rsidRPr="007076D7">
        <w:rPr>
          <w:rFonts w:ascii="Century" w:hAnsi="Century" w:cs="Times New Roman"/>
          <w:sz w:val="24"/>
          <w:szCs w:val="24"/>
        </w:rPr>
        <w:t xml:space="preserve"> rendah hati</w:t>
      </w:r>
      <w:r w:rsidR="007E4224" w:rsidRPr="007076D7">
        <w:rPr>
          <w:rFonts w:ascii="Century" w:hAnsi="Century" w:cs="Times New Roman"/>
          <w:sz w:val="24"/>
          <w:szCs w:val="24"/>
        </w:rPr>
        <w:t>.</w:t>
      </w:r>
      <w:r w:rsidRPr="007076D7">
        <w:rPr>
          <w:rFonts w:ascii="Century" w:hAnsi="Century" w:cs="Times New Roman"/>
          <w:sz w:val="24"/>
          <w:szCs w:val="24"/>
        </w:rPr>
        <w:t xml:space="preserve"> </w:t>
      </w:r>
      <w:r w:rsidR="007E4224" w:rsidRPr="007076D7">
        <w:rPr>
          <w:rFonts w:ascii="Century" w:hAnsi="Century" w:cs="Times New Roman"/>
          <w:sz w:val="24"/>
          <w:szCs w:val="24"/>
        </w:rPr>
        <w:t xml:space="preserve">Sikap ini dapat </w:t>
      </w:r>
      <w:r w:rsidRPr="007076D7">
        <w:rPr>
          <w:rFonts w:ascii="Century" w:hAnsi="Century" w:cs="Times New Roman"/>
          <w:sz w:val="24"/>
          <w:szCs w:val="24"/>
        </w:rPr>
        <w:t xml:space="preserve">diwujudkan dengan menjadi seseorang yang senantiasa haus ilmu, mau belajar, tidak merasa paling benar, dan mau mendengarkan orang lain. </w:t>
      </w:r>
      <w:r w:rsidR="009B2425" w:rsidRPr="007076D7">
        <w:rPr>
          <w:rFonts w:ascii="Century" w:hAnsi="Century" w:cs="Times New Roman"/>
          <w:i/>
          <w:iCs/>
          <w:sz w:val="24"/>
          <w:szCs w:val="24"/>
        </w:rPr>
        <w:t xml:space="preserve">Keempat, </w:t>
      </w:r>
      <w:r w:rsidRPr="007076D7">
        <w:rPr>
          <w:rFonts w:ascii="Century" w:hAnsi="Century" w:cs="Times New Roman"/>
          <w:sz w:val="24"/>
          <w:szCs w:val="24"/>
        </w:rPr>
        <w:t>membawa manfaat</w:t>
      </w:r>
      <w:r w:rsidR="009B2425" w:rsidRPr="007076D7">
        <w:rPr>
          <w:rFonts w:ascii="Century" w:hAnsi="Century" w:cs="Times New Roman"/>
          <w:sz w:val="24"/>
          <w:szCs w:val="24"/>
        </w:rPr>
        <w:t>.</w:t>
      </w:r>
      <w:r w:rsidRPr="007076D7">
        <w:rPr>
          <w:rFonts w:ascii="Century" w:hAnsi="Century" w:cs="Times New Roman"/>
          <w:sz w:val="24"/>
          <w:szCs w:val="24"/>
        </w:rPr>
        <w:t xml:space="preserve"> </w:t>
      </w:r>
      <w:r w:rsidR="009B2425" w:rsidRPr="007076D7">
        <w:rPr>
          <w:rFonts w:ascii="Century" w:hAnsi="Century" w:cs="Times New Roman"/>
          <w:sz w:val="24"/>
          <w:szCs w:val="24"/>
        </w:rPr>
        <w:t>S</w:t>
      </w:r>
      <w:r w:rsidRPr="007076D7">
        <w:rPr>
          <w:rFonts w:ascii="Century" w:hAnsi="Century" w:cs="Times New Roman"/>
          <w:sz w:val="24"/>
          <w:szCs w:val="24"/>
        </w:rPr>
        <w:t>eseorang harus menyadari bahwa apa yang dilakukannya harus membawa manfaat bagi diri sendiri maupun orang lain”.</w:t>
      </w:r>
    </w:p>
    <w:p w14:paraId="6C654543" w14:textId="5AE9C06E" w:rsidR="00EF3F60" w:rsidRPr="007076D7" w:rsidRDefault="00EF3F60" w:rsidP="00F01DD7">
      <w:pPr>
        <w:spacing w:line="360" w:lineRule="auto"/>
        <w:ind w:firstLine="360"/>
        <w:jc w:val="both"/>
        <w:rPr>
          <w:rFonts w:ascii="Century" w:hAnsi="Century" w:cs="Times New Roman"/>
          <w:sz w:val="24"/>
          <w:szCs w:val="24"/>
        </w:rPr>
      </w:pPr>
      <w:r w:rsidRPr="007076D7">
        <w:rPr>
          <w:rFonts w:ascii="Century" w:hAnsi="Century" w:cs="Times New Roman"/>
          <w:sz w:val="24"/>
          <w:szCs w:val="24"/>
        </w:rPr>
        <w:t>Sebagai umat beragama, sepantasnya senantiasa menyebarkan virus-virus kebaikan demi tegaknya kehidupan yang lebih harmonis dan humanis di antara sesama ciptaan Tuhan.</w:t>
      </w:r>
      <w:r w:rsidR="00A54372" w:rsidRPr="007076D7">
        <w:rPr>
          <w:rFonts w:ascii="Century" w:hAnsi="Century" w:cs="Times New Roman"/>
          <w:sz w:val="24"/>
          <w:szCs w:val="24"/>
        </w:rPr>
        <w:t xml:space="preserve"> Perbedaan etnis, ras, golongan, dan sebagainya bukanlah penghalang untuk saling bersinergi</w:t>
      </w:r>
      <w:r w:rsidR="00F37F4E" w:rsidRPr="007076D7">
        <w:rPr>
          <w:rFonts w:ascii="Century" w:hAnsi="Century" w:cs="Times New Roman"/>
          <w:sz w:val="24"/>
          <w:szCs w:val="24"/>
        </w:rPr>
        <w:t xml:space="preserve"> </w:t>
      </w:r>
      <w:r w:rsidR="00F37F4E" w:rsidRPr="007076D7">
        <w:rPr>
          <w:rFonts w:ascii="Century" w:hAnsi="Century" w:cs="Times New Roman"/>
          <w:sz w:val="24"/>
          <w:szCs w:val="24"/>
        </w:rPr>
        <w:fldChar w:fldCharType="begin" w:fldLock="1"/>
      </w:r>
      <w:r w:rsidR="00FA0345">
        <w:rPr>
          <w:rFonts w:ascii="Century" w:hAnsi="Century" w:cs="Times New Roman"/>
          <w:sz w:val="24"/>
          <w:szCs w:val="24"/>
        </w:rPr>
        <w:instrText>ADDIN CSL_CITATION {"citationItems":[{"id":"ITEM-1","itemData":{"DOI":"10.51675/jt.v13i1.54","ISSN":"2338-1612","abstract":"Agama Islam merupakan agama yang kāffah, tidak hanya mengatur hubungan manusia dengan Tuhannya (vertical), amalan amalan yang berhubugan dengan ibadah atau sering dikenal dengan istilah aspek ritual, kebutuhan rohani seseorang seperti shalat, puasa, zakat, secara tidak langsung akan mendatangkan ketenangan dan kedamaian dalam jiwa.Akan tetapi juga mengatur pola hubungan antar sesama manusia (Horizontal), atau sering di kenal dengan istilah muamalah (aspek social) yang menekankan sikap toleran terhadap sesama makhluk, mengatur bagaimana pentingnya berbuat baik dan menempatkan diri pada posisi semestinya dalam berinteraksi dengan sesama,terpenuhinya aspek mu’amalah menjadi sangat penting bukan hanya sebagai pelengkap unsur ubudiyah, akan tetapi karena ia merupakan manifestasi dari kebenaraan ritual ubudiyyah, nilai-nilai yang terserap dari ritual ibadah selanjutnya akan bertransformasi dan bersinergi dengan aktifitas mu’amalah seseorang, yang tercermin dalam sikap yang luhur serta budi pekerti yang baik.Namun dalam realitas perjalan kehidupan  masyarakat, dalam tataran perjalanannya sering terjadi ketidak seimbangan antara aspek ritual dan sosial, ritual ubudiyyah bagus akan tetapi aspek sosial (mu’amalahnya) kuarang bagus ataupun sebaliknya, yang akan berimplikasi pada kesenjangan hidup, kesenjangan antara aspek lahir dan batin yang selanjutnya akan menggiring pada tataran apatis terhadap sikap bermasyarakat.\r Dari problem inilah yang menjadi objek kajian penulis dan di cari titik jelas, a). apa pengertian Ibadah dan mu’amalah,?, bagaimana hubungan ibadah dan mu’amalah?, bagaimana perbedaan aspek ibadah dan mu’amalah?, bagaimana purifikasi dalam ibadah (ritual) dan modernisasi dalam social (mua’malah) berdasarkan prinsip-prinsip atau asas aspek ibadah dan mu’amlah?, bagaimana peranan nalar dalam bidang ibadah dan bidang social. Setelah di adakan kajian yang sedemikian serius penulis menyimpulkan,ibadah mengatur hubungan manusia dengan Tuhannya (vertical) sedang muamalah adalah transaksi pola hubungan antar sesama manusia (Horizontal),hubungan ibadah dan muamalah adalah akomudatif , aspek ibadah mengutamakan kepentingan Individu dalam bidang Ibadah kepada Tuhannya, sedangkan aspek muamalah mengutamakan kepentingan sosial dalam bidang mu’amalah, modernisasi, dalam arti meliputi segala macam bentuk mu’amalah diizinkan oleh shari’ah Islam, selama tidak bertentangan dengan prinsip dan jiwa shari’ah Islam itu sendiri,peran nalar dalam bidang ibadah tidak bisa …","author":[{"dropping-particle":"","family":"Yudi Arianto","given":"","non-dropping-particle":"","parse-names":false,"suffix":""},{"dropping-particle":"","family":"Rinwanto","given":"","non-dropping-particle":"","parse-names":false,"suffix":""}],"container-title":"Tadris : Jurnal Penelitian dan Pemikiran Pendidikan Islam","id":"ITEM-1","issued":{"date-parts":[["2019"]]},"title":"ASPEK RITUAL DAN SOSIAL DALAM TIPOLOGI PERILAKU KEBERAGAMAAN MASYARAKAT","type":"article-journal"},"uris":["http://www.mendeley.com/documents/?uuid=aff28163-f509-4878-9a04-30f5b081a30c","http://www.mendeley.com/documents/?uuid=009ea3eb-857f-4086-986d-d67f53327ef3","http://www.mendeley.com/documents/?uuid=b7496c3d-4f5a-4f61-ba16-2cf7ddb6c90f"]}],"mendeley":{"formattedCitation":"(Yudi Arianto &amp; Rinwanto, 2019)","plainTextFormattedCitation":"(Yudi Arianto &amp; Rinwanto, 2019)","previouslyFormattedCitation":"(Yudi Arianto &amp; Rinwanto, 2019)"},"properties":{"noteIndex":0},"schema":"https://github.com/citation-style-language/schema/raw/master/csl-citation.json"}</w:instrText>
      </w:r>
      <w:r w:rsidR="00F37F4E" w:rsidRPr="007076D7">
        <w:rPr>
          <w:rFonts w:ascii="Century" w:hAnsi="Century" w:cs="Times New Roman"/>
          <w:sz w:val="24"/>
          <w:szCs w:val="24"/>
        </w:rPr>
        <w:fldChar w:fldCharType="separate"/>
      </w:r>
      <w:r w:rsidR="00F37F4E" w:rsidRPr="007076D7">
        <w:rPr>
          <w:rFonts w:ascii="Century" w:hAnsi="Century" w:cs="Times New Roman"/>
          <w:noProof/>
          <w:sz w:val="24"/>
          <w:szCs w:val="24"/>
        </w:rPr>
        <w:t>(Yudi Arianto &amp; Rinwanto, 2019)</w:t>
      </w:r>
      <w:r w:rsidR="00F37F4E" w:rsidRPr="007076D7">
        <w:rPr>
          <w:rFonts w:ascii="Century" w:hAnsi="Century" w:cs="Times New Roman"/>
          <w:sz w:val="24"/>
          <w:szCs w:val="24"/>
        </w:rPr>
        <w:fldChar w:fldCharType="end"/>
      </w:r>
      <w:r w:rsidR="00A54372" w:rsidRPr="007076D7">
        <w:rPr>
          <w:rFonts w:ascii="Century" w:hAnsi="Century" w:cs="Times New Roman"/>
          <w:sz w:val="24"/>
          <w:szCs w:val="24"/>
        </w:rPr>
        <w:t>. Justru dengan perbedaan-perbedaan tersebut, bangsa ini akan semakin maju dan kuat jika perbedaan dikelola dengan berorientasi pada penciptaan kehidupan yang seimbang dan saling menghargai</w:t>
      </w:r>
      <w:r w:rsidR="00CC7452" w:rsidRPr="007076D7">
        <w:rPr>
          <w:rFonts w:ascii="Century" w:hAnsi="Century" w:cs="Times New Roman"/>
          <w:sz w:val="24"/>
          <w:szCs w:val="24"/>
        </w:rPr>
        <w:t xml:space="preserve"> serta memberi ruang masing-masing untuk berekspresi sesuai dengan identitas masing-masing</w:t>
      </w:r>
      <w:r w:rsidR="00A54372" w:rsidRPr="007076D7">
        <w:rPr>
          <w:rFonts w:ascii="Century" w:hAnsi="Century" w:cs="Times New Roman"/>
          <w:sz w:val="24"/>
          <w:szCs w:val="24"/>
        </w:rPr>
        <w:t xml:space="preserve">. </w:t>
      </w:r>
    </w:p>
    <w:p w14:paraId="3A05E07C" w14:textId="77777777" w:rsidR="00B527A9" w:rsidRPr="007076D7" w:rsidRDefault="00B527A9" w:rsidP="00EF3F60">
      <w:pPr>
        <w:jc w:val="both"/>
        <w:rPr>
          <w:rFonts w:ascii="Century" w:hAnsi="Century" w:cs="Times New Roman"/>
          <w:sz w:val="24"/>
          <w:szCs w:val="24"/>
        </w:rPr>
      </w:pPr>
    </w:p>
    <w:p w14:paraId="4393D0BF" w14:textId="7F3135DB" w:rsidR="008433BD" w:rsidRPr="007076D7" w:rsidRDefault="00E807C3" w:rsidP="00B527A9">
      <w:pPr>
        <w:pStyle w:val="ListParagraph"/>
        <w:numPr>
          <w:ilvl w:val="0"/>
          <w:numId w:val="2"/>
        </w:numPr>
        <w:ind w:left="360"/>
        <w:jc w:val="both"/>
        <w:rPr>
          <w:rFonts w:ascii="Century" w:hAnsi="Century" w:cs="Times New Roman"/>
          <w:b/>
          <w:bCs/>
          <w:sz w:val="24"/>
          <w:szCs w:val="24"/>
        </w:rPr>
      </w:pPr>
      <w:r>
        <w:rPr>
          <w:rFonts w:ascii="Century" w:hAnsi="Century" w:cs="Times New Roman"/>
          <w:b/>
          <w:bCs/>
          <w:sz w:val="24"/>
          <w:szCs w:val="24"/>
        </w:rPr>
        <w:t>SIMPULAN DAN SARAN</w:t>
      </w:r>
      <w:r w:rsidR="00B527A9" w:rsidRPr="007076D7">
        <w:rPr>
          <w:rFonts w:ascii="Century" w:hAnsi="Century" w:cs="Times New Roman"/>
          <w:b/>
          <w:bCs/>
          <w:sz w:val="24"/>
          <w:szCs w:val="24"/>
        </w:rPr>
        <w:t xml:space="preserve"> </w:t>
      </w:r>
    </w:p>
    <w:p w14:paraId="1E3E5471" w14:textId="5FCC273A" w:rsidR="00B527A9" w:rsidRPr="007076D7" w:rsidRDefault="00175EBB"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Peneguhan paham moderat di kalangan pemuda telah memberikan penjelasan atas pentingnya upaya seperti ini dilakukan dalam rangka terus memperkenalkan dan memperkenalkan pemahaman yang baik di tengah mereka. Pemuda memiliki sejumlah potensi untuk tidak saja menjadi medium diseminasi paham-paham yang moderat, tetapi juga sebagai agen yang dapat bergerak sebagai “corong” dan garda terdepan dalam menangkal paham-paham yang ekstrim-eks</w:t>
      </w:r>
      <w:r w:rsidR="00291191" w:rsidRPr="007076D7">
        <w:rPr>
          <w:rFonts w:ascii="Century" w:hAnsi="Century" w:cs="Times New Roman"/>
          <w:sz w:val="24"/>
          <w:szCs w:val="24"/>
        </w:rPr>
        <w:t>k</w:t>
      </w:r>
      <w:r w:rsidRPr="007076D7">
        <w:rPr>
          <w:rFonts w:ascii="Century" w:hAnsi="Century" w:cs="Times New Roman"/>
          <w:sz w:val="24"/>
          <w:szCs w:val="24"/>
        </w:rPr>
        <w:t>lusif saat ini dan di masa mendatang. Kemunculan kelompok-kelompok keagamaan yang cenderung tertutup dan menganggap kelomp</w:t>
      </w:r>
      <w:r w:rsidR="00291191" w:rsidRPr="007076D7">
        <w:rPr>
          <w:rFonts w:ascii="Century" w:hAnsi="Century" w:cs="Times New Roman"/>
          <w:sz w:val="24"/>
          <w:szCs w:val="24"/>
        </w:rPr>
        <w:t>o</w:t>
      </w:r>
      <w:r w:rsidRPr="007076D7">
        <w:rPr>
          <w:rFonts w:ascii="Century" w:hAnsi="Century" w:cs="Times New Roman"/>
          <w:sz w:val="24"/>
          <w:szCs w:val="24"/>
        </w:rPr>
        <w:t>knya sebagai satu-satunya yang terbaik</w:t>
      </w:r>
      <w:r w:rsidR="00543F1B" w:rsidRPr="007076D7">
        <w:rPr>
          <w:rFonts w:ascii="Century" w:hAnsi="Century" w:cs="Times New Roman"/>
          <w:sz w:val="24"/>
          <w:szCs w:val="24"/>
        </w:rPr>
        <w:t xml:space="preserve"> menjadi tantangan serius khususnya bagi masyarakat beragama. Kegiatan ini ternyata memberikan dampak positif terhadap peningkatan pengetahuan dan kesadaran pemuda terhadap adanya </w:t>
      </w:r>
      <w:r w:rsidR="00543F1B" w:rsidRPr="007076D7">
        <w:rPr>
          <w:rFonts w:ascii="Century" w:hAnsi="Century" w:cs="Times New Roman"/>
          <w:sz w:val="24"/>
          <w:szCs w:val="24"/>
        </w:rPr>
        <w:lastRenderedPageBreak/>
        <w:t>potensi hambatan penciptaan kehidupan so</w:t>
      </w:r>
      <w:r w:rsidR="0095341E" w:rsidRPr="007076D7">
        <w:rPr>
          <w:rFonts w:ascii="Century" w:hAnsi="Century" w:cs="Times New Roman"/>
          <w:sz w:val="24"/>
          <w:szCs w:val="24"/>
        </w:rPr>
        <w:t>s</w:t>
      </w:r>
      <w:r w:rsidR="00543F1B" w:rsidRPr="007076D7">
        <w:rPr>
          <w:rFonts w:ascii="Century" w:hAnsi="Century" w:cs="Times New Roman"/>
          <w:sz w:val="24"/>
          <w:szCs w:val="24"/>
        </w:rPr>
        <w:t xml:space="preserve">ial yang damai, toleran, dan inklusif saat ini. </w:t>
      </w:r>
    </w:p>
    <w:p w14:paraId="6024D944" w14:textId="194EEFE3" w:rsidR="00270723" w:rsidRPr="007076D7" w:rsidRDefault="00543F1B"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Kegiatan pengabdian yang berfokus pada pemberdayaan pemuda untuk lebih peka dan berwawasan moderat perlu digalakkan. Wawasan moderasi di kalangan pemuda dapat dilakukan dengan berbagai strategi yang tidak saja berfokus pada pengayaam materi, tetapi juga praktik kehidupan yang moderat. Kegiatan ini hanya terbatas peneguhan pemahaman pemuda dengan memberikan pe</w:t>
      </w:r>
      <w:r w:rsidR="00291191" w:rsidRPr="007076D7">
        <w:rPr>
          <w:rFonts w:ascii="Century" w:hAnsi="Century" w:cs="Times New Roman"/>
          <w:sz w:val="24"/>
          <w:szCs w:val="24"/>
        </w:rPr>
        <w:t>rt</w:t>
      </w:r>
      <w:r w:rsidRPr="007076D7">
        <w:rPr>
          <w:rFonts w:ascii="Century" w:hAnsi="Century" w:cs="Times New Roman"/>
          <w:sz w:val="24"/>
          <w:szCs w:val="24"/>
        </w:rPr>
        <w:t>a</w:t>
      </w:r>
      <w:r w:rsidR="00291191" w:rsidRPr="007076D7">
        <w:rPr>
          <w:rFonts w:ascii="Century" w:hAnsi="Century" w:cs="Times New Roman"/>
          <w:sz w:val="24"/>
          <w:szCs w:val="24"/>
        </w:rPr>
        <w:t>n</w:t>
      </w:r>
      <w:r w:rsidRPr="007076D7">
        <w:rPr>
          <w:rFonts w:ascii="Century" w:hAnsi="Century" w:cs="Times New Roman"/>
          <w:sz w:val="24"/>
          <w:szCs w:val="24"/>
        </w:rPr>
        <w:t>yaan pengetahuan berupa teori yang menjadi kerangka pembentukan sikap moderat. Dalam hal ini, pembekalan mengenai bagaimana mempraktikkan paham moderasi belum dijadikan fo</w:t>
      </w:r>
      <w:r w:rsidR="00FA0345">
        <w:rPr>
          <w:rFonts w:ascii="Century" w:hAnsi="Century" w:cs="Times New Roman"/>
          <w:sz w:val="24"/>
          <w:szCs w:val="24"/>
        </w:rPr>
        <w:t>k</w:t>
      </w:r>
      <w:r w:rsidRPr="007076D7">
        <w:rPr>
          <w:rFonts w:ascii="Century" w:hAnsi="Century" w:cs="Times New Roman"/>
          <w:sz w:val="24"/>
          <w:szCs w:val="24"/>
        </w:rPr>
        <w:t xml:space="preserve">us. Oleh karena itu, perlu dilakukan </w:t>
      </w:r>
      <w:r w:rsidR="0095341E" w:rsidRPr="007076D7">
        <w:rPr>
          <w:rFonts w:ascii="Century" w:hAnsi="Century" w:cs="Times New Roman"/>
          <w:sz w:val="24"/>
          <w:szCs w:val="24"/>
        </w:rPr>
        <w:t xml:space="preserve">kegiatan dengan melibatkan pemuda yang berfokus pada bagaimana mengimplementasikan pengetahuan mengenai moderasi yang dimilikinya dalam kehidupan sosial yang lebih luas. Dengan demikian, ke depan akan terbentuk pemahaman yang baik di kalangan pemuda dan didukung dengan praktik relasi yang moderat, terbuka, damai, dan toleran. </w:t>
      </w:r>
    </w:p>
    <w:p w14:paraId="3E96D509" w14:textId="6C1797BB" w:rsidR="00543F1B" w:rsidRPr="007076D7" w:rsidRDefault="0095341E" w:rsidP="00175EBB">
      <w:pPr>
        <w:ind w:firstLine="720"/>
        <w:jc w:val="both"/>
        <w:rPr>
          <w:rFonts w:ascii="Century" w:hAnsi="Century" w:cs="Times New Roman"/>
          <w:sz w:val="24"/>
          <w:szCs w:val="24"/>
        </w:rPr>
      </w:pPr>
      <w:r w:rsidRPr="007076D7">
        <w:rPr>
          <w:rFonts w:ascii="Century" w:hAnsi="Century" w:cs="Times New Roman"/>
          <w:sz w:val="24"/>
          <w:szCs w:val="24"/>
        </w:rPr>
        <w:t xml:space="preserve"> </w:t>
      </w:r>
      <w:r w:rsidR="00543F1B" w:rsidRPr="007076D7">
        <w:rPr>
          <w:rFonts w:ascii="Century" w:hAnsi="Century" w:cs="Times New Roman"/>
          <w:sz w:val="24"/>
          <w:szCs w:val="24"/>
        </w:rPr>
        <w:t xml:space="preserve"> </w:t>
      </w:r>
    </w:p>
    <w:p w14:paraId="48828260" w14:textId="7D1D59D6" w:rsidR="00B527A9" w:rsidRPr="007076D7" w:rsidRDefault="00F964F6" w:rsidP="00B527A9">
      <w:pPr>
        <w:jc w:val="both"/>
        <w:rPr>
          <w:rFonts w:ascii="Century" w:hAnsi="Century" w:cs="Times New Roman"/>
          <w:b/>
          <w:bCs/>
          <w:sz w:val="24"/>
          <w:szCs w:val="24"/>
        </w:rPr>
      </w:pPr>
      <w:r w:rsidRPr="007076D7">
        <w:rPr>
          <w:rFonts w:ascii="Century" w:hAnsi="Century" w:cs="Times New Roman"/>
          <w:b/>
          <w:bCs/>
          <w:sz w:val="24"/>
          <w:szCs w:val="24"/>
        </w:rPr>
        <w:t>UCAPAN TERIMA KASIH</w:t>
      </w:r>
    </w:p>
    <w:p w14:paraId="466BB41F" w14:textId="79D9F847" w:rsidR="00ED7516" w:rsidRPr="007076D7" w:rsidRDefault="005B0EE1" w:rsidP="00F01DD7">
      <w:pPr>
        <w:spacing w:line="360" w:lineRule="auto"/>
        <w:ind w:firstLine="720"/>
        <w:jc w:val="both"/>
        <w:rPr>
          <w:rFonts w:ascii="Century" w:hAnsi="Century" w:cs="Times New Roman"/>
          <w:sz w:val="24"/>
          <w:szCs w:val="24"/>
        </w:rPr>
      </w:pPr>
      <w:r w:rsidRPr="007076D7">
        <w:rPr>
          <w:rFonts w:ascii="Century" w:hAnsi="Century" w:cs="Times New Roman"/>
          <w:sz w:val="24"/>
          <w:szCs w:val="24"/>
        </w:rPr>
        <w:t xml:space="preserve">Tim Pengabdian Kepada Masyarakat (PKM) mengucapkan terima kasih atas partisipasi </w:t>
      </w:r>
      <w:r w:rsidR="00270723" w:rsidRPr="007076D7">
        <w:rPr>
          <w:rFonts w:ascii="Century" w:hAnsi="Century" w:cs="Times New Roman"/>
          <w:sz w:val="24"/>
          <w:szCs w:val="24"/>
        </w:rPr>
        <w:t xml:space="preserve">kelompok pemuda dan pemudi kampung </w:t>
      </w:r>
      <w:r w:rsidRPr="007076D7">
        <w:rPr>
          <w:rFonts w:ascii="Century" w:hAnsi="Century" w:cs="Times New Roman"/>
          <w:sz w:val="24"/>
          <w:szCs w:val="24"/>
        </w:rPr>
        <w:t>Mantren Klidon sebagai mitra pada kegiatan yang telah dilakukan pada tanggal 26 Maret 2022</w:t>
      </w:r>
      <w:r w:rsidR="00270723" w:rsidRPr="007076D7">
        <w:rPr>
          <w:rFonts w:ascii="Century" w:hAnsi="Century" w:cs="Times New Roman"/>
          <w:sz w:val="24"/>
          <w:szCs w:val="24"/>
        </w:rPr>
        <w:t xml:space="preserve"> lalu</w:t>
      </w:r>
      <w:r w:rsidRPr="007076D7">
        <w:rPr>
          <w:rFonts w:ascii="Century" w:hAnsi="Century" w:cs="Times New Roman"/>
          <w:sz w:val="24"/>
          <w:szCs w:val="24"/>
        </w:rPr>
        <w:t xml:space="preserve">. </w:t>
      </w:r>
      <w:r w:rsidR="00A24E15" w:rsidRPr="007076D7">
        <w:rPr>
          <w:rFonts w:ascii="Century" w:hAnsi="Century" w:cs="Times New Roman"/>
          <w:sz w:val="24"/>
          <w:szCs w:val="24"/>
        </w:rPr>
        <w:t xml:space="preserve">Kegiatan pengabdian berjalan dengan baik dan sukses atas dukungan dari banyak pihak; Kepala Pedukuhan Klidon, para pemuda, </w:t>
      </w:r>
      <w:r w:rsidR="003D7D27" w:rsidRPr="007076D7">
        <w:rPr>
          <w:rFonts w:ascii="Century" w:hAnsi="Century" w:cs="Times New Roman"/>
          <w:sz w:val="24"/>
          <w:szCs w:val="24"/>
        </w:rPr>
        <w:t xml:space="preserve">warga, </w:t>
      </w:r>
      <w:r w:rsidR="00A24E15" w:rsidRPr="007076D7">
        <w:rPr>
          <w:rFonts w:ascii="Century" w:hAnsi="Century" w:cs="Times New Roman"/>
          <w:sz w:val="24"/>
          <w:szCs w:val="24"/>
        </w:rPr>
        <w:t xml:space="preserve">tokoh agama, dan tokoh masyarakat Klidon Mantren. </w:t>
      </w:r>
      <w:r w:rsidRPr="007076D7">
        <w:rPr>
          <w:rFonts w:ascii="Century" w:hAnsi="Century" w:cs="Times New Roman"/>
          <w:sz w:val="24"/>
          <w:szCs w:val="24"/>
        </w:rPr>
        <w:t xml:space="preserve">Demikian pula, Tim </w:t>
      </w:r>
      <w:r w:rsidR="00A24E15" w:rsidRPr="007076D7">
        <w:rPr>
          <w:rFonts w:ascii="Century" w:hAnsi="Century" w:cs="Times New Roman"/>
          <w:sz w:val="24"/>
          <w:szCs w:val="24"/>
        </w:rPr>
        <w:t xml:space="preserve">menyampaikan </w:t>
      </w:r>
      <w:r w:rsidRPr="007076D7">
        <w:rPr>
          <w:rFonts w:ascii="Century" w:hAnsi="Century" w:cs="Times New Roman"/>
          <w:sz w:val="24"/>
          <w:szCs w:val="24"/>
        </w:rPr>
        <w:t xml:space="preserve">terima kasih kepada Lembaga Riset dan Inovasi (LRI) Universitas Muhammadiyah Yogyakarta atas dukungan finansial melalui hibah internal Skema Penugasan sehingga kegiatan pengabdian di Kampung Mantren Klidon dapat terlaksana dengan baik. </w:t>
      </w:r>
    </w:p>
    <w:p w14:paraId="44199F17" w14:textId="77777777" w:rsidR="005B0EE1" w:rsidRPr="00B527A9" w:rsidRDefault="005B0EE1" w:rsidP="00B527A9">
      <w:pPr>
        <w:jc w:val="both"/>
        <w:rPr>
          <w:rFonts w:ascii="Times New Roman" w:hAnsi="Times New Roman" w:cs="Times New Roman"/>
          <w:b/>
          <w:bCs/>
          <w:sz w:val="24"/>
          <w:szCs w:val="24"/>
        </w:rPr>
      </w:pPr>
    </w:p>
    <w:p w14:paraId="42B9A532" w14:textId="77777777" w:rsidR="005560CF" w:rsidRPr="00F964F6" w:rsidRDefault="005560CF" w:rsidP="005560CF">
      <w:pPr>
        <w:jc w:val="both"/>
        <w:rPr>
          <w:rFonts w:ascii="Century" w:hAnsi="Century" w:cs="Times New Roman"/>
          <w:b/>
          <w:bCs/>
        </w:rPr>
      </w:pPr>
      <w:r w:rsidRPr="00F964F6">
        <w:rPr>
          <w:rFonts w:ascii="Century" w:hAnsi="Century" w:cs="Times New Roman"/>
          <w:b/>
          <w:bCs/>
        </w:rPr>
        <w:lastRenderedPageBreak/>
        <w:t>DAFTAR PUSTAKA</w:t>
      </w:r>
    </w:p>
    <w:p w14:paraId="5AED4D55" w14:textId="5A0FD9A0"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b/>
          <w:bCs/>
        </w:rPr>
        <w:fldChar w:fldCharType="begin" w:fldLock="1"/>
      </w:r>
      <w:r w:rsidRPr="00585B4B">
        <w:rPr>
          <w:rFonts w:ascii="Century" w:hAnsi="Century" w:cs="Times New Roman"/>
          <w:b/>
          <w:bCs/>
        </w:rPr>
        <w:instrText xml:space="preserve">ADDIN Mendeley Bibliography CSL_BIBLIOGRAPHY </w:instrText>
      </w:r>
      <w:r w:rsidRPr="00585B4B">
        <w:rPr>
          <w:rFonts w:ascii="Century" w:hAnsi="Century" w:cs="Times New Roman"/>
          <w:b/>
          <w:bCs/>
        </w:rPr>
        <w:fldChar w:fldCharType="separate"/>
      </w:r>
      <w:r w:rsidRPr="00585B4B">
        <w:rPr>
          <w:rFonts w:ascii="Century" w:hAnsi="Century" w:cs="Times New Roman"/>
          <w:noProof/>
        </w:rPr>
        <w:t xml:space="preserve">Amalia, S. (2019). Hakekat Agama dalam Perspektif filsafat perenial. </w:t>
      </w:r>
      <w:r w:rsidRPr="00585B4B">
        <w:rPr>
          <w:rFonts w:ascii="Century" w:hAnsi="Century" w:cs="Times New Roman"/>
          <w:i/>
          <w:iCs/>
          <w:noProof/>
        </w:rPr>
        <w:t>Indonesian Journal of Islamic Theology and Philosophy</w:t>
      </w:r>
      <w:r w:rsidRPr="00585B4B">
        <w:rPr>
          <w:rFonts w:ascii="Century" w:hAnsi="Century" w:cs="Times New Roman"/>
          <w:noProof/>
        </w:rPr>
        <w:t xml:space="preserve">, </w:t>
      </w:r>
      <w:r w:rsidRPr="00585B4B">
        <w:rPr>
          <w:rFonts w:ascii="Century" w:hAnsi="Century" w:cs="Times New Roman"/>
          <w:i/>
          <w:iCs/>
          <w:noProof/>
        </w:rPr>
        <w:t>1</w:t>
      </w:r>
      <w:r w:rsidRPr="00585B4B">
        <w:rPr>
          <w:rFonts w:ascii="Century" w:hAnsi="Century" w:cs="Times New Roman"/>
          <w:noProof/>
        </w:rPr>
        <w:t>(1), 1–18. https://doi.org/https://doi.org/10.24042/ijitp.v1i1.3903</w:t>
      </w:r>
    </w:p>
    <w:p w14:paraId="5CBC9975"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Aminudin, M. (2020). Peran Karang Taruna dalam Pemberdayaan Masyarakat Kelurahan Sei Gohong Kecamatan Bukit Batu Kota Palangkaraya. </w:t>
      </w:r>
      <w:r w:rsidRPr="00585B4B">
        <w:rPr>
          <w:rFonts w:ascii="Century" w:hAnsi="Century" w:cs="Times New Roman"/>
          <w:i/>
          <w:iCs/>
          <w:noProof/>
        </w:rPr>
        <w:t>Jurnal Paris Langkis</w:t>
      </w:r>
      <w:r w:rsidRPr="00585B4B">
        <w:rPr>
          <w:rFonts w:ascii="Century" w:hAnsi="Century" w:cs="Times New Roman"/>
          <w:noProof/>
        </w:rPr>
        <w:t xml:space="preserve">, </w:t>
      </w:r>
      <w:r w:rsidRPr="00585B4B">
        <w:rPr>
          <w:rFonts w:ascii="Century" w:hAnsi="Century" w:cs="Times New Roman"/>
          <w:i/>
          <w:iCs/>
          <w:noProof/>
        </w:rPr>
        <w:t>1</w:t>
      </w:r>
      <w:r w:rsidRPr="00585B4B">
        <w:rPr>
          <w:rFonts w:ascii="Century" w:hAnsi="Century" w:cs="Times New Roman"/>
          <w:noProof/>
        </w:rPr>
        <w:t>(1), 21–26. https://doi.org/https://doi.org/10.37304/paris.v1i1.1667</w:t>
      </w:r>
    </w:p>
    <w:p w14:paraId="4A5806B4"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Geertz, C. (1981). </w:t>
      </w:r>
      <w:r w:rsidRPr="00585B4B">
        <w:rPr>
          <w:rFonts w:ascii="Century" w:hAnsi="Century" w:cs="Times New Roman"/>
          <w:i/>
          <w:iCs/>
          <w:noProof/>
        </w:rPr>
        <w:t>Abangan, Santri, Priyayi dalam Masyarakat Jawa</w:t>
      </w:r>
      <w:r w:rsidRPr="00585B4B">
        <w:rPr>
          <w:rFonts w:ascii="Century" w:hAnsi="Century" w:cs="Times New Roman"/>
          <w:noProof/>
        </w:rPr>
        <w:t>. Dunia Pustaka Jaya.</w:t>
      </w:r>
    </w:p>
    <w:p w14:paraId="2E060221"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Hanafi, I. (2018). Agama dalam bayang-bayang fanatisme: sebuah upaya mengelola konflik agama. </w:t>
      </w:r>
      <w:r w:rsidRPr="00585B4B">
        <w:rPr>
          <w:rFonts w:ascii="Century" w:hAnsi="Century" w:cs="Times New Roman"/>
          <w:i/>
          <w:iCs/>
          <w:noProof/>
        </w:rPr>
        <w:t>TOLERANSI: Media Komunikasi Umat Beragama</w:t>
      </w:r>
      <w:r w:rsidRPr="00585B4B">
        <w:rPr>
          <w:rFonts w:ascii="Century" w:hAnsi="Century" w:cs="Times New Roman"/>
          <w:noProof/>
        </w:rPr>
        <w:t xml:space="preserve">, </w:t>
      </w:r>
      <w:r w:rsidRPr="00585B4B">
        <w:rPr>
          <w:rFonts w:ascii="Century" w:hAnsi="Century" w:cs="Times New Roman"/>
          <w:i/>
          <w:iCs/>
          <w:noProof/>
        </w:rPr>
        <w:t>10</w:t>
      </w:r>
      <w:r w:rsidRPr="00585B4B">
        <w:rPr>
          <w:rFonts w:ascii="Century" w:hAnsi="Century" w:cs="Times New Roman"/>
          <w:noProof/>
        </w:rPr>
        <w:t>(1), 43–54. https://doi.org/http://dx.doi.org/10.24014/trs.v10i1.5720</w:t>
      </w:r>
    </w:p>
    <w:p w14:paraId="378C848E"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Jubba, H. (2021). The Challenges of Islamic Organizations in Promoting Moderation in Indonesia. </w:t>
      </w:r>
      <w:r w:rsidRPr="00585B4B">
        <w:rPr>
          <w:rFonts w:ascii="Century" w:hAnsi="Century" w:cs="Times New Roman"/>
          <w:i/>
          <w:iCs/>
          <w:noProof/>
        </w:rPr>
        <w:t>Wawasan: Jurnal Ilmiah Agama Dan Sosial Budaya</w:t>
      </w:r>
      <w:r w:rsidRPr="00585B4B">
        <w:rPr>
          <w:rFonts w:ascii="Century" w:hAnsi="Century" w:cs="Times New Roman"/>
          <w:noProof/>
        </w:rPr>
        <w:t xml:space="preserve">, </w:t>
      </w:r>
      <w:r w:rsidRPr="00585B4B">
        <w:rPr>
          <w:rFonts w:ascii="Century" w:hAnsi="Century" w:cs="Times New Roman"/>
          <w:i/>
          <w:iCs/>
          <w:noProof/>
        </w:rPr>
        <w:t>6</w:t>
      </w:r>
      <w:r w:rsidRPr="00585B4B">
        <w:rPr>
          <w:rFonts w:ascii="Century" w:hAnsi="Century" w:cs="Times New Roman"/>
          <w:noProof/>
        </w:rPr>
        <w:t>(1), 43–54. https://doi.org/https://doi.org/10.15575/jw.v6i1.12948</w:t>
      </w:r>
    </w:p>
    <w:p w14:paraId="24C609E3"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Komarudin, A. (2021). Kampanye Nilai-Nilai Moderasi Islam melalui Santri Menulis. </w:t>
      </w:r>
      <w:r w:rsidRPr="00585B4B">
        <w:rPr>
          <w:rFonts w:ascii="Century" w:hAnsi="Century" w:cs="Times New Roman"/>
          <w:i/>
          <w:iCs/>
          <w:noProof/>
        </w:rPr>
        <w:t>Madaniyah</w:t>
      </w:r>
      <w:r w:rsidRPr="00585B4B">
        <w:rPr>
          <w:rFonts w:ascii="Century" w:hAnsi="Century" w:cs="Times New Roman"/>
          <w:noProof/>
        </w:rPr>
        <w:t>.</w:t>
      </w:r>
    </w:p>
    <w:p w14:paraId="5C761C2F"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Nashir, H. (2010). </w:t>
      </w:r>
      <w:r w:rsidRPr="00585B4B">
        <w:rPr>
          <w:rFonts w:ascii="Century" w:hAnsi="Century" w:cs="Times New Roman"/>
          <w:i/>
          <w:iCs/>
          <w:noProof/>
        </w:rPr>
        <w:t>Muhammadiyah Gerakan Pembaharuan. Bandung</w:t>
      </w:r>
      <w:r w:rsidRPr="00585B4B">
        <w:rPr>
          <w:rFonts w:ascii="Century" w:hAnsi="Century" w:cs="Times New Roman"/>
          <w:noProof/>
        </w:rPr>
        <w:t>. Mizan.</w:t>
      </w:r>
    </w:p>
    <w:p w14:paraId="3A24254B"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Nashir, H. (2019a). </w:t>
      </w:r>
      <w:r w:rsidRPr="00585B4B">
        <w:rPr>
          <w:rFonts w:ascii="Century" w:hAnsi="Century" w:cs="Times New Roman"/>
          <w:i/>
          <w:iCs/>
          <w:noProof/>
        </w:rPr>
        <w:t>Moderasi Indonesia dan Keindonesiaan: Perspektif Sosiologi</w:t>
      </w:r>
      <w:r w:rsidRPr="00585B4B">
        <w:rPr>
          <w:rFonts w:ascii="Century" w:hAnsi="Century" w:cs="Times New Roman"/>
          <w:noProof/>
        </w:rPr>
        <w:t>. Program Studi Doktor Politik Islam, Universitas Muhammadiyah Yogyakarta.</w:t>
      </w:r>
    </w:p>
    <w:p w14:paraId="17B78F81"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Nashir, H. (2019b). Muhammadiyah’s moderation stance in the 2019 general election. </w:t>
      </w:r>
      <w:r w:rsidRPr="00585B4B">
        <w:rPr>
          <w:rFonts w:ascii="Century" w:hAnsi="Century" w:cs="Times New Roman"/>
          <w:i/>
          <w:iCs/>
          <w:noProof/>
        </w:rPr>
        <w:t>Al-Jami’ah: Journal of Islamic Studies</w:t>
      </w:r>
      <w:r w:rsidRPr="00585B4B">
        <w:rPr>
          <w:rFonts w:ascii="Century" w:hAnsi="Century" w:cs="Times New Roman"/>
          <w:noProof/>
        </w:rPr>
        <w:t xml:space="preserve">, </w:t>
      </w:r>
      <w:r w:rsidRPr="00585B4B">
        <w:rPr>
          <w:rFonts w:ascii="Century" w:hAnsi="Century" w:cs="Times New Roman"/>
          <w:i/>
          <w:iCs/>
          <w:noProof/>
        </w:rPr>
        <w:t>57</w:t>
      </w:r>
      <w:r w:rsidRPr="00585B4B">
        <w:rPr>
          <w:rFonts w:ascii="Century" w:hAnsi="Century" w:cs="Times New Roman"/>
          <w:noProof/>
        </w:rPr>
        <w:t>(1), 1–24. https://doi.org/https://doi.org/10.14421/ajis.2019.571.1-24</w:t>
      </w:r>
    </w:p>
    <w:p w14:paraId="780918DC"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Qodir, Z. (2021). Muhammadiyah identity and muslim public good: Muslim practices in Java. </w:t>
      </w:r>
      <w:r w:rsidRPr="00585B4B">
        <w:rPr>
          <w:rFonts w:ascii="Century" w:hAnsi="Century" w:cs="Times New Roman"/>
          <w:i/>
          <w:iCs/>
          <w:noProof/>
        </w:rPr>
        <w:t>International Journal of Islamic Thought</w:t>
      </w:r>
      <w:r w:rsidRPr="00585B4B">
        <w:rPr>
          <w:rFonts w:ascii="Century" w:hAnsi="Century" w:cs="Times New Roman"/>
          <w:noProof/>
        </w:rPr>
        <w:t xml:space="preserve">, </w:t>
      </w:r>
      <w:r w:rsidRPr="00585B4B">
        <w:rPr>
          <w:rFonts w:ascii="Century" w:hAnsi="Century" w:cs="Times New Roman"/>
          <w:i/>
          <w:iCs/>
          <w:noProof/>
        </w:rPr>
        <w:t>19</w:t>
      </w:r>
      <w:r w:rsidRPr="00585B4B">
        <w:rPr>
          <w:rFonts w:ascii="Century" w:hAnsi="Century" w:cs="Times New Roman"/>
          <w:noProof/>
        </w:rPr>
        <w:t>(11), 133–146.</w:t>
      </w:r>
    </w:p>
    <w:p w14:paraId="100B9753"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Rumahuru, Y. Z. (2019). Mengembangkan Pendidikan Agama Inklusif sebagai Solusi Pengelolaan Keragaman di Indonesia. </w:t>
      </w:r>
      <w:r w:rsidRPr="00585B4B">
        <w:rPr>
          <w:rFonts w:ascii="Century" w:hAnsi="Century" w:cs="Times New Roman"/>
          <w:i/>
          <w:iCs/>
          <w:noProof/>
        </w:rPr>
        <w:t>JURNAL TERUNA BHAKTI</w:t>
      </w:r>
      <w:r w:rsidRPr="00585B4B">
        <w:rPr>
          <w:rFonts w:ascii="Century" w:hAnsi="Century" w:cs="Times New Roman"/>
          <w:noProof/>
        </w:rPr>
        <w:t>. https://doi.org/10.47131/jtb.v1i1.13</w:t>
      </w:r>
    </w:p>
    <w:p w14:paraId="27B9181B"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Seapart, W. (2007). Radicalism and Globalisation. </w:t>
      </w:r>
      <w:r w:rsidRPr="00585B4B">
        <w:rPr>
          <w:rFonts w:ascii="Century" w:hAnsi="Century" w:cs="Times New Roman"/>
          <w:i/>
          <w:iCs/>
          <w:noProof/>
        </w:rPr>
        <w:t>Journal of American Studies</w:t>
      </w:r>
      <w:r w:rsidRPr="00585B4B">
        <w:rPr>
          <w:rFonts w:ascii="Century" w:hAnsi="Century" w:cs="Times New Roman"/>
          <w:noProof/>
        </w:rPr>
        <w:t>.</w:t>
      </w:r>
    </w:p>
    <w:p w14:paraId="02DE8C32"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Supriyanto, S. (2018). Memahami dan Mengukur Toleransi dari Perspektif Psikologi Sosial. </w:t>
      </w:r>
      <w:r w:rsidRPr="00585B4B">
        <w:rPr>
          <w:rFonts w:ascii="Century" w:hAnsi="Century" w:cs="Times New Roman"/>
          <w:i/>
          <w:iCs/>
          <w:noProof/>
        </w:rPr>
        <w:t>Psikoislamika</w:t>
      </w:r>
      <w:r w:rsidRPr="00585B4B">
        <w:rPr>
          <w:rFonts w:ascii="Times New Roman" w:hAnsi="Times New Roman" w:cs="Times New Roman"/>
          <w:i/>
          <w:iCs/>
          <w:noProof/>
        </w:rPr>
        <w:t> </w:t>
      </w:r>
      <w:r w:rsidRPr="00585B4B">
        <w:rPr>
          <w:rFonts w:ascii="Century" w:hAnsi="Century" w:cs="Times New Roman"/>
          <w:i/>
          <w:iCs/>
          <w:noProof/>
        </w:rPr>
        <w:t>: Jurnal Psikologi Dan Psikologi Islam</w:t>
      </w:r>
      <w:r w:rsidRPr="00585B4B">
        <w:rPr>
          <w:rFonts w:ascii="Century" w:hAnsi="Century" w:cs="Times New Roman"/>
          <w:noProof/>
        </w:rPr>
        <w:t xml:space="preserve">, </w:t>
      </w:r>
      <w:r w:rsidRPr="00585B4B">
        <w:rPr>
          <w:rFonts w:ascii="Century" w:hAnsi="Century" w:cs="Times New Roman"/>
          <w:i/>
          <w:iCs/>
          <w:noProof/>
        </w:rPr>
        <w:t>15</w:t>
      </w:r>
      <w:r w:rsidRPr="00585B4B">
        <w:rPr>
          <w:rFonts w:ascii="Century" w:hAnsi="Century" w:cs="Times New Roman"/>
          <w:noProof/>
        </w:rPr>
        <w:t>(1), 23. https://doi.org/10.18860/psi.v15i1.6659</w:t>
      </w:r>
    </w:p>
    <w:p w14:paraId="2EB4F91C"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Ulfa, M. (2013). Mencermati Inklusivisme Agama Nurcholish Madjid. </w:t>
      </w:r>
      <w:r w:rsidRPr="00585B4B">
        <w:rPr>
          <w:rFonts w:ascii="Century" w:hAnsi="Century" w:cs="Times New Roman"/>
          <w:i/>
          <w:iCs/>
          <w:noProof/>
        </w:rPr>
        <w:t>Kalimah: Jurnal Studi Agama &amp; Pemikiran Islam</w:t>
      </w:r>
      <w:r w:rsidRPr="00585B4B">
        <w:rPr>
          <w:rFonts w:ascii="Century" w:hAnsi="Century" w:cs="Times New Roman"/>
          <w:noProof/>
        </w:rPr>
        <w:t xml:space="preserve">, </w:t>
      </w:r>
      <w:r w:rsidRPr="00585B4B">
        <w:rPr>
          <w:rFonts w:ascii="Century" w:hAnsi="Century" w:cs="Times New Roman"/>
          <w:i/>
          <w:iCs/>
          <w:noProof/>
        </w:rPr>
        <w:t>11</w:t>
      </w:r>
      <w:r w:rsidRPr="00585B4B">
        <w:rPr>
          <w:rFonts w:ascii="Century" w:hAnsi="Century" w:cs="Times New Roman"/>
          <w:noProof/>
        </w:rPr>
        <w:t>(2), 237–250. https://doi.org/http://dx.doi.org/10.21111/klm.v11i2.94</w:t>
      </w:r>
    </w:p>
    <w:p w14:paraId="6FC581AF" w14:textId="77777777" w:rsidR="001D1CEC" w:rsidRPr="00585B4B" w:rsidRDefault="001D1CEC" w:rsidP="001D1CEC">
      <w:pPr>
        <w:widowControl w:val="0"/>
        <w:autoSpaceDE w:val="0"/>
        <w:autoSpaceDN w:val="0"/>
        <w:adjustRightInd w:val="0"/>
        <w:spacing w:line="240" w:lineRule="auto"/>
        <w:ind w:left="480" w:hanging="480"/>
        <w:rPr>
          <w:rFonts w:ascii="Century" w:hAnsi="Century" w:cs="Times New Roman"/>
          <w:noProof/>
        </w:rPr>
      </w:pPr>
      <w:r w:rsidRPr="00585B4B">
        <w:rPr>
          <w:rFonts w:ascii="Century" w:hAnsi="Century" w:cs="Times New Roman"/>
          <w:noProof/>
        </w:rPr>
        <w:t xml:space="preserve">Widodo, B. S., Purba, I. P., &amp; Setiawan, A. (2021). PENGUATAN NILAI-NILAI </w:t>
      </w:r>
      <w:r w:rsidRPr="00585B4B">
        <w:rPr>
          <w:rFonts w:ascii="Century" w:hAnsi="Century" w:cs="Times New Roman"/>
          <w:noProof/>
        </w:rPr>
        <w:lastRenderedPageBreak/>
        <w:t xml:space="preserve">TOLERANSI DAN KEBERAGAMAN PADA MASYARAKAT DESA SAMBONG DUKUH KABUPATEN JOMBANG SEBAGAI RINTISAN DESA PANCASILA. </w:t>
      </w:r>
      <w:r w:rsidRPr="00585B4B">
        <w:rPr>
          <w:rFonts w:ascii="Century" w:hAnsi="Century" w:cs="Times New Roman"/>
          <w:i/>
          <w:iCs/>
          <w:noProof/>
        </w:rPr>
        <w:t>Community Development Journal: Jurnal Pengabdian Masyarakat</w:t>
      </w:r>
      <w:r w:rsidRPr="00585B4B">
        <w:rPr>
          <w:rFonts w:ascii="Century" w:hAnsi="Century" w:cs="Times New Roman"/>
          <w:noProof/>
        </w:rPr>
        <w:t xml:space="preserve">, </w:t>
      </w:r>
      <w:r w:rsidRPr="00585B4B">
        <w:rPr>
          <w:rFonts w:ascii="Century" w:hAnsi="Century" w:cs="Times New Roman"/>
          <w:i/>
          <w:iCs/>
          <w:noProof/>
        </w:rPr>
        <w:t>2</w:t>
      </w:r>
      <w:r w:rsidRPr="00585B4B">
        <w:rPr>
          <w:rFonts w:ascii="Century" w:hAnsi="Century" w:cs="Times New Roman"/>
          <w:noProof/>
        </w:rPr>
        <w:t>(3), 1215–1222. https://doi.org/http://journal.universitaspahlawan.ac.id/index.php/cdj/article/view/3019</w:t>
      </w:r>
    </w:p>
    <w:p w14:paraId="070D179B" w14:textId="77777777" w:rsidR="001D1CEC" w:rsidRPr="00585B4B" w:rsidRDefault="001D1CEC" w:rsidP="001D1CEC">
      <w:pPr>
        <w:widowControl w:val="0"/>
        <w:autoSpaceDE w:val="0"/>
        <w:autoSpaceDN w:val="0"/>
        <w:adjustRightInd w:val="0"/>
        <w:spacing w:line="240" w:lineRule="auto"/>
        <w:ind w:left="480" w:hanging="480"/>
        <w:rPr>
          <w:rFonts w:ascii="Century" w:hAnsi="Century"/>
          <w:noProof/>
        </w:rPr>
      </w:pPr>
      <w:r w:rsidRPr="00585B4B">
        <w:rPr>
          <w:rFonts w:ascii="Century" w:hAnsi="Century" w:cs="Times New Roman"/>
          <w:noProof/>
        </w:rPr>
        <w:t xml:space="preserve">Yudi Arianto, &amp; Rinwanto. (2019). ASPEK RITUAL DAN SOSIAL DALAM TIPOLOGI PERILAKU KEBERAGAMAAN MASYARAKAT. </w:t>
      </w:r>
      <w:r w:rsidRPr="00585B4B">
        <w:rPr>
          <w:rFonts w:ascii="Century" w:hAnsi="Century" w:cs="Times New Roman"/>
          <w:i/>
          <w:iCs/>
          <w:noProof/>
        </w:rPr>
        <w:t>Tadris</w:t>
      </w:r>
      <w:r w:rsidRPr="00585B4B">
        <w:rPr>
          <w:rFonts w:ascii="Times New Roman" w:hAnsi="Times New Roman" w:cs="Times New Roman"/>
          <w:i/>
          <w:iCs/>
          <w:noProof/>
        </w:rPr>
        <w:t> </w:t>
      </w:r>
      <w:r w:rsidRPr="00585B4B">
        <w:rPr>
          <w:rFonts w:ascii="Century" w:hAnsi="Century" w:cs="Times New Roman"/>
          <w:i/>
          <w:iCs/>
          <w:noProof/>
        </w:rPr>
        <w:t>: Jurnal Penelitian Dan Pemikiran Pendidikan Islam</w:t>
      </w:r>
      <w:r w:rsidRPr="00585B4B">
        <w:rPr>
          <w:rFonts w:ascii="Century" w:hAnsi="Century" w:cs="Times New Roman"/>
          <w:noProof/>
        </w:rPr>
        <w:t>. https://doi.org/10.51675/jt.v13i1.54</w:t>
      </w:r>
    </w:p>
    <w:p w14:paraId="38AC3D55" w14:textId="4E136B80" w:rsidR="005560CF" w:rsidRDefault="001D1CEC" w:rsidP="00523F45">
      <w:pPr>
        <w:jc w:val="both"/>
        <w:rPr>
          <w:rFonts w:ascii="Century" w:hAnsi="Century" w:cs="Times New Roman"/>
          <w:b/>
          <w:bCs/>
        </w:rPr>
      </w:pPr>
      <w:r w:rsidRPr="00585B4B">
        <w:rPr>
          <w:rFonts w:ascii="Century" w:hAnsi="Century" w:cs="Times New Roman"/>
          <w:b/>
          <w:bCs/>
        </w:rPr>
        <w:fldChar w:fldCharType="end"/>
      </w:r>
    </w:p>
    <w:sectPr w:rsidR="005560CF" w:rsidSect="00523F45">
      <w:pgSz w:w="11906" w:h="16838" w:code="9"/>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A5AE" w14:textId="77777777" w:rsidR="0067564C" w:rsidRDefault="0067564C" w:rsidP="00347B73">
      <w:pPr>
        <w:spacing w:after="0" w:line="240" w:lineRule="auto"/>
      </w:pPr>
      <w:r>
        <w:separator/>
      </w:r>
    </w:p>
  </w:endnote>
  <w:endnote w:type="continuationSeparator" w:id="0">
    <w:p w14:paraId="5E8DEFF8" w14:textId="77777777" w:rsidR="0067564C" w:rsidRDefault="0067564C" w:rsidP="0034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D4F8" w14:textId="77777777" w:rsidR="0067564C" w:rsidRDefault="0067564C" w:rsidP="00347B73">
      <w:pPr>
        <w:spacing w:after="0" w:line="240" w:lineRule="auto"/>
      </w:pPr>
      <w:r>
        <w:separator/>
      </w:r>
    </w:p>
  </w:footnote>
  <w:footnote w:type="continuationSeparator" w:id="0">
    <w:p w14:paraId="27227004" w14:textId="77777777" w:rsidR="0067564C" w:rsidRDefault="0067564C" w:rsidP="0034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6845" w14:textId="77777777" w:rsidR="00347B73" w:rsidRPr="00420C35" w:rsidRDefault="00347B73" w:rsidP="00347B73">
    <w:pPr>
      <w:pStyle w:val="Header"/>
      <w:tabs>
        <w:tab w:val="clear" w:pos="9360"/>
      </w:tabs>
      <w:rPr>
        <w:rFonts w:ascii="Trebuchet MS" w:hAnsi="Trebuchet MS"/>
      </w:rPr>
    </w:pPr>
    <w:r w:rsidRPr="009151A5">
      <w:rPr>
        <w:rFonts w:ascii="Trebuchet MS" w:hAnsi="Trebuchet MS"/>
        <w:smallCaps/>
        <w:lang w:val="id-ID"/>
      </w:rPr>
      <w:fldChar w:fldCharType="begin"/>
    </w:r>
    <w:r w:rsidRPr="009151A5">
      <w:rPr>
        <w:rFonts w:ascii="Trebuchet MS" w:hAnsi="Trebuchet MS"/>
        <w:smallCaps/>
        <w:lang w:val="id-ID"/>
      </w:rPr>
      <w:instrText xml:space="preserve"> PAGE   \* MERGEFORMAT </w:instrText>
    </w:r>
    <w:r w:rsidRPr="009151A5">
      <w:rPr>
        <w:rFonts w:ascii="Trebuchet MS" w:hAnsi="Trebuchet MS"/>
        <w:smallCaps/>
        <w:lang w:val="id-ID"/>
      </w:rPr>
      <w:fldChar w:fldCharType="separate"/>
    </w:r>
    <w:r>
      <w:rPr>
        <w:rFonts w:ascii="Trebuchet MS" w:hAnsi="Trebuchet MS"/>
        <w:smallCaps/>
        <w:lang w:val="id-ID"/>
      </w:rPr>
      <w:t>2</w:t>
    </w:r>
    <w:r w:rsidRPr="009151A5">
      <w:rPr>
        <w:rFonts w:ascii="Trebuchet MS" w:hAnsi="Trebuchet MS"/>
        <w:smallCaps/>
        <w:noProof/>
        <w:lang w:val="id-ID"/>
      </w:rPr>
      <w:fldChar w:fldCharType="end"/>
    </w:r>
    <w:r w:rsidRPr="009151A5">
      <w:rPr>
        <w:rFonts w:ascii="Trebuchet MS" w:hAnsi="Trebuchet MS"/>
        <w:smallCaps/>
        <w:noProof/>
        <w:lang w:val="id-ID"/>
      </w:rPr>
      <w:t xml:space="preserve">  </w:t>
    </w:r>
    <w:r>
      <w:rPr>
        <w:rFonts w:ascii="Trebuchet MS" w:hAnsi="Trebuchet MS"/>
        <w:smallCaps/>
        <w:noProof/>
      </w:rPr>
      <w:t xml:space="preserve">|  </w:t>
    </w:r>
    <w:r w:rsidRPr="00420C35">
      <w:rPr>
        <w:rFonts w:ascii="Trebuchet MS" w:hAnsi="Trebuchet MS"/>
        <w:b/>
        <w:smallCaps/>
        <w:noProof/>
      </w:rPr>
      <w:t>JMM (</w:t>
    </w:r>
    <w:r w:rsidRPr="00922A80">
      <w:rPr>
        <w:rFonts w:ascii="Trebuchet MS" w:hAnsi="Trebuchet MS"/>
        <w:b/>
      </w:rPr>
      <w:t>Jurnal Masyarakat Mandiri</w:t>
    </w:r>
    <w:r>
      <w:rPr>
        <w:rFonts w:ascii="Trebuchet MS" w:hAnsi="Trebuchet MS"/>
        <w:b/>
      </w:rPr>
      <w:t xml:space="preserve">) | </w:t>
    </w:r>
    <w:r w:rsidRPr="005D79BF">
      <w:rPr>
        <w:rFonts w:ascii="Trebuchet MS" w:hAnsi="Trebuchet MS"/>
        <w:sz w:val="20"/>
        <w:szCs w:val="20"/>
        <w:lang w:val="id-ID"/>
      </w:rPr>
      <w:t>Vol.</w:t>
    </w:r>
    <w:r w:rsidRPr="005D79BF">
      <w:rPr>
        <w:rFonts w:ascii="Trebuchet MS" w:hAnsi="Trebuchet MS"/>
        <w:sz w:val="20"/>
        <w:szCs w:val="20"/>
      </w:rPr>
      <w:t xml:space="preserve"> </w:t>
    </w:r>
    <w:r>
      <w:rPr>
        <w:rFonts w:ascii="Trebuchet MS" w:hAnsi="Trebuchet MS"/>
        <w:sz w:val="20"/>
        <w:szCs w:val="20"/>
      </w:rPr>
      <w:t>X</w:t>
    </w:r>
    <w:r w:rsidRPr="005D79BF">
      <w:rPr>
        <w:rFonts w:ascii="Trebuchet MS" w:hAnsi="Trebuchet MS"/>
        <w:sz w:val="20"/>
        <w:szCs w:val="20"/>
        <w:lang w:val="id-ID"/>
      </w:rPr>
      <w:t>, No.</w:t>
    </w:r>
    <w:r w:rsidRPr="005D79BF">
      <w:rPr>
        <w:rFonts w:ascii="Trebuchet MS" w:hAnsi="Trebuchet MS"/>
        <w:sz w:val="20"/>
        <w:szCs w:val="20"/>
      </w:rPr>
      <w:t xml:space="preserve"> </w:t>
    </w:r>
    <w:r>
      <w:rPr>
        <w:rFonts w:ascii="Trebuchet MS" w:hAnsi="Trebuchet MS"/>
        <w:sz w:val="20"/>
        <w:szCs w:val="20"/>
      </w:rPr>
      <w:t>X</w:t>
    </w:r>
    <w:r w:rsidRPr="005D79BF">
      <w:rPr>
        <w:rFonts w:ascii="Trebuchet MS" w:hAnsi="Trebuchet MS"/>
        <w:sz w:val="20"/>
        <w:szCs w:val="20"/>
        <w:lang w:val="id-ID"/>
      </w:rPr>
      <w:t xml:space="preserve">, </w:t>
    </w:r>
    <w:r>
      <w:rPr>
        <w:rFonts w:ascii="Trebuchet MS" w:hAnsi="Trebuchet MS"/>
        <w:sz w:val="20"/>
        <w:szCs w:val="20"/>
      </w:rPr>
      <w:t>Bulan</w:t>
    </w:r>
    <w:r w:rsidRPr="005D79BF">
      <w:rPr>
        <w:rFonts w:ascii="Trebuchet MS" w:hAnsi="Trebuchet MS"/>
        <w:sz w:val="20"/>
        <w:szCs w:val="20"/>
        <w:lang w:val="id-ID"/>
      </w:rPr>
      <w:t xml:space="preserve"> </w:t>
    </w:r>
    <w:r w:rsidRPr="005D79BF">
      <w:rPr>
        <w:rFonts w:ascii="Trebuchet MS" w:hAnsi="Trebuchet MS"/>
        <w:sz w:val="20"/>
        <w:szCs w:val="20"/>
      </w:rPr>
      <w:t>20</w:t>
    </w:r>
    <w:r>
      <w:rPr>
        <w:rFonts w:ascii="Trebuchet MS" w:hAnsi="Trebuchet MS"/>
        <w:sz w:val="20"/>
        <w:szCs w:val="20"/>
      </w:rPr>
      <w:t>XX</w:t>
    </w:r>
    <w:r w:rsidRPr="005D79BF">
      <w:rPr>
        <w:rFonts w:ascii="Trebuchet MS" w:hAnsi="Trebuchet MS"/>
        <w:sz w:val="20"/>
        <w:szCs w:val="20"/>
        <w:lang w:val="id-ID"/>
      </w:rPr>
      <w:t>, hal</w:t>
    </w:r>
    <w:r>
      <w:rPr>
        <w:rFonts w:ascii="Trebuchet MS" w:hAnsi="Trebuchet MS"/>
        <w:sz w:val="20"/>
        <w:szCs w:val="20"/>
      </w:rPr>
      <w:t>. XX-YY</w:t>
    </w:r>
  </w:p>
  <w:p w14:paraId="5B09A1C6" w14:textId="77777777" w:rsidR="00347B73" w:rsidRDefault="00347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5CC8"/>
    <w:multiLevelType w:val="hybridMultilevel"/>
    <w:tmpl w:val="BFD4CCF2"/>
    <w:lvl w:ilvl="0" w:tplc="33803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A19C4"/>
    <w:multiLevelType w:val="hybridMultilevel"/>
    <w:tmpl w:val="5E66DA2E"/>
    <w:lvl w:ilvl="0" w:tplc="F0160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201274">
    <w:abstractNumId w:val="1"/>
  </w:num>
  <w:num w:numId="2" w16cid:durableId="34389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45"/>
    <w:rsid w:val="00020D99"/>
    <w:rsid w:val="00031A98"/>
    <w:rsid w:val="00066A5C"/>
    <w:rsid w:val="00070042"/>
    <w:rsid w:val="000B4176"/>
    <w:rsid w:val="000E270B"/>
    <w:rsid w:val="00110CC3"/>
    <w:rsid w:val="001225E5"/>
    <w:rsid w:val="00152861"/>
    <w:rsid w:val="0017000D"/>
    <w:rsid w:val="00175EBB"/>
    <w:rsid w:val="00183DE1"/>
    <w:rsid w:val="001A464D"/>
    <w:rsid w:val="001B106C"/>
    <w:rsid w:val="001B2AC2"/>
    <w:rsid w:val="001C447D"/>
    <w:rsid w:val="001D1CEC"/>
    <w:rsid w:val="001D2B5F"/>
    <w:rsid w:val="001F1EDD"/>
    <w:rsid w:val="001F7369"/>
    <w:rsid w:val="00262EE4"/>
    <w:rsid w:val="00270723"/>
    <w:rsid w:val="0028111E"/>
    <w:rsid w:val="00291191"/>
    <w:rsid w:val="002B6D09"/>
    <w:rsid w:val="002B7BA1"/>
    <w:rsid w:val="002E51CA"/>
    <w:rsid w:val="00311833"/>
    <w:rsid w:val="00311F73"/>
    <w:rsid w:val="0031567F"/>
    <w:rsid w:val="00317636"/>
    <w:rsid w:val="00322F26"/>
    <w:rsid w:val="00340616"/>
    <w:rsid w:val="00347B73"/>
    <w:rsid w:val="00350CCF"/>
    <w:rsid w:val="003573F6"/>
    <w:rsid w:val="00393846"/>
    <w:rsid w:val="003A472B"/>
    <w:rsid w:val="003C0B06"/>
    <w:rsid w:val="003C1F9C"/>
    <w:rsid w:val="003D4A12"/>
    <w:rsid w:val="003D7D27"/>
    <w:rsid w:val="003E3633"/>
    <w:rsid w:val="00415E06"/>
    <w:rsid w:val="0042527D"/>
    <w:rsid w:val="004904DC"/>
    <w:rsid w:val="0049186B"/>
    <w:rsid w:val="004C2F48"/>
    <w:rsid w:val="0050030E"/>
    <w:rsid w:val="00505D18"/>
    <w:rsid w:val="00523F45"/>
    <w:rsid w:val="0052453C"/>
    <w:rsid w:val="005311C1"/>
    <w:rsid w:val="00535900"/>
    <w:rsid w:val="00536828"/>
    <w:rsid w:val="00543F1B"/>
    <w:rsid w:val="005461B6"/>
    <w:rsid w:val="005560CF"/>
    <w:rsid w:val="00570B54"/>
    <w:rsid w:val="00585B4B"/>
    <w:rsid w:val="00587F96"/>
    <w:rsid w:val="005B0EE1"/>
    <w:rsid w:val="005C616C"/>
    <w:rsid w:val="005E2EA8"/>
    <w:rsid w:val="005F5B5F"/>
    <w:rsid w:val="00660787"/>
    <w:rsid w:val="0067564C"/>
    <w:rsid w:val="00693A06"/>
    <w:rsid w:val="006C2455"/>
    <w:rsid w:val="006E4BAF"/>
    <w:rsid w:val="006F2C74"/>
    <w:rsid w:val="006F2EE0"/>
    <w:rsid w:val="006F42F0"/>
    <w:rsid w:val="007076D7"/>
    <w:rsid w:val="007B4AD6"/>
    <w:rsid w:val="007E4224"/>
    <w:rsid w:val="007E4E19"/>
    <w:rsid w:val="007F1B24"/>
    <w:rsid w:val="00810110"/>
    <w:rsid w:val="00841C11"/>
    <w:rsid w:val="008433BD"/>
    <w:rsid w:val="00875B89"/>
    <w:rsid w:val="008A7C8C"/>
    <w:rsid w:val="008B3C8E"/>
    <w:rsid w:val="008E49FE"/>
    <w:rsid w:val="00904ABB"/>
    <w:rsid w:val="00921509"/>
    <w:rsid w:val="0095341E"/>
    <w:rsid w:val="009B2425"/>
    <w:rsid w:val="00A24E15"/>
    <w:rsid w:val="00A320FC"/>
    <w:rsid w:val="00A43EA4"/>
    <w:rsid w:val="00A45B27"/>
    <w:rsid w:val="00A54372"/>
    <w:rsid w:val="00A56AD0"/>
    <w:rsid w:val="00A71C13"/>
    <w:rsid w:val="00A73105"/>
    <w:rsid w:val="00A737ED"/>
    <w:rsid w:val="00A94CA9"/>
    <w:rsid w:val="00AB1AA3"/>
    <w:rsid w:val="00AB66D6"/>
    <w:rsid w:val="00B229F1"/>
    <w:rsid w:val="00B27DCB"/>
    <w:rsid w:val="00B5063C"/>
    <w:rsid w:val="00B508A1"/>
    <w:rsid w:val="00B51443"/>
    <w:rsid w:val="00B527A9"/>
    <w:rsid w:val="00B875D5"/>
    <w:rsid w:val="00BA71F9"/>
    <w:rsid w:val="00BA7A74"/>
    <w:rsid w:val="00BB7B80"/>
    <w:rsid w:val="00BF305A"/>
    <w:rsid w:val="00C015EB"/>
    <w:rsid w:val="00C06D0F"/>
    <w:rsid w:val="00C14D6A"/>
    <w:rsid w:val="00C260E7"/>
    <w:rsid w:val="00C310F3"/>
    <w:rsid w:val="00C573BB"/>
    <w:rsid w:val="00CA3122"/>
    <w:rsid w:val="00CA4A86"/>
    <w:rsid w:val="00CB78A3"/>
    <w:rsid w:val="00CC7452"/>
    <w:rsid w:val="00CD5713"/>
    <w:rsid w:val="00CD6DE5"/>
    <w:rsid w:val="00D03736"/>
    <w:rsid w:val="00D06C2F"/>
    <w:rsid w:val="00D53DC0"/>
    <w:rsid w:val="00D5679B"/>
    <w:rsid w:val="00D56C7D"/>
    <w:rsid w:val="00DB5D38"/>
    <w:rsid w:val="00DC10E2"/>
    <w:rsid w:val="00DC42C4"/>
    <w:rsid w:val="00DE15FA"/>
    <w:rsid w:val="00DF238E"/>
    <w:rsid w:val="00E14D9E"/>
    <w:rsid w:val="00E5571A"/>
    <w:rsid w:val="00E807C3"/>
    <w:rsid w:val="00E96102"/>
    <w:rsid w:val="00EB40BF"/>
    <w:rsid w:val="00ED6D74"/>
    <w:rsid w:val="00ED6F9E"/>
    <w:rsid w:val="00ED7516"/>
    <w:rsid w:val="00EF3F60"/>
    <w:rsid w:val="00EF6DF5"/>
    <w:rsid w:val="00F01DD7"/>
    <w:rsid w:val="00F23887"/>
    <w:rsid w:val="00F37F4E"/>
    <w:rsid w:val="00F60170"/>
    <w:rsid w:val="00F66D0A"/>
    <w:rsid w:val="00F70707"/>
    <w:rsid w:val="00F964F6"/>
    <w:rsid w:val="00FA0345"/>
    <w:rsid w:val="00FD3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A16BE"/>
  <w15:chartTrackingRefBased/>
  <w15:docId w15:val="{CFB9CC90-C93A-46C6-BDD8-5F698FC1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2D1"/>
    <w:pPr>
      <w:ind w:left="720"/>
      <w:contextualSpacing/>
    </w:pPr>
  </w:style>
  <w:style w:type="table" w:styleId="TableGrid">
    <w:name w:val="Table Grid"/>
    <w:basedOn w:val="TableNormal"/>
    <w:rsid w:val="00A4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7A9"/>
    <w:rPr>
      <w:color w:val="0563C1" w:themeColor="hyperlink"/>
      <w:u w:val="single"/>
    </w:rPr>
  </w:style>
  <w:style w:type="character" w:styleId="UnresolvedMention">
    <w:name w:val="Unresolved Mention"/>
    <w:basedOn w:val="DefaultParagraphFont"/>
    <w:uiPriority w:val="99"/>
    <w:semiHidden/>
    <w:unhideWhenUsed/>
    <w:rsid w:val="00B527A9"/>
    <w:rPr>
      <w:color w:val="605E5C"/>
      <w:shd w:val="clear" w:color="auto" w:fill="E1DFDD"/>
    </w:rPr>
  </w:style>
  <w:style w:type="character" w:customStyle="1" w:styleId="markedcontent">
    <w:name w:val="markedcontent"/>
    <w:basedOn w:val="DefaultParagraphFont"/>
    <w:rsid w:val="00DE15FA"/>
  </w:style>
  <w:style w:type="character" w:customStyle="1" w:styleId="longtext">
    <w:name w:val="long_text"/>
    <w:basedOn w:val="DefaultParagraphFont"/>
    <w:rsid w:val="00660787"/>
  </w:style>
  <w:style w:type="paragraph" w:styleId="Header">
    <w:name w:val="header"/>
    <w:basedOn w:val="Normal"/>
    <w:link w:val="HeaderChar"/>
    <w:uiPriority w:val="99"/>
    <w:unhideWhenUsed/>
    <w:rsid w:val="00347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B73"/>
  </w:style>
  <w:style w:type="paragraph" w:styleId="Footer">
    <w:name w:val="footer"/>
    <w:basedOn w:val="Normal"/>
    <w:link w:val="FooterChar"/>
    <w:uiPriority w:val="99"/>
    <w:unhideWhenUsed/>
    <w:rsid w:val="00347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8920">
      <w:bodyDiv w:val="1"/>
      <w:marLeft w:val="0"/>
      <w:marRight w:val="0"/>
      <w:marTop w:val="0"/>
      <w:marBottom w:val="0"/>
      <w:divBdr>
        <w:top w:val="none" w:sz="0" w:space="0" w:color="auto"/>
        <w:left w:val="none" w:sz="0" w:space="0" w:color="auto"/>
        <w:bottom w:val="none" w:sz="0" w:space="0" w:color="auto"/>
        <w:right w:val="none" w:sz="0" w:space="0" w:color="auto"/>
      </w:divBdr>
      <w:divsChild>
        <w:div w:id="1691108754">
          <w:marLeft w:val="0"/>
          <w:marRight w:val="0"/>
          <w:marTop w:val="0"/>
          <w:marBottom w:val="0"/>
          <w:divBdr>
            <w:top w:val="none" w:sz="0" w:space="0" w:color="auto"/>
            <w:left w:val="none" w:sz="0" w:space="0" w:color="auto"/>
            <w:bottom w:val="none" w:sz="0" w:space="0" w:color="auto"/>
            <w:right w:val="none" w:sz="0" w:space="0" w:color="auto"/>
          </w:divBdr>
        </w:div>
        <w:div w:id="378744095">
          <w:marLeft w:val="0"/>
          <w:marRight w:val="0"/>
          <w:marTop w:val="0"/>
          <w:marBottom w:val="0"/>
          <w:divBdr>
            <w:top w:val="none" w:sz="0" w:space="0" w:color="auto"/>
            <w:left w:val="none" w:sz="0" w:space="0" w:color="auto"/>
            <w:bottom w:val="none" w:sz="0" w:space="0" w:color="auto"/>
            <w:right w:val="none" w:sz="0" w:space="0" w:color="auto"/>
          </w:divBdr>
        </w:div>
        <w:div w:id="71585629">
          <w:marLeft w:val="0"/>
          <w:marRight w:val="0"/>
          <w:marTop w:val="0"/>
          <w:marBottom w:val="0"/>
          <w:divBdr>
            <w:top w:val="none" w:sz="0" w:space="0" w:color="auto"/>
            <w:left w:val="none" w:sz="0" w:space="0" w:color="auto"/>
            <w:bottom w:val="none" w:sz="0" w:space="0" w:color="auto"/>
            <w:right w:val="none" w:sz="0" w:space="0" w:color="auto"/>
          </w:divBdr>
        </w:div>
        <w:div w:id="1325932079">
          <w:marLeft w:val="0"/>
          <w:marRight w:val="0"/>
          <w:marTop w:val="0"/>
          <w:marBottom w:val="0"/>
          <w:divBdr>
            <w:top w:val="none" w:sz="0" w:space="0" w:color="auto"/>
            <w:left w:val="none" w:sz="0" w:space="0" w:color="auto"/>
            <w:bottom w:val="none" w:sz="0" w:space="0" w:color="auto"/>
            <w:right w:val="none" w:sz="0" w:space="0" w:color="auto"/>
          </w:divBdr>
        </w:div>
        <w:div w:id="262342420">
          <w:marLeft w:val="0"/>
          <w:marRight w:val="0"/>
          <w:marTop w:val="0"/>
          <w:marBottom w:val="0"/>
          <w:divBdr>
            <w:top w:val="none" w:sz="0" w:space="0" w:color="auto"/>
            <w:left w:val="none" w:sz="0" w:space="0" w:color="auto"/>
            <w:bottom w:val="none" w:sz="0" w:space="0" w:color="auto"/>
            <w:right w:val="none" w:sz="0" w:space="0" w:color="auto"/>
          </w:divBdr>
        </w:div>
        <w:div w:id="488718115">
          <w:marLeft w:val="0"/>
          <w:marRight w:val="0"/>
          <w:marTop w:val="0"/>
          <w:marBottom w:val="0"/>
          <w:divBdr>
            <w:top w:val="none" w:sz="0" w:space="0" w:color="auto"/>
            <w:left w:val="none" w:sz="0" w:space="0" w:color="auto"/>
            <w:bottom w:val="none" w:sz="0" w:space="0" w:color="auto"/>
            <w:right w:val="none" w:sz="0" w:space="0" w:color="auto"/>
          </w:divBdr>
        </w:div>
        <w:div w:id="746027931">
          <w:marLeft w:val="0"/>
          <w:marRight w:val="0"/>
          <w:marTop w:val="0"/>
          <w:marBottom w:val="0"/>
          <w:divBdr>
            <w:top w:val="none" w:sz="0" w:space="0" w:color="auto"/>
            <w:left w:val="none" w:sz="0" w:space="0" w:color="auto"/>
            <w:bottom w:val="none" w:sz="0" w:space="0" w:color="auto"/>
            <w:right w:val="none" w:sz="0" w:space="0" w:color="auto"/>
          </w:divBdr>
        </w:div>
        <w:div w:id="315650683">
          <w:marLeft w:val="0"/>
          <w:marRight w:val="0"/>
          <w:marTop w:val="0"/>
          <w:marBottom w:val="0"/>
          <w:divBdr>
            <w:top w:val="none" w:sz="0" w:space="0" w:color="auto"/>
            <w:left w:val="none" w:sz="0" w:space="0" w:color="auto"/>
            <w:bottom w:val="none" w:sz="0" w:space="0" w:color="auto"/>
            <w:right w:val="none" w:sz="0" w:space="0" w:color="auto"/>
          </w:divBdr>
        </w:div>
      </w:divsChild>
    </w:div>
    <w:div w:id="14821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mmat.ac.id/index.php/jmm" TargetMode="External"/><Relationship Id="rId13" Type="http://schemas.openxmlformats.org/officeDocument/2006/relationships/hyperlink" Target="mailto:hassejubba@umy.ac.id,ahmadsahide@umy.ac.id" TargetMode="External"/><Relationship Id="rId18" Type="http://schemas.openxmlformats.org/officeDocument/2006/relationships/image" Target="media/image3.pn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doi.org/10.31764/jmm.vXiX.XXXX" TargetMode="External"/><Relationship Id="rId17" Type="http://schemas.openxmlformats.org/officeDocument/2006/relationships/image" Target="media/image2.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mailto:hermawanlaerlai@yahoo.com"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ummat.ac.id/index.php/jmm"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mailto:akbar.nur.psc21@mail.umy.ac.id"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doi.org/10.31764/jmm.vXiX.XXX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ohirin@umy.ac.id" TargetMode="External"/><Relationship Id="rId22" Type="http://schemas.openxmlformats.org/officeDocument/2006/relationships/image" Target="media/image6.jpeg"/><Relationship Id="rId27"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Hasil Pre-test</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0BF-45E2-BA93-7A64335422A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0BF-45E2-BA93-7A64335422A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0BF-45E2-BA93-7A64335422A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0BF-45E2-BA93-7A64335422A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Seimbang/netral</c:v>
                </c:pt>
                <c:pt idx="1">
                  <c:v>Tidak tahu</c:v>
                </c:pt>
              </c:strCache>
            </c:strRef>
          </c:cat>
          <c:val>
            <c:numRef>
              <c:f>Sheet1!$B$2:$B$5</c:f>
              <c:numCache>
                <c:formatCode>General</c:formatCode>
                <c:ptCount val="4"/>
                <c:pt idx="0">
                  <c:v>30</c:v>
                </c:pt>
                <c:pt idx="1">
                  <c:v>4</c:v>
                </c:pt>
              </c:numCache>
            </c:numRef>
          </c:val>
          <c:extLst>
            <c:ext xmlns:c16="http://schemas.microsoft.com/office/drawing/2014/chart" uri="{C3380CC4-5D6E-409C-BE32-E72D297353CC}">
              <c16:uniqueId val="{00000000-46AD-4F12-89FE-4187BEFD3C3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hasil post-test</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F07-47B3-8F79-E2DC5846566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F07-47B3-8F79-E2DC5846566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F07-47B3-8F79-E2DC5846566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F07-47B3-8F79-E2DC5846566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Seimbang Netral</c:v>
                </c:pt>
                <c:pt idx="1">
                  <c:v>Tidak tahu </c:v>
                </c:pt>
              </c:strCache>
            </c:strRef>
          </c:cat>
          <c:val>
            <c:numRef>
              <c:f>Sheet1!$B$2:$B$5</c:f>
              <c:numCache>
                <c:formatCode>General</c:formatCode>
                <c:ptCount val="4"/>
                <c:pt idx="0">
                  <c:v>40</c:v>
                </c:pt>
                <c:pt idx="1">
                  <c:v>0</c:v>
                </c:pt>
              </c:numCache>
            </c:numRef>
          </c:val>
          <c:extLst>
            <c:ext xmlns:c16="http://schemas.microsoft.com/office/drawing/2014/chart" uri="{C3380CC4-5D6E-409C-BE32-E72D297353CC}">
              <c16:uniqueId val="{00000000-E5DA-4AE7-B2BC-C5CA6685A6F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2378-6421-4800-8D04-9DD75B90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7424</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Akbar Nur Aziz</cp:lastModifiedBy>
  <cp:revision>96</cp:revision>
  <dcterms:created xsi:type="dcterms:W3CDTF">2022-04-16T05:24:00Z</dcterms:created>
  <dcterms:modified xsi:type="dcterms:W3CDTF">2022-06-30T11:36:00Z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1fbf63c5-fa2d-3a4a-b353-d3848ba02416</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