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A816"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63E585A1" w14:textId="1B27A86C" w:rsidR="00FD1FFD" w:rsidRPr="00FD1FFD" w:rsidRDefault="00FD1FFD" w:rsidP="00FD1FFD">
      <w:pPr>
        <w:pStyle w:val="IEEETitle"/>
        <w:tabs>
          <w:tab w:val="left" w:pos="1014"/>
          <w:tab w:val="center" w:pos="5017"/>
        </w:tabs>
        <w:spacing w:after="240"/>
        <w:rPr>
          <w:rStyle w:val="shorttext"/>
          <w:rFonts w:asciiTheme="majorHAnsi" w:hAnsiTheme="majorHAnsi"/>
          <w:b/>
          <w:sz w:val="34"/>
          <w:szCs w:val="34"/>
          <w:shd w:val="clear" w:color="auto" w:fill="FFFFFF"/>
          <w:lang w:val="en-US"/>
        </w:rPr>
      </w:pPr>
      <w:r w:rsidRPr="00FD1FFD">
        <w:rPr>
          <w:rStyle w:val="shorttext"/>
          <w:rFonts w:asciiTheme="majorHAnsi" w:hAnsiTheme="majorHAnsi"/>
          <w:b/>
          <w:sz w:val="34"/>
          <w:szCs w:val="34"/>
          <w:shd w:val="clear" w:color="auto" w:fill="FFFFFF"/>
          <w:lang w:val="id-ID"/>
        </w:rPr>
        <w:t>Nonlinear Principal Component Analysis in Path Analysis with Mixed Data Formative Indicator Models</w:t>
      </w:r>
    </w:p>
    <w:p w14:paraId="726B3AD1" w14:textId="77777777" w:rsidR="00FD1FFD" w:rsidRPr="00FD1FFD" w:rsidRDefault="00FD1FFD" w:rsidP="00FD1FFD">
      <w:pPr>
        <w:pStyle w:val="IEEEAuthorName"/>
        <w:rPr>
          <w:lang w:val="en-US" w:eastAsia="zh-CN"/>
        </w:rPr>
      </w:pPr>
    </w:p>
    <w:p w14:paraId="224E374A" w14:textId="6C2FC826" w:rsidR="009E11EB" w:rsidRPr="007855B5" w:rsidRDefault="009E11EB" w:rsidP="009E11EB">
      <w:pPr>
        <w:jc w:val="center"/>
        <w:rPr>
          <w:rFonts w:asciiTheme="majorHAnsi" w:hAnsiTheme="majorHAnsi"/>
          <w:b/>
          <w:bCs/>
          <w:sz w:val="22"/>
          <w:szCs w:val="22"/>
        </w:rPr>
      </w:pPr>
      <w:r>
        <w:rPr>
          <w:rFonts w:asciiTheme="majorHAnsi" w:hAnsiTheme="majorHAnsi"/>
          <w:b/>
          <w:bCs/>
          <w:sz w:val="22"/>
          <w:szCs w:val="22"/>
          <w:lang w:val="en-US"/>
        </w:rPr>
        <w:t>Rindu Hardianti</w:t>
      </w:r>
      <w:r w:rsidR="00AB2575" w:rsidRPr="007855B5">
        <w:rPr>
          <w:rFonts w:asciiTheme="majorHAnsi" w:hAnsiTheme="majorHAnsi"/>
          <w:b/>
          <w:bCs/>
          <w:sz w:val="22"/>
          <w:szCs w:val="22"/>
          <w:vertAlign w:val="superscript"/>
          <w:lang w:val="en-US"/>
        </w:rPr>
        <w:t>1</w:t>
      </w:r>
      <w:r w:rsidR="005B3934" w:rsidRPr="007855B5">
        <w:rPr>
          <w:rFonts w:asciiTheme="majorHAnsi" w:hAnsiTheme="majorHAnsi"/>
          <w:b/>
          <w:bCs/>
          <w:sz w:val="22"/>
          <w:szCs w:val="22"/>
          <w:lang w:val="id-ID"/>
        </w:rPr>
        <w:t xml:space="preserve">, </w:t>
      </w:r>
      <w:r>
        <w:rPr>
          <w:rFonts w:asciiTheme="majorHAnsi" w:hAnsiTheme="majorHAnsi"/>
          <w:b/>
          <w:bCs/>
          <w:sz w:val="22"/>
          <w:szCs w:val="22"/>
          <w:lang w:val="en-US"/>
        </w:rPr>
        <w:t>Solimun</w:t>
      </w:r>
      <w:r w:rsidR="00AB2575" w:rsidRPr="007855B5">
        <w:rPr>
          <w:rFonts w:asciiTheme="majorHAnsi" w:hAnsiTheme="majorHAnsi"/>
          <w:b/>
          <w:bCs/>
          <w:sz w:val="22"/>
          <w:szCs w:val="22"/>
          <w:vertAlign w:val="superscript"/>
          <w:lang w:val="en-US"/>
        </w:rPr>
        <w:t>2</w:t>
      </w:r>
      <w:r w:rsidR="005B3934" w:rsidRPr="007855B5">
        <w:rPr>
          <w:rFonts w:asciiTheme="majorHAnsi" w:hAnsiTheme="majorHAnsi"/>
          <w:b/>
          <w:bCs/>
          <w:sz w:val="22"/>
          <w:szCs w:val="22"/>
          <w:lang w:val="id-ID"/>
        </w:rPr>
        <w:t xml:space="preserve">, </w:t>
      </w:r>
      <w:r>
        <w:rPr>
          <w:rFonts w:asciiTheme="majorHAnsi" w:hAnsiTheme="majorHAnsi"/>
          <w:b/>
          <w:bCs/>
          <w:sz w:val="22"/>
          <w:szCs w:val="22"/>
          <w:lang w:val="en-US"/>
        </w:rPr>
        <w:t>Nurjannah</w:t>
      </w:r>
      <w:r w:rsidR="00AB2575" w:rsidRPr="007855B5">
        <w:rPr>
          <w:rFonts w:asciiTheme="majorHAnsi" w:hAnsiTheme="majorHAnsi"/>
          <w:b/>
          <w:bCs/>
          <w:sz w:val="22"/>
          <w:szCs w:val="22"/>
          <w:vertAlign w:val="superscript"/>
          <w:lang w:val="en-US"/>
        </w:rPr>
        <w:t>3</w:t>
      </w:r>
    </w:p>
    <w:p w14:paraId="084EFDFD" w14:textId="2A263255" w:rsidR="009E11EB" w:rsidRPr="009E11EB" w:rsidRDefault="00F66CC2" w:rsidP="009E11EB">
      <w:pPr>
        <w:jc w:val="center"/>
        <w:rPr>
          <w:rFonts w:asciiTheme="majorHAnsi" w:hAnsiTheme="majorHAnsi" w:cstheme="minorHAnsi"/>
          <w:sz w:val="22"/>
          <w:szCs w:val="22"/>
        </w:rPr>
      </w:pPr>
      <w:r w:rsidRPr="007855B5">
        <w:rPr>
          <w:rFonts w:asciiTheme="majorHAnsi" w:hAnsiTheme="majorHAnsi" w:cstheme="minorHAnsi"/>
          <w:sz w:val="22"/>
          <w:szCs w:val="22"/>
          <w:vertAlign w:val="superscript"/>
        </w:rPr>
        <w:t>1</w:t>
      </w:r>
      <w:r w:rsidR="007855B5">
        <w:rPr>
          <w:rFonts w:asciiTheme="majorHAnsi" w:hAnsiTheme="majorHAnsi" w:cstheme="minorHAnsi"/>
          <w:sz w:val="22"/>
          <w:szCs w:val="22"/>
          <w:vertAlign w:val="superscript"/>
        </w:rPr>
        <w:t>,2,3</w:t>
      </w:r>
      <w:r w:rsidR="009E11EB" w:rsidRPr="009E11EB">
        <w:rPr>
          <w:rFonts w:asciiTheme="majorHAnsi" w:hAnsiTheme="majorHAnsi" w:cstheme="minorHAnsi"/>
          <w:sz w:val="22"/>
          <w:szCs w:val="22"/>
        </w:rPr>
        <w:t>Department of Statistics, Brawijaya University, Indonesia</w:t>
      </w:r>
    </w:p>
    <w:p w14:paraId="0463A231" w14:textId="77777777" w:rsidR="009E11EB" w:rsidRPr="007855B5" w:rsidRDefault="009E11EB" w:rsidP="005B3934">
      <w:pPr>
        <w:jc w:val="center"/>
        <w:rPr>
          <w:rFonts w:asciiTheme="majorHAnsi" w:hAnsiTheme="majorHAnsi" w:cstheme="minorHAnsi"/>
          <w:sz w:val="22"/>
          <w:szCs w:val="22"/>
        </w:rPr>
      </w:pPr>
    </w:p>
    <w:p w14:paraId="70A256F4" w14:textId="2E7B7922" w:rsidR="005B3934" w:rsidRPr="007855B5" w:rsidRDefault="00000000" w:rsidP="005B3934">
      <w:pPr>
        <w:jc w:val="center"/>
        <w:rPr>
          <w:rFonts w:asciiTheme="majorHAnsi" w:hAnsiTheme="majorHAnsi" w:cstheme="minorHAnsi"/>
          <w:sz w:val="22"/>
          <w:szCs w:val="22"/>
        </w:rPr>
      </w:pPr>
      <w:hyperlink r:id="rId8" w:history="1">
        <w:r w:rsidR="00DD1227" w:rsidRPr="0069204D">
          <w:rPr>
            <w:rStyle w:val="Hyperlink"/>
            <w:rFonts w:asciiTheme="majorHAnsi" w:hAnsiTheme="majorHAnsi" w:cstheme="minorHAnsi"/>
            <w:sz w:val="22"/>
            <w:szCs w:val="22"/>
          </w:rPr>
          <w:t>rinduhardianti@student.ub.ac.id</w:t>
        </w:r>
      </w:hyperlink>
      <w:r w:rsidR="00DD1227">
        <w:rPr>
          <w:rFonts w:asciiTheme="majorHAnsi" w:hAnsiTheme="majorHAnsi" w:cstheme="minorHAnsi"/>
          <w:sz w:val="22"/>
          <w:szCs w:val="22"/>
          <w:vertAlign w:val="superscript"/>
        </w:rPr>
        <w:t>1</w:t>
      </w:r>
      <w:r w:rsidR="00DD1227">
        <w:rPr>
          <w:rFonts w:asciiTheme="majorHAnsi" w:hAnsiTheme="majorHAnsi" w:cstheme="minorHAnsi"/>
          <w:sz w:val="22"/>
          <w:szCs w:val="22"/>
        </w:rPr>
        <w:t xml:space="preserve">, </w:t>
      </w:r>
      <w:hyperlink r:id="rId9" w:history="1">
        <w:r w:rsidR="00DD1227" w:rsidRPr="0069204D">
          <w:rPr>
            <w:rStyle w:val="Hyperlink"/>
            <w:rFonts w:asciiTheme="majorHAnsi" w:hAnsiTheme="majorHAnsi" w:cstheme="minorHAnsi"/>
            <w:sz w:val="22"/>
            <w:szCs w:val="22"/>
          </w:rPr>
          <w:t>solimun@ub.ac.id</w:t>
        </w:r>
        <w:r w:rsidR="00DD1227" w:rsidRPr="0069204D">
          <w:rPr>
            <w:rStyle w:val="Hyperlink"/>
            <w:rFonts w:asciiTheme="majorHAnsi" w:hAnsiTheme="majorHAnsi" w:cstheme="minorHAnsi"/>
            <w:sz w:val="22"/>
            <w:szCs w:val="22"/>
            <w:vertAlign w:val="superscript"/>
          </w:rPr>
          <w:t>2</w:t>
        </w:r>
      </w:hyperlink>
      <w:r w:rsidR="00DD1227">
        <w:rPr>
          <w:rFonts w:asciiTheme="majorHAnsi" w:hAnsiTheme="majorHAnsi" w:cstheme="minorHAnsi"/>
          <w:sz w:val="22"/>
          <w:szCs w:val="22"/>
        </w:rPr>
        <w:t xml:space="preserve">, </w:t>
      </w:r>
      <w:hyperlink r:id="rId10" w:history="1">
        <w:r w:rsidR="00DD1227" w:rsidRPr="0069204D">
          <w:rPr>
            <w:rStyle w:val="Hyperlink"/>
            <w:rFonts w:asciiTheme="majorHAnsi" w:hAnsiTheme="majorHAnsi" w:cstheme="minorHAnsi"/>
            <w:sz w:val="22"/>
            <w:szCs w:val="22"/>
          </w:rPr>
          <w:t>nj_anna@ub.ac.id</w:t>
        </w:r>
      </w:hyperlink>
      <w:r w:rsidR="00DD1227">
        <w:rPr>
          <w:rFonts w:asciiTheme="majorHAnsi" w:hAnsiTheme="majorHAnsi" w:cstheme="minorHAnsi"/>
          <w:sz w:val="22"/>
          <w:szCs w:val="22"/>
          <w:vertAlign w:val="superscript"/>
        </w:rPr>
        <w:t>3</w:t>
      </w:r>
      <w:r w:rsidR="00DD1227">
        <w:rPr>
          <w:rFonts w:asciiTheme="majorHAnsi" w:hAnsiTheme="majorHAnsi" w:cstheme="minorHAnsi"/>
          <w:sz w:val="22"/>
          <w:szCs w:val="22"/>
        </w:rPr>
        <w:t xml:space="preserve"> </w:t>
      </w:r>
    </w:p>
    <w:p w14:paraId="1EEECD6D" w14:textId="77777777" w:rsidR="00D41274" w:rsidRPr="00B3521D" w:rsidRDefault="00D41274" w:rsidP="00D41274">
      <w:pPr>
        <w:rPr>
          <w:rFonts w:ascii="Century Gothic" w:hAnsi="Century Gothic"/>
        </w:rPr>
      </w:pPr>
    </w:p>
    <w:p w14:paraId="4A4B7FAD" w14:textId="77777777" w:rsidR="00D41274" w:rsidRPr="00B3521D" w:rsidRDefault="00D41274">
      <w:pPr>
        <w:rPr>
          <w:rFonts w:ascii="Century Gothic" w:hAnsi="Century Gothic"/>
        </w:rPr>
        <w:sectPr w:rsidR="00D41274" w:rsidRPr="00B3521D" w:rsidSect="00AD3C84">
          <w:headerReference w:type="even" r:id="rId11"/>
          <w:headerReference w:type="default" r:id="rId12"/>
          <w:headerReference w:type="first" r:id="rId13"/>
          <w:footerReference w:type="first" r:id="rId14"/>
          <w:pgSz w:w="11906" w:h="16838" w:code="9"/>
          <w:pgMar w:top="1134" w:right="1134" w:bottom="1134" w:left="1134" w:header="851" w:footer="567" w:gutter="0"/>
          <w:cols w:space="708"/>
          <w:titlePg/>
          <w:docGrid w:linePitch="360"/>
        </w:sectPr>
      </w:pPr>
    </w:p>
    <w:p w14:paraId="4D6DE8B6" w14:textId="77777777" w:rsidR="009D3C51" w:rsidRPr="00B3521D" w:rsidRDefault="009D3C51" w:rsidP="007E34AA">
      <w:pPr>
        <w:pStyle w:val="IEEEAbtract"/>
        <w:ind w:left="1985" w:right="1779"/>
        <w:rPr>
          <w:rFonts w:ascii="Century Gothic" w:hAnsi="Century Gothic"/>
          <w:lang w:val="id-ID"/>
        </w:rPr>
      </w:pPr>
    </w:p>
    <w:tbl>
      <w:tblPr>
        <w:tblStyle w:val="TableGrid"/>
        <w:tblW w:w="9623" w:type="dxa"/>
        <w:jc w:val="center"/>
        <w:tblLook w:val="04A0" w:firstRow="1" w:lastRow="0" w:firstColumn="1" w:lastColumn="0" w:noHBand="0" w:noVBand="1"/>
      </w:tblPr>
      <w:tblGrid>
        <w:gridCol w:w="2113"/>
        <w:gridCol w:w="283"/>
        <w:gridCol w:w="2289"/>
        <w:gridCol w:w="4938"/>
      </w:tblGrid>
      <w:tr w:rsidR="009507C0" w:rsidRPr="00B3521D" w14:paraId="47EAF7AA" w14:textId="77777777" w:rsidTr="00AD3C84">
        <w:trPr>
          <w:trHeight w:val="135"/>
          <w:jc w:val="center"/>
        </w:trPr>
        <w:tc>
          <w:tcPr>
            <w:tcW w:w="2113" w:type="dxa"/>
            <w:tcBorders>
              <w:top w:val="double" w:sz="4" w:space="0" w:color="auto"/>
              <w:left w:val="nil"/>
              <w:bottom w:val="single" w:sz="4" w:space="0" w:color="auto"/>
              <w:right w:val="nil"/>
            </w:tcBorders>
            <w:vAlign w:val="center"/>
          </w:tcPr>
          <w:p w14:paraId="0C85784B" w14:textId="77777777" w:rsidR="009507C0" w:rsidRPr="00B3521D" w:rsidRDefault="009507C0"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14:paraId="7764977B" w14:textId="77777777" w:rsidR="009507C0" w:rsidRPr="00B3521D" w:rsidRDefault="009507C0" w:rsidP="00521ED0">
            <w:pPr>
              <w:spacing w:before="120"/>
              <w:rPr>
                <w:rFonts w:ascii="Century Gothic" w:hAnsi="Century Gothic"/>
                <w:sz w:val="18"/>
                <w:szCs w:val="18"/>
              </w:rPr>
            </w:pPr>
          </w:p>
        </w:tc>
        <w:tc>
          <w:tcPr>
            <w:tcW w:w="7227" w:type="dxa"/>
            <w:gridSpan w:val="2"/>
            <w:tcBorders>
              <w:top w:val="double" w:sz="4" w:space="0" w:color="auto"/>
              <w:left w:val="nil"/>
              <w:bottom w:val="single" w:sz="4" w:space="0" w:color="auto"/>
              <w:right w:val="nil"/>
            </w:tcBorders>
            <w:vAlign w:val="center"/>
          </w:tcPr>
          <w:p w14:paraId="69143966" w14:textId="77777777" w:rsidR="009507C0" w:rsidRPr="007855B5" w:rsidRDefault="009507C0" w:rsidP="00521ED0">
            <w:pPr>
              <w:spacing w:before="120"/>
              <w:jc w:val="center"/>
              <w:rPr>
                <w:rFonts w:asciiTheme="majorHAnsi" w:hAnsiTheme="majorHAnsi"/>
                <w:color w:val="000000"/>
                <w:sz w:val="20"/>
                <w:szCs w:val="20"/>
              </w:rPr>
            </w:pPr>
            <w:r w:rsidRPr="007855B5">
              <w:rPr>
                <w:rFonts w:asciiTheme="majorHAnsi" w:hAnsiTheme="majorHAnsi"/>
                <w:b/>
                <w:bCs/>
                <w:iCs/>
                <w:color w:val="000000"/>
                <w:sz w:val="20"/>
                <w:szCs w:val="20"/>
              </w:rPr>
              <w:t>ABSTRA</w:t>
            </w:r>
            <w:r w:rsidR="007855B5" w:rsidRPr="007855B5">
              <w:rPr>
                <w:rFonts w:asciiTheme="majorHAnsi" w:hAnsiTheme="majorHAnsi"/>
                <w:b/>
                <w:bCs/>
                <w:iCs/>
                <w:color w:val="000000"/>
                <w:sz w:val="20"/>
                <w:szCs w:val="20"/>
              </w:rPr>
              <w:t>CT</w:t>
            </w:r>
          </w:p>
        </w:tc>
      </w:tr>
      <w:tr w:rsidR="007855B5" w:rsidRPr="00B3521D" w14:paraId="18A0DD8E" w14:textId="77777777" w:rsidTr="004A4C1F">
        <w:trPr>
          <w:trHeight w:val="1268"/>
          <w:jc w:val="center"/>
        </w:trPr>
        <w:tc>
          <w:tcPr>
            <w:tcW w:w="2113" w:type="dxa"/>
            <w:tcBorders>
              <w:top w:val="single" w:sz="4" w:space="0" w:color="auto"/>
              <w:left w:val="nil"/>
              <w:bottom w:val="single" w:sz="4" w:space="0" w:color="auto"/>
              <w:right w:val="nil"/>
            </w:tcBorders>
          </w:tcPr>
          <w:p w14:paraId="1C2C0708" w14:textId="77777777" w:rsidR="007855B5" w:rsidRPr="007855B5" w:rsidRDefault="007855B5" w:rsidP="007855B5">
            <w:pPr>
              <w:spacing w:before="120" w:after="120"/>
              <w:jc w:val="both"/>
              <w:rPr>
                <w:rFonts w:asciiTheme="majorHAnsi" w:hAnsiTheme="majorHAnsi"/>
                <w:b/>
                <w:sz w:val="18"/>
                <w:szCs w:val="18"/>
              </w:rPr>
            </w:pPr>
            <w:r w:rsidRPr="007855B5">
              <w:rPr>
                <w:rFonts w:asciiTheme="majorHAnsi" w:hAnsiTheme="majorHAnsi"/>
                <w:b/>
                <w:sz w:val="18"/>
                <w:szCs w:val="18"/>
              </w:rPr>
              <w:t>Article History:</w:t>
            </w:r>
          </w:p>
          <w:p w14:paraId="60168250" w14:textId="77777777" w:rsidR="007855B5" w:rsidRPr="007855B5" w:rsidRDefault="007855B5" w:rsidP="007855B5">
            <w:pPr>
              <w:jc w:val="both"/>
              <w:rPr>
                <w:rFonts w:asciiTheme="majorHAnsi" w:hAnsiTheme="majorHAnsi"/>
                <w:sz w:val="18"/>
                <w:szCs w:val="18"/>
              </w:rPr>
            </w:pPr>
            <w:r w:rsidRPr="007855B5">
              <w:rPr>
                <w:rFonts w:asciiTheme="majorHAnsi" w:hAnsiTheme="majorHAnsi"/>
                <w:sz w:val="18"/>
                <w:szCs w:val="18"/>
              </w:rPr>
              <w:t>Received   : D-M-20XX</w:t>
            </w:r>
          </w:p>
          <w:p w14:paraId="5A92310B" w14:textId="77777777" w:rsidR="007855B5" w:rsidRPr="007855B5" w:rsidRDefault="007855B5" w:rsidP="007855B5">
            <w:pPr>
              <w:jc w:val="both"/>
              <w:rPr>
                <w:rFonts w:asciiTheme="majorHAnsi" w:hAnsiTheme="majorHAnsi"/>
                <w:sz w:val="18"/>
                <w:szCs w:val="18"/>
              </w:rPr>
            </w:pPr>
            <w:r w:rsidRPr="007855B5">
              <w:rPr>
                <w:rFonts w:asciiTheme="majorHAnsi" w:hAnsiTheme="majorHAnsi"/>
                <w:sz w:val="18"/>
                <w:szCs w:val="18"/>
              </w:rPr>
              <w:t>Revised     : D-M-20XX</w:t>
            </w:r>
          </w:p>
          <w:p w14:paraId="3570681C" w14:textId="77777777" w:rsidR="007855B5" w:rsidRPr="007855B5" w:rsidRDefault="007855B5" w:rsidP="007855B5">
            <w:pPr>
              <w:jc w:val="both"/>
              <w:rPr>
                <w:rFonts w:asciiTheme="majorHAnsi" w:hAnsiTheme="majorHAnsi"/>
                <w:sz w:val="18"/>
                <w:szCs w:val="18"/>
              </w:rPr>
            </w:pPr>
            <w:r w:rsidRPr="007855B5">
              <w:rPr>
                <w:rFonts w:asciiTheme="majorHAnsi" w:hAnsiTheme="majorHAnsi"/>
                <w:sz w:val="18"/>
                <w:szCs w:val="18"/>
              </w:rPr>
              <w:t>Accepted   : D-M-20XX</w:t>
            </w:r>
          </w:p>
          <w:p w14:paraId="3456D057" w14:textId="77777777" w:rsidR="007855B5" w:rsidRDefault="007855B5" w:rsidP="00B23EE2">
            <w:pPr>
              <w:jc w:val="both"/>
              <w:rPr>
                <w:rFonts w:asciiTheme="majorHAnsi" w:hAnsiTheme="majorHAnsi"/>
                <w:sz w:val="18"/>
                <w:szCs w:val="18"/>
              </w:rPr>
            </w:pPr>
            <w:r w:rsidRPr="007855B5">
              <w:rPr>
                <w:rFonts w:asciiTheme="majorHAnsi" w:hAnsiTheme="majorHAnsi"/>
                <w:sz w:val="18"/>
                <w:szCs w:val="18"/>
              </w:rPr>
              <w:t>Online        : D-M-20</w:t>
            </w:r>
            <w:r w:rsidR="00B23EE2">
              <w:rPr>
                <w:rFonts w:asciiTheme="majorHAnsi" w:hAnsiTheme="majorHAnsi"/>
                <w:sz w:val="18"/>
                <w:szCs w:val="18"/>
              </w:rPr>
              <w:t>XX</w:t>
            </w:r>
          </w:p>
          <w:p w14:paraId="01836F1A" w14:textId="77777777" w:rsidR="003D74B8" w:rsidRPr="003D74B8" w:rsidRDefault="003D74B8" w:rsidP="00B23EE2">
            <w:pPr>
              <w:jc w:val="both"/>
              <w:rPr>
                <w:rFonts w:asciiTheme="majorHAnsi" w:hAnsiTheme="majorHAnsi"/>
                <w:sz w:val="10"/>
                <w:szCs w:val="18"/>
              </w:rPr>
            </w:pPr>
          </w:p>
        </w:tc>
        <w:tc>
          <w:tcPr>
            <w:tcW w:w="283" w:type="dxa"/>
            <w:vMerge w:val="restart"/>
            <w:tcBorders>
              <w:top w:val="nil"/>
              <w:left w:val="nil"/>
              <w:right w:val="nil"/>
            </w:tcBorders>
          </w:tcPr>
          <w:p w14:paraId="2A49F597" w14:textId="77777777" w:rsidR="007855B5" w:rsidRPr="00B3521D" w:rsidRDefault="007855B5" w:rsidP="00E03F00">
            <w:pPr>
              <w:spacing w:before="120"/>
              <w:jc w:val="both"/>
              <w:rPr>
                <w:rFonts w:ascii="Century Gothic" w:hAnsi="Century Gothic"/>
                <w:sz w:val="18"/>
                <w:szCs w:val="18"/>
              </w:rPr>
            </w:pPr>
          </w:p>
        </w:tc>
        <w:tc>
          <w:tcPr>
            <w:tcW w:w="7227" w:type="dxa"/>
            <w:gridSpan w:val="2"/>
            <w:vMerge w:val="restart"/>
            <w:tcBorders>
              <w:top w:val="single" w:sz="4" w:space="0" w:color="auto"/>
              <w:left w:val="nil"/>
              <w:right w:val="nil"/>
            </w:tcBorders>
          </w:tcPr>
          <w:p w14:paraId="2BBD11A2" w14:textId="77777777" w:rsidR="00FD1FFD" w:rsidRPr="00FD1FFD" w:rsidRDefault="00FD1FFD" w:rsidP="00FD1FFD">
            <w:pPr>
              <w:spacing w:before="120" w:after="240"/>
              <w:jc w:val="both"/>
              <w:rPr>
                <w:rFonts w:asciiTheme="majorHAnsi" w:hAnsiTheme="majorHAnsi"/>
                <w:sz w:val="20"/>
                <w:szCs w:val="20"/>
                <w:lang w:val="id-ID"/>
              </w:rPr>
            </w:pPr>
            <w:r w:rsidRPr="00FD1FFD">
              <w:rPr>
                <w:rFonts w:asciiTheme="majorHAnsi" w:hAnsiTheme="majorHAnsi"/>
                <w:sz w:val="20"/>
                <w:szCs w:val="20"/>
                <w:lang w:val="id-ID"/>
              </w:rPr>
              <w:t xml:space="preserve">This study aims to obtain the main component score of the ability to pay latent variable, determine the strongest indicators forming the ability to pay on a mixed scale based on defined indicators, and model the ability to pay on time mediated by fear of paying using path analysis. The data used in this study is secondary data from mortgage-paying customers with a sample size of 100. The method used is nonlinear principal component analysis with path analysis modeling. </w:t>
            </w:r>
            <w:bookmarkStart w:id="0" w:name="_Hlk142340189"/>
            <w:r w:rsidRPr="00FD1FFD">
              <w:rPr>
                <w:rFonts w:asciiTheme="majorHAnsi" w:hAnsiTheme="majorHAnsi"/>
                <w:sz w:val="20"/>
                <w:szCs w:val="20"/>
                <w:lang w:val="id-ID"/>
              </w:rPr>
              <w:t xml:space="preserve">The results of this study indicate that the eleven variables formed by PC1 or X1 are able to store diversity or information by 74.8%, while 25.20% of diversity or other information is not stored (wasted). </w:t>
            </w:r>
            <w:bookmarkEnd w:id="0"/>
            <w:r w:rsidRPr="00FD1FFD">
              <w:rPr>
                <w:rFonts w:asciiTheme="majorHAnsi" w:hAnsiTheme="majorHAnsi"/>
                <w:sz w:val="20"/>
                <w:szCs w:val="20"/>
                <w:lang w:val="id-ID"/>
              </w:rPr>
              <w:t>The credit term is the strongest indicator that forms the ability to pay variable. The variable ability to pay mortgages has a significant effect on payments by mediating the fear of paying late with a coefficient of determination of 80.40%.</w:t>
            </w:r>
          </w:p>
          <w:p w14:paraId="13903FB3" w14:textId="77777777" w:rsidR="00FD1FFD" w:rsidRPr="007855B5" w:rsidRDefault="00FD1FFD" w:rsidP="00C93BB2">
            <w:pPr>
              <w:spacing w:before="120" w:after="240"/>
              <w:jc w:val="both"/>
              <w:rPr>
                <w:rFonts w:asciiTheme="majorHAnsi" w:hAnsiTheme="majorHAnsi"/>
                <w:sz w:val="20"/>
                <w:szCs w:val="20"/>
                <w:lang w:val="en-US"/>
              </w:rPr>
            </w:pPr>
          </w:p>
          <w:p w14:paraId="4F9B6C91" w14:textId="77777777" w:rsidR="007855B5" w:rsidRPr="007855B5" w:rsidRDefault="007855B5" w:rsidP="00C93BB2">
            <w:pPr>
              <w:spacing w:before="120" w:after="240"/>
              <w:jc w:val="both"/>
              <w:rPr>
                <w:rFonts w:asciiTheme="majorHAnsi" w:hAnsiTheme="majorHAnsi"/>
                <w:i/>
                <w:sz w:val="20"/>
                <w:szCs w:val="20"/>
                <w:lang w:val="en-US"/>
              </w:rPr>
            </w:pPr>
          </w:p>
        </w:tc>
      </w:tr>
      <w:tr w:rsidR="007855B5" w:rsidRPr="00B3521D" w14:paraId="71D4E0E5" w14:textId="77777777" w:rsidTr="009A3841">
        <w:trPr>
          <w:trHeight w:val="1569"/>
          <w:jc w:val="center"/>
        </w:trPr>
        <w:tc>
          <w:tcPr>
            <w:tcW w:w="2113" w:type="dxa"/>
            <w:tcBorders>
              <w:top w:val="single" w:sz="4" w:space="0" w:color="auto"/>
              <w:left w:val="nil"/>
              <w:bottom w:val="single" w:sz="4" w:space="0" w:color="auto"/>
              <w:right w:val="nil"/>
            </w:tcBorders>
          </w:tcPr>
          <w:p w14:paraId="6E60531F" w14:textId="77777777" w:rsidR="007855B5" w:rsidRPr="007855B5" w:rsidRDefault="007855B5" w:rsidP="00E03F00">
            <w:pPr>
              <w:spacing w:before="120" w:after="120"/>
              <w:jc w:val="both"/>
              <w:rPr>
                <w:rFonts w:asciiTheme="majorHAnsi" w:hAnsiTheme="majorHAnsi"/>
                <w:b/>
                <w:i/>
                <w:sz w:val="18"/>
                <w:szCs w:val="18"/>
              </w:rPr>
            </w:pPr>
            <w:r w:rsidRPr="007855B5">
              <w:rPr>
                <w:rFonts w:asciiTheme="majorHAnsi" w:hAnsiTheme="majorHAnsi"/>
                <w:b/>
                <w:sz w:val="18"/>
                <w:szCs w:val="18"/>
              </w:rPr>
              <w:t>Keyword</w:t>
            </w:r>
            <w:r w:rsidRPr="007855B5">
              <w:rPr>
                <w:rFonts w:asciiTheme="majorHAnsi" w:hAnsiTheme="majorHAnsi"/>
                <w:b/>
                <w:i/>
                <w:sz w:val="18"/>
                <w:szCs w:val="18"/>
              </w:rPr>
              <w:t>:</w:t>
            </w:r>
          </w:p>
          <w:p w14:paraId="6AEAE144" w14:textId="0507B46C" w:rsidR="009E11EB" w:rsidRDefault="009E11EB" w:rsidP="009E11EB">
            <w:pPr>
              <w:rPr>
                <w:rFonts w:asciiTheme="majorHAnsi" w:hAnsiTheme="majorHAnsi"/>
                <w:sz w:val="18"/>
                <w:szCs w:val="18"/>
              </w:rPr>
            </w:pPr>
            <w:r w:rsidRPr="009E11EB">
              <w:rPr>
                <w:rFonts w:asciiTheme="majorHAnsi" w:hAnsiTheme="majorHAnsi"/>
                <w:sz w:val="18"/>
                <w:szCs w:val="18"/>
              </w:rPr>
              <w:t>Nonlinear Principal Component Analysis</w:t>
            </w:r>
            <w:r>
              <w:rPr>
                <w:rFonts w:asciiTheme="majorHAnsi" w:hAnsiTheme="majorHAnsi"/>
                <w:sz w:val="18"/>
                <w:szCs w:val="18"/>
              </w:rPr>
              <w:t>;</w:t>
            </w:r>
          </w:p>
          <w:p w14:paraId="2C480F9F" w14:textId="7A6364E0" w:rsidR="009E11EB" w:rsidRDefault="009E11EB" w:rsidP="009E11EB">
            <w:pPr>
              <w:rPr>
                <w:rFonts w:asciiTheme="majorHAnsi" w:hAnsiTheme="majorHAnsi"/>
                <w:sz w:val="18"/>
                <w:szCs w:val="18"/>
              </w:rPr>
            </w:pPr>
            <w:r>
              <w:rPr>
                <w:rFonts w:asciiTheme="majorHAnsi" w:hAnsiTheme="majorHAnsi"/>
                <w:sz w:val="18"/>
                <w:szCs w:val="18"/>
              </w:rPr>
              <w:t>Path Analysis;</w:t>
            </w:r>
          </w:p>
          <w:p w14:paraId="7774677A" w14:textId="1F42B0C2" w:rsidR="009E11EB" w:rsidRDefault="009E11EB" w:rsidP="009E11EB">
            <w:pPr>
              <w:rPr>
                <w:rFonts w:asciiTheme="majorHAnsi" w:hAnsiTheme="majorHAnsi"/>
                <w:sz w:val="18"/>
                <w:szCs w:val="18"/>
              </w:rPr>
            </w:pPr>
            <w:r w:rsidRPr="00FD1FFD">
              <w:rPr>
                <w:rFonts w:asciiTheme="majorHAnsi" w:hAnsiTheme="majorHAnsi"/>
                <w:sz w:val="18"/>
                <w:szCs w:val="18"/>
              </w:rPr>
              <w:t>Mixed Data Formative</w:t>
            </w:r>
            <w:r>
              <w:rPr>
                <w:rFonts w:asciiTheme="majorHAnsi" w:hAnsiTheme="majorHAnsi"/>
                <w:sz w:val="18"/>
                <w:szCs w:val="18"/>
              </w:rPr>
              <w:t>;</w:t>
            </w:r>
          </w:p>
          <w:p w14:paraId="48E18A05" w14:textId="600C6313" w:rsidR="009E11EB" w:rsidRPr="007855B5" w:rsidRDefault="009E11EB" w:rsidP="009E11EB">
            <w:pPr>
              <w:rPr>
                <w:rFonts w:asciiTheme="majorHAnsi" w:hAnsiTheme="majorHAnsi"/>
                <w:sz w:val="18"/>
                <w:szCs w:val="18"/>
              </w:rPr>
            </w:pPr>
            <w:r>
              <w:rPr>
                <w:rFonts w:asciiTheme="majorHAnsi" w:hAnsiTheme="majorHAnsi"/>
                <w:sz w:val="18"/>
                <w:szCs w:val="18"/>
              </w:rPr>
              <w:t>Indicator Models.</w:t>
            </w:r>
          </w:p>
          <w:p w14:paraId="2591CF3B" w14:textId="77777777" w:rsidR="007855B5" w:rsidRPr="007855B5" w:rsidRDefault="007855B5" w:rsidP="009E11EB">
            <w:pPr>
              <w:jc w:val="both"/>
              <w:rPr>
                <w:rFonts w:asciiTheme="majorHAnsi" w:hAnsiTheme="majorHAnsi"/>
                <w:sz w:val="18"/>
                <w:szCs w:val="18"/>
              </w:rPr>
            </w:pPr>
          </w:p>
        </w:tc>
        <w:tc>
          <w:tcPr>
            <w:tcW w:w="283" w:type="dxa"/>
            <w:vMerge/>
            <w:tcBorders>
              <w:left w:val="nil"/>
              <w:right w:val="nil"/>
            </w:tcBorders>
          </w:tcPr>
          <w:p w14:paraId="65C7E22C" w14:textId="77777777" w:rsidR="007855B5" w:rsidRPr="00B3521D" w:rsidRDefault="007855B5" w:rsidP="00E03F00">
            <w:pPr>
              <w:spacing w:before="120"/>
              <w:jc w:val="both"/>
              <w:rPr>
                <w:rFonts w:ascii="Century Gothic" w:hAnsi="Century Gothic"/>
                <w:sz w:val="18"/>
                <w:szCs w:val="18"/>
              </w:rPr>
            </w:pPr>
          </w:p>
        </w:tc>
        <w:tc>
          <w:tcPr>
            <w:tcW w:w="7227" w:type="dxa"/>
            <w:gridSpan w:val="2"/>
            <w:vMerge/>
            <w:tcBorders>
              <w:left w:val="nil"/>
              <w:right w:val="nil"/>
            </w:tcBorders>
          </w:tcPr>
          <w:p w14:paraId="403CA6B9" w14:textId="77777777" w:rsidR="007855B5" w:rsidRPr="00B3521D" w:rsidRDefault="007855B5" w:rsidP="00E03F00">
            <w:pPr>
              <w:spacing w:before="120"/>
              <w:jc w:val="both"/>
              <w:rPr>
                <w:rFonts w:ascii="Century Gothic" w:hAnsi="Century Gothic"/>
                <w:iCs/>
                <w:color w:val="000000"/>
                <w:sz w:val="18"/>
                <w:szCs w:val="18"/>
              </w:rPr>
            </w:pPr>
          </w:p>
        </w:tc>
      </w:tr>
      <w:tr w:rsidR="007855B5" w:rsidRPr="00B3521D" w14:paraId="4589421C" w14:textId="77777777" w:rsidTr="004A4C1F">
        <w:trPr>
          <w:trHeight w:val="355"/>
          <w:jc w:val="center"/>
        </w:trPr>
        <w:tc>
          <w:tcPr>
            <w:tcW w:w="2113" w:type="dxa"/>
            <w:tcBorders>
              <w:top w:val="single" w:sz="4" w:space="0" w:color="auto"/>
              <w:left w:val="nil"/>
              <w:bottom w:val="single" w:sz="4" w:space="0" w:color="auto"/>
              <w:right w:val="nil"/>
            </w:tcBorders>
          </w:tcPr>
          <w:p w14:paraId="0EC49B4B" w14:textId="77777777" w:rsidR="007855B5" w:rsidRPr="005F4A93" w:rsidRDefault="007855B5" w:rsidP="007855B5">
            <w:pPr>
              <w:jc w:val="center"/>
              <w:rPr>
                <w:rFonts w:asciiTheme="majorHAnsi" w:hAnsiTheme="majorHAnsi"/>
                <w:b/>
                <w:sz w:val="8"/>
                <w:szCs w:val="18"/>
              </w:rPr>
            </w:pPr>
          </w:p>
          <w:p w14:paraId="27864784" w14:textId="77777777" w:rsidR="007855B5" w:rsidRDefault="007855B5" w:rsidP="007855B5">
            <w:pPr>
              <w:jc w:val="center"/>
              <w:rPr>
                <w:rFonts w:asciiTheme="majorHAnsi" w:hAnsiTheme="majorHAnsi"/>
                <w:b/>
                <w:sz w:val="18"/>
                <w:szCs w:val="18"/>
              </w:rPr>
            </w:pPr>
            <w:r>
              <w:rPr>
                <w:noProof/>
                <w:lang w:val="en-US" w:eastAsia="en-US"/>
              </w:rPr>
              <w:drawing>
                <wp:inline distT="0" distB="0" distL="0" distR="0" wp14:anchorId="368258CC" wp14:editId="419556E9">
                  <wp:extent cx="612000" cy="612000"/>
                  <wp:effectExtent l="0" t="0" r="0" b="0"/>
                  <wp:docPr id="2" name="Picture 2" descr="E:\UMUM\OJSQ\JTAM\JTAM-Barcod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MUM\OJSQ\JTAM\JTAM-Barcode cop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6572606D" w14:textId="77777777" w:rsidR="007855B5" w:rsidRPr="005F4A93" w:rsidRDefault="007855B5" w:rsidP="007855B5">
            <w:pPr>
              <w:jc w:val="center"/>
              <w:rPr>
                <w:rFonts w:asciiTheme="majorHAnsi" w:hAnsiTheme="majorHAnsi"/>
                <w:b/>
                <w:sz w:val="10"/>
                <w:szCs w:val="18"/>
              </w:rPr>
            </w:pPr>
          </w:p>
        </w:tc>
        <w:tc>
          <w:tcPr>
            <w:tcW w:w="283" w:type="dxa"/>
            <w:vMerge/>
            <w:tcBorders>
              <w:left w:val="nil"/>
              <w:bottom w:val="single" w:sz="4" w:space="0" w:color="auto"/>
              <w:right w:val="nil"/>
            </w:tcBorders>
          </w:tcPr>
          <w:p w14:paraId="6FEA2EC1" w14:textId="77777777" w:rsidR="007855B5" w:rsidRPr="00B3521D" w:rsidRDefault="007855B5" w:rsidP="00E03F00">
            <w:pPr>
              <w:spacing w:before="120"/>
              <w:jc w:val="both"/>
              <w:rPr>
                <w:rFonts w:ascii="Century Gothic" w:hAnsi="Century Gothic"/>
                <w:sz w:val="18"/>
                <w:szCs w:val="18"/>
              </w:rPr>
            </w:pPr>
          </w:p>
        </w:tc>
        <w:tc>
          <w:tcPr>
            <w:tcW w:w="7227" w:type="dxa"/>
            <w:gridSpan w:val="2"/>
            <w:vMerge/>
            <w:tcBorders>
              <w:left w:val="nil"/>
              <w:bottom w:val="single" w:sz="4" w:space="0" w:color="auto"/>
              <w:right w:val="nil"/>
            </w:tcBorders>
          </w:tcPr>
          <w:p w14:paraId="0610974E" w14:textId="77777777" w:rsidR="007855B5" w:rsidRPr="00B3521D" w:rsidRDefault="007855B5" w:rsidP="00E03F00">
            <w:pPr>
              <w:spacing w:before="120"/>
              <w:jc w:val="both"/>
              <w:rPr>
                <w:rFonts w:ascii="Century Gothic" w:hAnsi="Century Gothic"/>
                <w:iCs/>
                <w:color w:val="000000"/>
                <w:sz w:val="18"/>
                <w:szCs w:val="18"/>
              </w:rPr>
            </w:pPr>
          </w:p>
        </w:tc>
      </w:tr>
      <w:tr w:rsidR="00F41BED" w:rsidRPr="00B3521D" w14:paraId="7A7F5B73" w14:textId="77777777" w:rsidTr="00F41BED">
        <w:trPr>
          <w:trHeight w:val="60"/>
          <w:jc w:val="center"/>
        </w:trPr>
        <w:tc>
          <w:tcPr>
            <w:tcW w:w="4685" w:type="dxa"/>
            <w:gridSpan w:val="3"/>
            <w:tcBorders>
              <w:top w:val="single" w:sz="4" w:space="0" w:color="auto"/>
              <w:left w:val="nil"/>
              <w:bottom w:val="single" w:sz="4" w:space="0" w:color="auto"/>
              <w:right w:val="nil"/>
            </w:tcBorders>
          </w:tcPr>
          <w:p w14:paraId="3DB9FD8B" w14:textId="77777777" w:rsidR="00F41BED" w:rsidRPr="005F4A93" w:rsidRDefault="00F41BED" w:rsidP="005F4A93">
            <w:pPr>
              <w:ind w:right="-13"/>
              <w:jc w:val="center"/>
              <w:rPr>
                <w:rFonts w:asciiTheme="majorHAnsi" w:hAnsiTheme="majorHAnsi"/>
                <w:sz w:val="18"/>
                <w:szCs w:val="18"/>
              </w:rPr>
            </w:pPr>
            <w:r w:rsidRPr="005F4A93">
              <w:rPr>
                <w:rFonts w:asciiTheme="majorHAnsi" w:hAnsiTheme="majorHAnsi"/>
                <w:noProof/>
                <w:sz w:val="18"/>
                <w:szCs w:val="18"/>
                <w:lang w:val="en-US" w:eastAsia="en-US"/>
              </w:rPr>
              <w:drawing>
                <wp:inline distT="0" distB="0" distL="0" distR="0" wp14:anchorId="19340974" wp14:editId="058F2988">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p>
          <w:p w14:paraId="2340A161" w14:textId="77777777" w:rsidR="00F41BED" w:rsidRPr="005F4A93" w:rsidRDefault="00000000" w:rsidP="005F4A93">
            <w:pPr>
              <w:jc w:val="center"/>
              <w:rPr>
                <w:rFonts w:asciiTheme="majorHAnsi" w:hAnsiTheme="majorHAnsi"/>
                <w:iCs/>
                <w:color w:val="000000"/>
                <w:sz w:val="18"/>
                <w:szCs w:val="18"/>
              </w:rPr>
            </w:pPr>
            <w:hyperlink r:id="rId17" w:history="1">
              <w:r w:rsidR="00F41BED" w:rsidRPr="005F4A93">
                <w:rPr>
                  <w:rStyle w:val="Hyperlink"/>
                  <w:rFonts w:asciiTheme="majorHAnsi" w:hAnsiTheme="majorHAnsi" w:cs="Tahoma"/>
                  <w:sz w:val="18"/>
                  <w:szCs w:val="18"/>
                  <w:shd w:val="clear" w:color="auto" w:fill="FFFFFF"/>
                </w:rPr>
                <w:t>https://doi.org/10.31764/jtam.vXiY.ZZZ</w:t>
              </w:r>
            </w:hyperlink>
          </w:p>
        </w:tc>
        <w:tc>
          <w:tcPr>
            <w:tcW w:w="4938" w:type="dxa"/>
            <w:tcBorders>
              <w:top w:val="single" w:sz="4" w:space="0" w:color="auto"/>
              <w:left w:val="nil"/>
              <w:bottom w:val="single" w:sz="4" w:space="0" w:color="auto"/>
              <w:right w:val="nil"/>
            </w:tcBorders>
          </w:tcPr>
          <w:p w14:paraId="017BBE97" w14:textId="77777777" w:rsidR="00F41BED" w:rsidRPr="005F4A93" w:rsidRDefault="00F41BED" w:rsidP="005F4A93">
            <w:pPr>
              <w:ind w:right="-13"/>
              <w:jc w:val="center"/>
              <w:rPr>
                <w:rFonts w:asciiTheme="majorHAnsi" w:hAnsiTheme="majorHAnsi"/>
                <w:sz w:val="18"/>
                <w:szCs w:val="18"/>
              </w:rPr>
            </w:pPr>
            <w:r w:rsidRPr="005F4A93">
              <w:rPr>
                <w:rFonts w:asciiTheme="majorHAnsi" w:hAnsiTheme="majorHAnsi"/>
                <w:iCs/>
                <w:noProof/>
                <w:color w:val="000000"/>
                <w:sz w:val="18"/>
                <w:szCs w:val="18"/>
                <w:lang w:val="en-US" w:eastAsia="en-US"/>
              </w:rPr>
              <w:drawing>
                <wp:inline distT="0" distB="0" distL="0" distR="0" wp14:anchorId="5B988410" wp14:editId="050F4B08">
                  <wp:extent cx="560677" cy="197511"/>
                  <wp:effectExtent l="0" t="0" r="0" b="0"/>
                  <wp:docPr id="1"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034B4AC0" w14:textId="77777777" w:rsidR="00F41BED" w:rsidRPr="005F4A93" w:rsidRDefault="00F41BED" w:rsidP="005F4A93">
            <w:pPr>
              <w:jc w:val="center"/>
              <w:rPr>
                <w:rFonts w:asciiTheme="majorHAnsi" w:hAnsiTheme="majorHAnsi"/>
                <w:b/>
                <w:iCs/>
                <w:color w:val="000000"/>
                <w:sz w:val="18"/>
                <w:szCs w:val="18"/>
              </w:rPr>
            </w:pPr>
            <w:r w:rsidRPr="005F4A93">
              <w:rPr>
                <w:rFonts w:asciiTheme="majorHAnsi" w:hAnsiTheme="majorHAnsi"/>
                <w:b/>
                <w:iCs/>
                <w:color w:val="000000"/>
                <w:sz w:val="18"/>
                <w:szCs w:val="18"/>
              </w:rPr>
              <w:t xml:space="preserve">This is an open access article under the </w:t>
            </w:r>
            <w:r w:rsidRPr="005F4A93">
              <w:rPr>
                <w:rFonts w:asciiTheme="majorHAnsi" w:hAnsiTheme="majorHAnsi"/>
                <w:b/>
                <w:iCs/>
                <w:color w:val="4F81BD" w:themeColor="accent1"/>
                <w:sz w:val="18"/>
                <w:szCs w:val="18"/>
              </w:rPr>
              <w:t>CC–BY-SA</w:t>
            </w:r>
            <w:r w:rsidRPr="005F4A93">
              <w:rPr>
                <w:rFonts w:asciiTheme="majorHAnsi" w:hAnsiTheme="majorHAnsi"/>
                <w:b/>
                <w:iCs/>
                <w:color w:val="000000"/>
                <w:sz w:val="18"/>
                <w:szCs w:val="18"/>
              </w:rPr>
              <w:t xml:space="preserve"> license</w:t>
            </w:r>
          </w:p>
        </w:tc>
      </w:tr>
    </w:tbl>
    <w:p w14:paraId="02E43CDB" w14:textId="77777777" w:rsidR="00F66CC2" w:rsidRPr="00B3521D" w:rsidRDefault="00F66CC2" w:rsidP="00F66CC2">
      <w:pPr>
        <w:pStyle w:val="PARAGRAPHnoindent"/>
        <w:spacing w:line="240" w:lineRule="auto"/>
        <w:jc w:val="center"/>
        <w:rPr>
          <w:color w:val="000000"/>
          <w:sz w:val="14"/>
          <w:szCs w:val="14"/>
        </w:rPr>
      </w:pPr>
    </w:p>
    <w:p w14:paraId="08FF6246" w14:textId="77777777" w:rsidR="00437CE1" w:rsidRDefault="00437CE1" w:rsidP="00F66CC2">
      <w:pPr>
        <w:pStyle w:val="PARAGRAPHnoindent"/>
        <w:spacing w:line="240" w:lineRule="auto"/>
        <w:jc w:val="center"/>
        <w:rPr>
          <w:color w:val="000000"/>
        </w:rPr>
      </w:pPr>
    </w:p>
    <w:p w14:paraId="4869BA33"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1B190BCA" w14:textId="77777777" w:rsidR="00437CE1" w:rsidRPr="00437CE1" w:rsidRDefault="00437CE1" w:rsidP="00437CE1">
      <w:pPr>
        <w:rPr>
          <w:lang w:val="en-US" w:eastAsia="en-US"/>
        </w:rPr>
      </w:pPr>
    </w:p>
    <w:p w14:paraId="2AE603B3" w14:textId="77777777" w:rsidR="00B3521D" w:rsidRPr="00B3521D" w:rsidRDefault="00B3521D" w:rsidP="00B3521D">
      <w:pPr>
        <w:rPr>
          <w:sz w:val="14"/>
          <w:lang w:val="en-US" w:eastAsia="en-US"/>
        </w:rPr>
      </w:pPr>
    </w:p>
    <w:p w14:paraId="5528B029"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AD3C84">
          <w:type w:val="continuous"/>
          <w:pgSz w:w="11906" w:h="16838" w:code="9"/>
          <w:pgMar w:top="1134" w:right="1134" w:bottom="1134" w:left="1134" w:header="851" w:footer="567" w:gutter="0"/>
          <w:cols w:space="238"/>
          <w:docGrid w:linePitch="360"/>
        </w:sectPr>
      </w:pPr>
    </w:p>
    <w:p w14:paraId="61D920CE" w14:textId="3D578DC6" w:rsidR="00B13C1A" w:rsidRPr="00B13C1A" w:rsidRDefault="009B0A53" w:rsidP="00B13C1A">
      <w:pPr>
        <w:pStyle w:val="IEEEHeading1"/>
        <w:numPr>
          <w:ilvl w:val="0"/>
          <w:numId w:val="11"/>
        </w:numPr>
        <w:spacing w:before="0" w:after="0" w:line="23" w:lineRule="atLeast"/>
        <w:jc w:val="left"/>
        <w:rPr>
          <w:rStyle w:val="longtext"/>
          <w:rFonts w:asciiTheme="majorHAnsi" w:hAnsiTheme="majorHAnsi"/>
          <w:b/>
          <w:sz w:val="24"/>
        </w:rPr>
      </w:pPr>
      <w:r w:rsidRPr="00E77E85">
        <w:rPr>
          <w:rFonts w:asciiTheme="majorHAnsi" w:hAnsiTheme="majorHAnsi"/>
          <w:b/>
          <w:iCs/>
          <w:sz w:val="24"/>
          <w:lang w:val="en-US"/>
        </w:rPr>
        <w:t>INTRODUCTION</w:t>
      </w:r>
      <w:r w:rsidRPr="00E77E85">
        <w:rPr>
          <w:rFonts w:asciiTheme="majorHAnsi" w:hAnsiTheme="majorHAnsi"/>
          <w:b/>
          <w:sz w:val="24"/>
          <w:lang w:val="id-ID"/>
        </w:rPr>
        <w:t xml:space="preserve"> </w:t>
      </w:r>
    </w:p>
    <w:p w14:paraId="6B8B77D1" w14:textId="740CFAD5" w:rsidR="00B13C1A" w:rsidRPr="00B13C1A" w:rsidRDefault="00B13C1A" w:rsidP="00B13C1A">
      <w:pPr>
        <w:pStyle w:val="IEEEParagraph"/>
        <w:spacing w:line="23" w:lineRule="atLeast"/>
        <w:ind w:firstLine="360"/>
        <w:rPr>
          <w:rFonts w:asciiTheme="majorHAnsi" w:hAnsiTheme="majorHAnsi"/>
          <w:shd w:val="clear" w:color="auto" w:fill="FFFFFF"/>
          <w:lang w:val="en-GB"/>
        </w:rPr>
      </w:pPr>
      <w:r w:rsidRPr="00B13C1A">
        <w:rPr>
          <w:rFonts w:asciiTheme="majorHAnsi" w:hAnsiTheme="majorHAnsi"/>
          <w:shd w:val="clear" w:color="auto" w:fill="FFFFFF"/>
          <w:lang w:val="en-GB"/>
        </w:rPr>
        <w:t>Multivariate analysis is one of statistical analysis that simultaneously analyze several variables in individuals or objects</w:t>
      </w:r>
      <w:r w:rsidR="00167757">
        <w:rPr>
          <w:rFonts w:asciiTheme="majorHAnsi" w:hAnsiTheme="majorHAnsi"/>
          <w:shd w:val="clear" w:color="auto" w:fill="FFFFFF"/>
          <w:lang w:val="en-GB"/>
        </w:rPr>
        <w:t xml:space="preserve"> </w:t>
      </w:r>
      <w:r w:rsidR="003C3088">
        <w:rPr>
          <w:rFonts w:asciiTheme="majorHAnsi" w:hAnsiTheme="majorHAnsi"/>
          <w:shd w:val="clear" w:color="auto" w:fill="FFFFFF"/>
          <w:lang w:val="en-GB"/>
        </w:rPr>
        <w:fldChar w:fldCharType="begin" w:fldLock="1"/>
      </w:r>
      <w:r w:rsidR="008121A3">
        <w:rPr>
          <w:rFonts w:asciiTheme="majorHAnsi" w:hAnsiTheme="majorHAnsi"/>
          <w:shd w:val="clear" w:color="auto" w:fill="FFFFFF"/>
          <w:lang w:val="en-GB"/>
        </w:rPr>
        <w:instrText>ADDIN CSL_CITATION {"citationItems":[{"id":"ITEM-1","itemData":{"author":[{"dropping-particle":"","family":"Astutik","given":"Suci","non-dropping-particle":"","parse-names":false,"suffix":""},{"dropping-particle":"","family":"Solimun","given":"","non-dropping-particle":"","parse-names":false,"suffix":""},{"dropping-particle":"","family":"Darmanto","given":"","non-dropping-particle":"","parse-names":false,"suffix":""}],"id":"ITEM-1","issued":{"date-parts":[["2018"]]},"publisher":"Brawijaya Press University","title":"Multivariate Analysis: Theory and Application with SAS","type":"book"},"uris":["http://www.mendeley.com/documents/?uuid=adecaf9d-1633-4269-bd65-49b5d7dc6bcf"]}],"mendeley":{"formattedCitation":"(Astutik et al., 2018)","plainTextFormattedCitation":"(Astutik et al., 2018)","previouslyFormattedCitation":"(Astutik et al., 2018)"},"properties":{"noteIndex":0},"schema":"https://github.com/citation-style-language/schema/raw/master/csl-citation.json"}</w:instrText>
      </w:r>
      <w:r w:rsidR="003C3088">
        <w:rPr>
          <w:rFonts w:asciiTheme="majorHAnsi" w:hAnsiTheme="majorHAnsi"/>
          <w:shd w:val="clear" w:color="auto" w:fill="FFFFFF"/>
          <w:lang w:val="en-GB"/>
        </w:rPr>
        <w:fldChar w:fldCharType="separate"/>
      </w:r>
      <w:r w:rsidR="003C3088" w:rsidRPr="003C3088">
        <w:rPr>
          <w:rFonts w:asciiTheme="majorHAnsi" w:hAnsiTheme="majorHAnsi"/>
          <w:noProof/>
          <w:shd w:val="clear" w:color="auto" w:fill="FFFFFF"/>
          <w:lang w:val="en-GB"/>
        </w:rPr>
        <w:t>(Astutik et al., 2018)</w:t>
      </w:r>
      <w:r w:rsidR="003C3088">
        <w:rPr>
          <w:rFonts w:asciiTheme="majorHAnsi" w:hAnsiTheme="majorHAnsi"/>
          <w:shd w:val="clear" w:color="auto" w:fill="FFFFFF"/>
          <w:lang w:val="en-GB"/>
        </w:rPr>
        <w:fldChar w:fldCharType="end"/>
      </w:r>
      <w:r w:rsidRPr="00B13C1A">
        <w:rPr>
          <w:rFonts w:asciiTheme="majorHAnsi" w:hAnsiTheme="majorHAnsi"/>
          <w:shd w:val="clear" w:color="auto" w:fill="FFFFFF"/>
          <w:lang w:val="en-GB"/>
        </w:rPr>
        <w:t>. With multivariate analysis, the effect of several variables on other variables can be analyzed at once. Meanwhile, according to</w:t>
      </w:r>
      <w:r w:rsidR="008121A3">
        <w:rPr>
          <w:rFonts w:asciiTheme="majorHAnsi" w:hAnsiTheme="majorHAnsi"/>
          <w:shd w:val="clear" w:color="auto" w:fill="FFFFFF"/>
          <w:lang w:val="en-GB"/>
        </w:rPr>
        <w:t xml:space="preserve"> Solimun &amp; Fernandes </w:t>
      </w:r>
      <w:r w:rsidR="008121A3">
        <w:rPr>
          <w:rFonts w:asciiTheme="majorHAnsi" w:hAnsiTheme="majorHAnsi"/>
          <w:shd w:val="clear" w:color="auto" w:fill="FFFFFF"/>
          <w:lang w:val="en-GB"/>
        </w:rPr>
        <w:fldChar w:fldCharType="begin" w:fldLock="1"/>
      </w:r>
      <w:r w:rsidR="00800F6C">
        <w:rPr>
          <w:rFonts w:asciiTheme="majorHAnsi" w:hAnsiTheme="majorHAnsi"/>
          <w:shd w:val="clear" w:color="auto" w:fill="FFFFFF"/>
          <w:lang w:val="en-GB"/>
        </w:rPr>
        <w:instrText>ADDIN CSL_CITATION {"citationItems":[{"id":"ITEM-1","itemData":{"DOI":"https://doi.org/10.1108/IJLMA-09-20 16 -0077","author":[{"dropping-particle":"","family":"Solimun","given":"","non-dropping-particle":"","parse-names":false,"suffix":""},{"dropping-particle":"","family":"Fernandes","given":"Adji Achmad Rinaldo","non-dropping-particle":"","parse-names":false,"suffix":""}],"id":"ITEM-1","issue":"6","issued":{"date-parts":[["2017"]]},"page":"1059-1067","title":"Investigation of the mediating variable: What is necessary? (case study in management research)","type":"article-journal","volume":"59"},"suppress-author":1,"uris":["http://www.mendeley.com/documents/?uuid=1f4eab64-c8fe-4dc6-b777-933e8dfbb830"]}],"mendeley":{"formattedCitation":"(2017)","plainTextFormattedCitation":"(2017)","previouslyFormattedCitation":"(2017)"},"properties":{"noteIndex":0},"schema":"https://github.com/citation-style-language/schema/raw/master/csl-citation.json"}</w:instrText>
      </w:r>
      <w:r w:rsidR="008121A3">
        <w:rPr>
          <w:rFonts w:asciiTheme="majorHAnsi" w:hAnsiTheme="majorHAnsi"/>
          <w:shd w:val="clear" w:color="auto" w:fill="FFFFFF"/>
          <w:lang w:val="en-GB"/>
        </w:rPr>
        <w:fldChar w:fldCharType="separate"/>
      </w:r>
      <w:r w:rsidR="008121A3" w:rsidRPr="008121A3">
        <w:rPr>
          <w:rFonts w:asciiTheme="majorHAnsi" w:hAnsiTheme="majorHAnsi"/>
          <w:noProof/>
          <w:shd w:val="clear" w:color="auto" w:fill="FFFFFF"/>
          <w:lang w:val="en-GB"/>
        </w:rPr>
        <w:t>(2017)</w:t>
      </w:r>
      <w:r w:rsidR="008121A3">
        <w:rPr>
          <w:rFonts w:asciiTheme="majorHAnsi" w:hAnsiTheme="majorHAnsi"/>
          <w:shd w:val="clear" w:color="auto" w:fill="FFFFFF"/>
          <w:lang w:val="en-GB"/>
        </w:rPr>
        <w:fldChar w:fldCharType="end"/>
      </w:r>
      <w:r w:rsidR="008121A3">
        <w:rPr>
          <w:rFonts w:asciiTheme="majorHAnsi" w:hAnsiTheme="majorHAnsi"/>
          <w:shd w:val="clear" w:color="auto" w:fill="FFFFFF"/>
          <w:lang w:val="en-GB"/>
        </w:rPr>
        <w:t xml:space="preserve"> </w:t>
      </w:r>
      <w:r w:rsidRPr="00B13C1A">
        <w:rPr>
          <w:rFonts w:asciiTheme="majorHAnsi" w:hAnsiTheme="majorHAnsi"/>
          <w:shd w:val="clear" w:color="auto" w:fill="FFFFFF"/>
          <w:lang w:val="en-GB"/>
        </w:rPr>
        <w:t>multivariate analysis can be said to be the use of statistical methods related to several variables where the measurements are carried out from each research object. The variable itself is a characteristic of the subject or object that is relevant to the problem being studied, where there are various variables viewed from various points of view. Based on the measurement process, variables are divided into manifest variables (observable) and latent variables (unobservable).</w:t>
      </w:r>
    </w:p>
    <w:p w14:paraId="60807EAA" w14:textId="5323E23E" w:rsidR="00B13C1A" w:rsidRPr="00B13C1A" w:rsidRDefault="00B13C1A" w:rsidP="00B13C1A">
      <w:pPr>
        <w:pStyle w:val="IEEEParagraph"/>
        <w:spacing w:line="23" w:lineRule="atLeast"/>
        <w:ind w:firstLine="360"/>
        <w:rPr>
          <w:rFonts w:asciiTheme="majorHAnsi" w:hAnsiTheme="majorHAnsi"/>
          <w:shd w:val="clear" w:color="auto" w:fill="FFFFFF"/>
          <w:lang w:val="en-GB"/>
        </w:rPr>
      </w:pPr>
      <w:r w:rsidRPr="00B13C1A">
        <w:rPr>
          <w:rFonts w:asciiTheme="majorHAnsi" w:hAnsiTheme="majorHAnsi"/>
          <w:shd w:val="clear" w:color="auto" w:fill="FFFFFF"/>
          <w:lang w:val="en-GB"/>
        </w:rPr>
        <w:t xml:space="preserve">According to Solimun et al. </w:t>
      </w:r>
      <w:r w:rsidR="00800F6C">
        <w:rPr>
          <w:rFonts w:asciiTheme="majorHAnsi" w:hAnsiTheme="majorHAnsi"/>
          <w:shd w:val="clear" w:color="auto" w:fill="FFFFFF"/>
          <w:lang w:val="en-GB"/>
        </w:rPr>
        <w:fldChar w:fldCharType="begin" w:fldLock="1"/>
      </w:r>
      <w:r w:rsidR="007B2A36">
        <w:rPr>
          <w:rFonts w:asciiTheme="majorHAnsi" w:hAnsiTheme="majorHAnsi"/>
          <w:shd w:val="clear" w:color="auto" w:fill="FFFFFF"/>
          <w:lang w:val="en-GB"/>
        </w:rPr>
        <w:instrText>ADDIN CSL_CITATION {"citationItems":[{"id":"ITEM-1","itemData":{"author":[{"dropping-particle":"","family":"Solimun","given":"","non-dropping-particle":"","parse-names":false,"suffix":""},{"dropping-particle":"","family":"Fernandes","given":"Adji Achmad Rinaldo","non-dropping-particle":"","parse-names":false,"suffix":""},{"dropping-particle":"","family":"Nurjannah","given":"","non-dropping-particle":"","parse-names":false,"suffix":""}],"id":"ITEM-1","issued":{"date-parts":[["2017"]]},"publisher":"UB Press","title":"Multivariate Statistical Method Structural Equation Modeling (SEM) WarpPLS Approach","type":"book"},"suppress-author":1,"uris":["http://www.mendeley.com/documents/?uuid=b3f555a0-a3fd-4d00-b241-5e525f74a738"]}],"mendeley":{"formattedCitation":"(2017)","plainTextFormattedCitation":"(2017)","previouslyFormattedCitation":"(2017)"},"properties":{"noteIndex":0},"schema":"https://github.com/citation-style-language/schema/raw/master/csl-citation.json"}</w:instrText>
      </w:r>
      <w:r w:rsidR="00800F6C">
        <w:rPr>
          <w:rFonts w:asciiTheme="majorHAnsi" w:hAnsiTheme="majorHAnsi"/>
          <w:shd w:val="clear" w:color="auto" w:fill="FFFFFF"/>
          <w:lang w:val="en-GB"/>
        </w:rPr>
        <w:fldChar w:fldCharType="separate"/>
      </w:r>
      <w:r w:rsidR="00800F6C" w:rsidRPr="00800F6C">
        <w:rPr>
          <w:rFonts w:asciiTheme="majorHAnsi" w:hAnsiTheme="majorHAnsi"/>
          <w:noProof/>
          <w:shd w:val="clear" w:color="auto" w:fill="FFFFFF"/>
          <w:lang w:val="en-GB"/>
        </w:rPr>
        <w:t>(2017)</w:t>
      </w:r>
      <w:r w:rsidR="00800F6C">
        <w:rPr>
          <w:rFonts w:asciiTheme="majorHAnsi" w:hAnsiTheme="majorHAnsi"/>
          <w:shd w:val="clear" w:color="auto" w:fill="FFFFFF"/>
          <w:lang w:val="en-GB"/>
        </w:rPr>
        <w:fldChar w:fldCharType="end"/>
      </w:r>
      <w:r w:rsidR="00800F6C">
        <w:rPr>
          <w:rFonts w:asciiTheme="majorHAnsi" w:hAnsiTheme="majorHAnsi"/>
          <w:shd w:val="clear" w:color="auto" w:fill="FFFFFF"/>
          <w:lang w:val="en-GB"/>
        </w:rPr>
        <w:t xml:space="preserve">, </w:t>
      </w:r>
      <w:r w:rsidRPr="00B13C1A">
        <w:rPr>
          <w:rFonts w:asciiTheme="majorHAnsi" w:hAnsiTheme="majorHAnsi"/>
          <w:shd w:val="clear" w:color="auto" w:fill="FFFFFF"/>
          <w:lang w:val="en-GB"/>
        </w:rPr>
        <w:t xml:space="preserve">in general, latent variables are defined as variables that cannot be measured directly, but the measurements must be carried out through indicators that reflect or compile them. Latent variables can be classified into variables in the form of psychological attributes such as satisfaction in the form of conception variables, and can also be classified into factual latent variables such as the ability to pay mortgages which will be </w:t>
      </w:r>
      <w:r w:rsidRPr="00B13C1A">
        <w:rPr>
          <w:rFonts w:asciiTheme="majorHAnsi" w:hAnsiTheme="majorHAnsi"/>
          <w:shd w:val="clear" w:color="auto" w:fill="FFFFFF"/>
          <w:lang w:val="en-GB"/>
        </w:rPr>
        <w:lastRenderedPageBreak/>
        <w:t>examined in this study</w:t>
      </w:r>
      <w:r w:rsidR="00613D44">
        <w:rPr>
          <w:rFonts w:asciiTheme="majorHAnsi" w:hAnsiTheme="majorHAnsi"/>
          <w:shd w:val="clear" w:color="auto" w:fill="FFFFFF"/>
          <w:lang w:val="en-GB"/>
        </w:rPr>
        <w:t xml:space="preserve"> </w:t>
      </w:r>
      <w:r w:rsidR="00613D44">
        <w:rPr>
          <w:rFonts w:asciiTheme="majorHAnsi" w:hAnsiTheme="majorHAnsi"/>
          <w:shd w:val="clear" w:color="auto" w:fill="FFFFFF"/>
          <w:lang w:val="en-GB"/>
        </w:rPr>
        <w:fldChar w:fldCharType="begin" w:fldLock="1"/>
      </w:r>
      <w:r w:rsidR="00613D44">
        <w:rPr>
          <w:rFonts w:asciiTheme="majorHAnsi" w:hAnsiTheme="majorHAnsi"/>
          <w:shd w:val="clear" w:color="auto" w:fill="FFFFFF"/>
          <w:lang w:val="en-GB"/>
        </w:rPr>
        <w:instrText>ADDIN CSL_CITATION {"citationItems":[{"id":"ITEM-1","itemData":{"author":[{"dropping-particle":"","family":"Fernandes","given":"Adji Achmad Rinaldo","non-dropping-particle":"","parse-names":false,"suffix":""},{"dropping-particle":"","family":"Budiantara","given":"I Nyoman","non-dropping-particle":"","parse-names":false,"suffix":""},{"dropping-particle":"","family":"Otok","given":"Bambang Widjanarko","non-dropping-particle":"","parse-names":false,"suffix":""},{"dropping-particle":"","family":"Suhartono","given":"","non-dropping-particle":"","parse-names":false,"suffix":""}],"container-title":"International Journal of Mathematical Analysis","id":"ITEM-1","issue":"40","issued":{"date-parts":[["2014"]]},"page":"1951-1961","title":"Reproducing Kernel Hilbert space for penalized regression multi-predictors: Case in longitudinal data.","type":"article-journal","volume":"8"},"uris":["http://www.mendeley.com/documents/?uuid=8a36f4cf-c0ee-496c-96b2-a485818ce6d5"]},{"id":"ITEM-2","itemData":{"author":[{"dropping-particle":"","family":"James","given":"Gareth","non-dropping-particle":"","parse-names":false,"suffix":""},{"dropping-particle":"","family":"Witten","given":"Daniela","non-dropping-particle":"","parse-names":false,"suffix":""},{"dropping-particle":"","family":"Hastie","given":"Trevor","non-dropping-particle":"","parse-names":false,"suffix":""},{"dropping-particle":"","family":"Tibshirani","given":"Robert","non-dropping-particle":"","parse-names":false,"suffix":""}],"id":"ITEM-2","issued":{"date-parts":[["2013"]]},"number-of-pages":"Vol. 112, p. 18","publisher":"Springer","publisher-place":"New York","title":"An Introduction to Statistical Learning","type":"book"},"uris":["http://www.mendeley.com/documents/?uuid=fa75e22f-d557-4980-96b0-a2a7033ca709"]},{"id":"ITEM-3","itemData":{"DOI":"https://doi.org/10.1016/j.fss.2015.07.005","author":[{"dropping-particle":"","family":"Hang","given":"Jan","non-dropping-particle":"","parse-names":false,"suffix":""},{"dropping-particle":"","family":"Zhang","given":"Jianzhong","non-dropping-particle":"","parse-names":false,"suffix":""},{"dropping-particle":"","family":"Chen","given":"Ming","non-dropping-particle":"","parse-names":false,"suffix":""}],"container-title":"Fuzzy Sets and Systems","id":"ITEM-3","issued":{"date-parts":[["2016"]]},"page":"128-140","title":"Application of multi-class fuzzy support vector machine classifier for fault diagnosis of wind turbine","type":"article-journal","volume":"297"},"uris":["http://www.mendeley.com/documents/?uuid=eed83581-5857-432b-97ee-289370610975"]},{"id":"ITEM-4","itemData":{"author":[{"dropping-particle":"","family":"O'Rourke","given":"N","non-dropping-particle":"","parse-names":false,"suffix":""},{"dropping-particle":"","family":"Psych","given":"R","non-dropping-particle":"","parse-names":false,"suffix":""},{"dropping-particle":"","family":"Hatcher","given":"L","non-dropping-particle":"","parse-names":false,"suffix":""}],"id":"ITEM-4","issued":{"date-parts":[["2013"]]},"publisher":"Sas Institute","title":"A step-by-step approach to using SAS for factor analysis and structural equation modeling","type":"chapter"},"uris":["http://www.mendeley.com/documents/?uuid=48c93427-e6be-49f5-8062-b269eefde5a7"]}],"mendeley":{"formattedCitation":"(Fernandes et al., 2014; Hang et al., 2016; James et al., 2013; O’Rourke et al., 2013)","plainTextFormattedCitation":"(Fernandes et al., 2014; Hang et al., 2016; James et al., 2013; O’Rourke et al., 2013)","previouslyFormattedCitation":"(Fernandes et al., 2014; Hang et al., 2016; James et al., 2013; O’Rourke et al., 2013)"},"properties":{"noteIndex":0},"schema":"https://github.com/citation-style-language/schema/raw/master/csl-citation.json"}</w:instrText>
      </w:r>
      <w:r w:rsidR="00613D44">
        <w:rPr>
          <w:rFonts w:asciiTheme="majorHAnsi" w:hAnsiTheme="majorHAnsi"/>
          <w:shd w:val="clear" w:color="auto" w:fill="FFFFFF"/>
          <w:lang w:val="en-GB"/>
        </w:rPr>
        <w:fldChar w:fldCharType="separate"/>
      </w:r>
      <w:r w:rsidR="00613D44" w:rsidRPr="00613D44">
        <w:rPr>
          <w:rFonts w:asciiTheme="majorHAnsi" w:hAnsiTheme="majorHAnsi"/>
          <w:noProof/>
          <w:shd w:val="clear" w:color="auto" w:fill="FFFFFF"/>
          <w:lang w:val="en-GB"/>
        </w:rPr>
        <w:t>(Fernandes et al., 2014; Hang et al., 2016; James et al., 2013; O’Rourke et al., 2013)</w:t>
      </w:r>
      <w:r w:rsidR="00613D44">
        <w:rPr>
          <w:rFonts w:asciiTheme="majorHAnsi" w:hAnsiTheme="majorHAnsi"/>
          <w:shd w:val="clear" w:color="auto" w:fill="FFFFFF"/>
          <w:lang w:val="en-GB"/>
        </w:rPr>
        <w:fldChar w:fldCharType="end"/>
      </w:r>
      <w:r w:rsidR="00613D44">
        <w:rPr>
          <w:rFonts w:asciiTheme="majorHAnsi" w:hAnsiTheme="majorHAnsi"/>
          <w:shd w:val="clear" w:color="auto" w:fill="FFFFFF"/>
          <w:lang w:val="en-GB"/>
        </w:rPr>
        <w:t xml:space="preserve">. </w:t>
      </w:r>
      <w:r w:rsidRPr="00B13C1A">
        <w:rPr>
          <w:rFonts w:asciiTheme="majorHAnsi" w:hAnsiTheme="majorHAnsi"/>
          <w:shd w:val="clear" w:color="auto" w:fill="FFFFFF"/>
          <w:lang w:val="en-GB"/>
        </w:rPr>
        <w:t>To get data on the ability to pay mortgages, can be measured through the indicators that compose it. The indicator model that forms or composes variables is called the formative indicator model, where in this indicator model, the indicators that compose it are not required to have a common factor. To measure latent variable data with formative indicator models, the main component score method is used which is obtained through Principal Component Analysis.</w:t>
      </w:r>
    </w:p>
    <w:p w14:paraId="401809BE" w14:textId="2FD137AC" w:rsidR="001C1A36" w:rsidRDefault="00B13C1A" w:rsidP="00EA1FF5">
      <w:pPr>
        <w:pStyle w:val="IEEEParagraph"/>
        <w:spacing w:line="23" w:lineRule="atLeast"/>
        <w:ind w:firstLine="360"/>
        <w:rPr>
          <w:rFonts w:asciiTheme="majorHAnsi" w:hAnsiTheme="majorHAnsi"/>
          <w:shd w:val="clear" w:color="auto" w:fill="FFFFFF"/>
          <w:lang w:val="en-GB"/>
        </w:rPr>
      </w:pPr>
      <w:r w:rsidRPr="00B13C1A">
        <w:rPr>
          <w:rFonts w:asciiTheme="majorHAnsi" w:hAnsiTheme="majorHAnsi"/>
          <w:shd w:val="clear" w:color="auto" w:fill="FFFFFF"/>
          <w:lang w:val="en-GB"/>
        </w:rPr>
        <w:t xml:space="preserve">Principal Component Analysis is a multivariate analysis introduced by Karl Pearson. The purpose of Principal Component Analysis is to reduce the number of variable sets, and can also be used to obtain latent variable principal component scores </w:t>
      </w:r>
      <w:r w:rsidR="00613D44">
        <w:rPr>
          <w:rFonts w:asciiTheme="majorHAnsi" w:hAnsiTheme="majorHAnsi"/>
          <w:shd w:val="clear" w:color="auto" w:fill="FFFFFF"/>
          <w:lang w:val="en-GB"/>
        </w:rPr>
        <w:fldChar w:fldCharType="begin" w:fldLock="1"/>
      </w:r>
      <w:r w:rsidR="008D2AFA">
        <w:rPr>
          <w:rFonts w:asciiTheme="majorHAnsi" w:hAnsiTheme="majorHAnsi"/>
          <w:shd w:val="clear" w:color="auto" w:fill="FFFFFF"/>
          <w:lang w:val="en-GB"/>
        </w:rPr>
        <w:instrText>ADDIN CSL_CITATION {"citationItems":[{"id":"ITEM-1","itemData":{"DOI":"10.1007/978-1-62703-658-0_11","author":[{"dropping-particle":"","family":"David","given":"C C","non-dropping-particle":"","parse-names":false,"suffix":""},{"dropping-particle":"","family":"Jacobs","given":"D J","non-dropping-particle":"","parse-names":false,"suffix":""}],"container-title":"Protein dynamics: Methods and protocols","id":"ITEM-1","issued":{"date-parts":[["2014"]]},"page":"193-226","title":"Principal component analysis: a method for determining the essential dynamics of proteins","type":"article-journal"},"uris":["http://www.mendeley.com/documents/?uuid=996e24a9-151d-4d76-84a2-46de10509f58"]},{"id":"ITEM-2","itemData":{"author":[{"dropping-particle":"","family":"Solimun","given":"","non-dropping-particle":"","parse-names":false,"suffix":""},{"dropping-particle":"","family":"Fernandes","given":"Adji Achmad Rinaldo","non-dropping-particle":"","parse-names":false,"suffix":""},{"dropping-particle":"","family":"Nurjannah","given":"","non-dropping-particle":"","parse-names":false,"suffix":""}],"id":"ITEM-2","issued":{"date-parts":[["2017"]]},"publisher":"UB Press","title":"Multivariate Statistical Method Structural Equation Modeling (SEM) WarpPLS Approach","type":"book"},"uris":["http://www.mendeley.com/documents/?uuid=b3f555a0-a3fd-4d00-b241-5e525f74a738"]}],"mendeley":{"formattedCitation":"(David &amp; Jacobs, 2014; Solimun et al., 2017)","plainTextFormattedCitation":"(David &amp; Jacobs, 2014; Solimun et al., 2017)","previouslyFormattedCitation":"(David &amp; Jacobs, 2014; Solimun et al., 2017)"},"properties":{"noteIndex":0},"schema":"https://github.com/citation-style-language/schema/raw/master/csl-citation.json"}</w:instrText>
      </w:r>
      <w:r w:rsidR="00613D44">
        <w:rPr>
          <w:rFonts w:asciiTheme="majorHAnsi" w:hAnsiTheme="majorHAnsi"/>
          <w:shd w:val="clear" w:color="auto" w:fill="FFFFFF"/>
          <w:lang w:val="en-GB"/>
        </w:rPr>
        <w:fldChar w:fldCharType="separate"/>
      </w:r>
      <w:r w:rsidR="00613D44" w:rsidRPr="00613D44">
        <w:rPr>
          <w:rFonts w:asciiTheme="majorHAnsi" w:hAnsiTheme="majorHAnsi"/>
          <w:noProof/>
          <w:shd w:val="clear" w:color="auto" w:fill="FFFFFF"/>
          <w:lang w:val="en-GB"/>
        </w:rPr>
        <w:t>(David &amp; Jacobs, 2014; Solimun et al., 2017)</w:t>
      </w:r>
      <w:r w:rsidR="00613D44">
        <w:rPr>
          <w:rFonts w:asciiTheme="majorHAnsi" w:hAnsiTheme="majorHAnsi"/>
          <w:shd w:val="clear" w:color="auto" w:fill="FFFFFF"/>
          <w:lang w:val="en-GB"/>
        </w:rPr>
        <w:fldChar w:fldCharType="end"/>
      </w:r>
      <w:r w:rsidR="00613D44">
        <w:rPr>
          <w:rFonts w:asciiTheme="majorHAnsi" w:hAnsiTheme="majorHAnsi"/>
          <w:shd w:val="clear" w:color="auto" w:fill="FFFFFF"/>
          <w:lang w:val="en-GB"/>
        </w:rPr>
        <w:t xml:space="preserve">. </w:t>
      </w:r>
      <w:r w:rsidRPr="00B13C1A">
        <w:rPr>
          <w:rFonts w:asciiTheme="majorHAnsi" w:hAnsiTheme="majorHAnsi"/>
          <w:shd w:val="clear" w:color="auto" w:fill="FFFFFF"/>
          <w:lang w:val="en-GB"/>
        </w:rPr>
        <w:t xml:space="preserve">However, in its application, not all indicators of latent variables are in the form of metric data. To analyze data with a mixed scale, consisting of non-metric scales, nonlinear principal component analysis with nonlinear transformations is carried out. </w:t>
      </w:r>
      <w:r w:rsidR="001C1A36">
        <w:rPr>
          <w:rFonts w:asciiTheme="majorHAnsi" w:hAnsiTheme="majorHAnsi"/>
          <w:shd w:val="clear" w:color="auto" w:fill="FFFFFF"/>
          <w:lang w:val="en-GB"/>
        </w:rPr>
        <w:t>T</w:t>
      </w:r>
      <w:r w:rsidRPr="00B13C1A">
        <w:rPr>
          <w:rFonts w:asciiTheme="majorHAnsi" w:hAnsiTheme="majorHAnsi"/>
          <w:shd w:val="clear" w:color="auto" w:fill="FFFFFF"/>
          <w:lang w:val="en-GB"/>
        </w:rPr>
        <w:t>he nonlinear transformation in question is principal component analysis with optimal scaling or optimal transformation from qualitative scale to quantitative values</w:t>
      </w:r>
      <w:r w:rsidR="001C1A36">
        <w:rPr>
          <w:rFonts w:asciiTheme="majorHAnsi" w:hAnsiTheme="majorHAnsi"/>
          <w:shd w:val="clear" w:color="auto" w:fill="FFFFFF"/>
          <w:lang w:val="en-GB"/>
        </w:rPr>
        <w:t xml:space="preserve"> </w:t>
      </w:r>
      <w:r w:rsidR="00292DA7">
        <w:rPr>
          <w:rFonts w:asciiTheme="majorHAnsi" w:hAnsiTheme="majorHAnsi"/>
          <w:shd w:val="clear" w:color="auto" w:fill="FFFFFF"/>
          <w:lang w:val="en-GB"/>
        </w:rPr>
        <w:fldChar w:fldCharType="begin" w:fldLock="1"/>
      </w:r>
      <w:r w:rsidR="00292DA7">
        <w:rPr>
          <w:rFonts w:asciiTheme="majorHAnsi" w:hAnsiTheme="majorHAnsi"/>
          <w:shd w:val="clear" w:color="auto" w:fill="FFFFFF"/>
          <w:lang w:val="en-GB"/>
        </w:rPr>
        <w:instrText>ADDIN CSL_CITATION {"citationItems":[{"id":"ITEM-1","itemData":{"DOI":"10.1016/j.neucom.2017.05.047","ISSN":"18728286","abstract":"While the existing quaternion principal component analysis (QPCA) is a linear tool developed mainly for processing linear quaternion signals, the quaternion representation (QR) used in QPCA creates redundancy when representing a color image signal of three components by a quaternion matrix having four components. In this paper, the kernel technique is used to improve the QPCA as kernel QPCA (KQPCA) for processing nonlinear quaternion signals; in addition, both RGB information and depth information are considered to improve QR for representing RGB-D images. The improved QR fully utilizes the four-dimensional quaternion domain. We first provide the basic idea of three types of our KQPCA and then propose an algorithm for RGB-D object recognition based on bidirectional two-dimensional KQPCA (BD2DKQPCA) and the improved QR. Experimental results on four public datasets demonstrate that the proposed BD2DKQPCA-based algorithm achieves the best performance among seventeen compared algorithms including other existing PCA-based algorithms, irrespective of RGB object recognition or RGB-D object recognition. Moreover, for all compared algorithms, consideration of both RGB and depth information is shown to achieve better performance in object recognition than considering only RGB information.","author":[{"dropping-particle":"","family":"Chen","given":"Beijing","non-dropping-particle":"","parse-names":false,"suffix":""},{"dropping-particle":"","family":"Yang","given":"Jianhao","non-dropping-particle":"","parse-names":false,"suffix":""},{"dropping-particle":"","family":"Jeon","given":"Byeungwoo","non-dropping-particle":"","parse-names":false,"suffix":""},{"dropping-particle":"","family":"Zhang","given":"Xinpeng","non-dropping-particle":"","parse-names":false,"suffix":""}],"container-title":"Neurocomputing","id":"ITEM-1","issued":{"date-parts":[["2017"]]},"page":"293-303","publisher":"Elsevier B.V.","title":"Kernel quaternion principal component analysis and its application in RGB-D object recognition","type":"article-journal","volume":"266"},"uris":["http://www.mendeley.com/documents/?uuid=8488ab62-db4b-4086-8c76-6c42a2051779"]},{"id":"ITEM-2","itemData":{"DOI":"10.1088/1757-899X/546/5/052024","ISSN":"1757899X","abstract":"Linearity assumption that has not been fulfilled in the path analysis should use nonparametric approach. This research uses smoothing spline nonparametric path analysis with generated data where the condition of heteroscedasticity level measured through MAPD statistic will be applied to the data. The conditions are MAPD 0.01 - 0.20; 0.21 - 0.40; 0.41 - 0.60; 0.61 - 0.80; and 0.81 - 1.00. The purpose of this research is to determine the comparison of curve estimation of spline smoothing nonparametric path function on every level of heteroscedasticity category (DM) and without considering the heteroscedasticity (TM). The research results found that relative efficiency value of DM (PWLS) estimator with TM (PLS) that is always more than 1 for every heteroscedasticity level and every observation size. Thus, it was obtained better DM estimator (PWLS approach) comparing to TM (PLS).","author":[{"dropping-particle":"","family":"Fernandes","given":"Adji Achmad Rinaldo","non-dropping-particle":"","parse-names":false,"suffix":""},{"dropping-particle":"","family":"Hutahayan","given":"Benny","non-dropping-particle":"","parse-names":false,"suffix":""},{"dropping-particle":"","family":"Solimun","given":"","non-dropping-particle":"","parse-names":false,"suffix":""},{"dropping-particle":"","family":"Arisoesilaningsih","given":"Endang","non-dropping-particle":"","parse-names":false,"suffix":""},{"dropping-particle":"","family":"Yanti","given":"Indah","non-dropping-particle":"","parse-names":false,"suffix":""},{"dropping-particle":"","family":"Astuti","given":"Ani Budi","non-dropping-particle":"","parse-names":false,"suffix":""},{"dropping-particle":"","family":"Nurjannah","given":"","non-dropping-particle":"","parse-names":false,"suffix":""},{"dropping-particle":"","family":"Amaliana","given":"Luthfatul","non-dropping-particle":"","parse-names":false,"suffix":""}],"container-title":"IOP Conference Series: Materials Science and Engineering","id":"ITEM-2","issue":"5","issued":{"date-parts":[["2019"]]},"title":"Comparison of Curve Estimation of the Smoothing Spline Nonparametric Function Path Based on PLS and PWLS in Various Levels of Heteroscedasticity","type":"article-journal","volume":"546"},"uris":["http://www.mendeley.com/documents/?uuid=5bdaefc9-46ef-470e-92db-b472ab4d3b56"]},{"id":"ITEM-3","itemData":{"author":[{"dropping-particle":"","family":"Vegelius","given":"Johan","non-dropping-particle":"","parse-names":false,"suffix":""},{"dropping-particle":"","family":"Jin","given":"Shaobo","non-dropping-particle":"","parse-names":false,"suffix":""}],"container-title":"A Multidisciplinary Journal","id":"ITEM-3","issue":"4","issued":{"date-parts":[["2021"]]},"page":"497–505","title":"A semiparametric approach for structural equation modeling with ordinal data. Structural Equation Modeling","type":"article-journal","volume":"28"},"uris":["http://www.mendeley.com/documents/?uuid=2aaf339c-16ab-485b-8374-18d62ee62255"]},{"id":"ITEM-4","itemData":{"author":[{"dropping-particle":"","family":"Yu","given":"Hongyang","non-dropping-particle":"","parse-names":false,"suffix":""},{"dropping-particle":"","family":"Khan","given":"Faisal","non-dropping-particle":"","parse-names":false,"suffix":""},{"dropping-particle":"","family":"Ikram","given":"Garaniya","non-dropping-particle":"","parse-names":false,"suffix":""}],"container-title":"Industrial &amp; Engineering Chemistry Research","id":"ITEM-4","issue":"3","issued":{"date-parts":[["2015"]]},"page":"656-669","title":"An alternative formulation of PCA for process monitoring using distance correlation","type":"article-journal","volume":"55"},"uris":["http://www.mendeley.com/documents/?uuid=fb6996a9-c474-4189-a087-d39d346361ef"]},{"id":"ITEM-5","itemData":{"author":[{"dropping-particle":"","family":"Zhang","given":"Zhiyou","non-dropping-particle":"","parse-names":false,"suffix":""},{"dropping-particle":"","family":"Pan","given":"Peisheng","non-dropping-particle":"","parse-names":false,"suffix":""}],"container-title":"A hybrid intrusion detection method based on improved fuzzy C-means and support vector machine.","id":"ITEM-5","issued":{"date-parts":[["2019"]]},"title":"A hybrid intrusion detection method based on improved fuzzy C-means and support vector machine","type":"article-journal"},"uris":["http://www.mendeley.com/documents/?uuid=0b069a6d-2fc1-4134-8197-c36c5f19129c"]}],"mendeley":{"formattedCitation":"(Chen et al., 2017; Fernandes, Hutahayan, et al., 2019; Vegelius &amp; Jin, 2021; Yu et al., 2015; Zhang &amp; Pan, 2019)","plainTextFormattedCitation":"(Chen et al., 2017; Fernandes, Hutahayan, et al., 2019; Vegelius &amp; Jin, 2021; Yu et al., 2015; Zhang &amp; Pan, 2019)"},"properties":{"noteIndex":0},"schema":"https://github.com/citation-style-language/schema/raw/master/csl-citation.json"}</w:instrText>
      </w:r>
      <w:r w:rsidR="00292DA7">
        <w:rPr>
          <w:rFonts w:asciiTheme="majorHAnsi" w:hAnsiTheme="majorHAnsi"/>
          <w:shd w:val="clear" w:color="auto" w:fill="FFFFFF"/>
          <w:lang w:val="en-GB"/>
        </w:rPr>
        <w:fldChar w:fldCharType="separate"/>
      </w:r>
      <w:r w:rsidR="00292DA7" w:rsidRPr="00292DA7">
        <w:rPr>
          <w:rFonts w:asciiTheme="majorHAnsi" w:hAnsiTheme="majorHAnsi"/>
          <w:noProof/>
          <w:shd w:val="clear" w:color="auto" w:fill="FFFFFF"/>
          <w:lang w:val="en-GB"/>
        </w:rPr>
        <w:t>(Chen et al., 2017; Fernandes, Hutahayan, et al., 2019; Vegelius &amp; Jin, 2021; Yu et al., 2015; Zhang &amp; Pan, 2019)</w:t>
      </w:r>
      <w:r w:rsidR="00292DA7">
        <w:rPr>
          <w:rFonts w:asciiTheme="majorHAnsi" w:hAnsiTheme="majorHAnsi"/>
          <w:shd w:val="clear" w:color="auto" w:fill="FFFFFF"/>
          <w:lang w:val="en-GB"/>
        </w:rPr>
        <w:fldChar w:fldCharType="end"/>
      </w:r>
      <w:r w:rsidR="00292DA7">
        <w:rPr>
          <w:rFonts w:asciiTheme="majorHAnsi" w:hAnsiTheme="majorHAnsi"/>
          <w:shd w:val="clear" w:color="auto" w:fill="FFFFFF"/>
          <w:lang w:val="en-GB"/>
        </w:rPr>
        <w:t>.</w:t>
      </w:r>
    </w:p>
    <w:p w14:paraId="47A01E1B" w14:textId="09E67219" w:rsidR="00EA4FC8" w:rsidRDefault="00A7477B" w:rsidP="00EA4FC8">
      <w:pPr>
        <w:pStyle w:val="IEEEParagraph"/>
        <w:spacing w:line="23" w:lineRule="atLeast"/>
        <w:ind w:firstLine="360"/>
        <w:rPr>
          <w:rFonts w:asciiTheme="majorHAnsi" w:hAnsiTheme="majorHAnsi"/>
          <w:shd w:val="clear" w:color="auto" w:fill="FFFFFF"/>
          <w:lang w:val="en-GB"/>
        </w:rPr>
      </w:pPr>
      <w:r w:rsidRPr="00A7477B">
        <w:rPr>
          <w:rFonts w:asciiTheme="majorHAnsi" w:hAnsiTheme="majorHAnsi"/>
          <w:shd w:val="clear" w:color="auto" w:fill="FFFFFF"/>
          <w:lang w:val="en-GB"/>
        </w:rPr>
        <w:t xml:space="preserve">Path analysis is a method used to determine causal relationships between endogenous and exogenous variables. Path analysis connects the existence of a mediating variable. Mediating variables are relationships between exogenous variables and endogenous variables with the result that exogenous variables cannot influence changes or the existence of endogenous variables directly </w:t>
      </w:r>
      <w:r w:rsidR="00EA4FC8">
        <w:rPr>
          <w:rFonts w:asciiTheme="majorHAnsi" w:hAnsiTheme="majorHAnsi"/>
          <w:shd w:val="clear" w:color="auto" w:fill="FFFFFF"/>
          <w:lang w:val="en-GB"/>
        </w:rPr>
        <w:fldChar w:fldCharType="begin" w:fldLock="1"/>
      </w:r>
      <w:r w:rsidR="00292DA7">
        <w:rPr>
          <w:rFonts w:asciiTheme="majorHAnsi" w:hAnsiTheme="majorHAnsi"/>
          <w:shd w:val="clear" w:color="auto" w:fill="FFFFFF"/>
          <w:lang w:val="en-GB"/>
        </w:rPr>
        <w:instrText>ADDIN CSL_CITATION {"citationItems":[{"id":"ITEM-1","itemData":{"DOI":"10.1088/1755-1315/239/1/012018","ISSN":"17551315","abstract":"Objective of the study is to analyze how much influence Green Product has towards Green Marketing Strategy and influence of Green Product &amp; Green Marketing Strategy towards Purchasing Intention of The Body Shop in Malang. The analysis method was smoothing spline non-parametric path analysis. Path analysis is one of the multivariate techniques observing cause and effect correlation between exogenous and endogenous variables in order to find the most efficient path. However, when linearity assumption has not been identified yet or regression curve is unknown, the model cannot accommodate an unidentified regression function. Therefore, non-parametric path analysis is developed since the analysis is derived from the non-parametric regression analysis. Based on the findings, it can be concluded that (1) Green Product (X1) has influence towards purchasing decision (Y), (2) Green Product and Green Marketing Strategy has influence towards purchasing decision and (3) Green Marketing Strategy (X2) has influence towards purchasing decision (Y).","author":[{"dropping-particle":"","family":"Fernandes","given":"Adji Achmad Rinaldo","non-dropping-particle":"","parse-names":false,"suffix":""},{"dropping-particle":"","family":"Darmanto","given":"","non-dropping-particle":"","parse-names":false,"suffix":""},{"dropping-particle":"","family":"Astuti","given":"Ani Budi","non-dropping-particle":"","parse-names":false,"suffix":""},{"dropping-particle":"","family":"Solimun","given":"","non-dropping-particle":"","parse-names":false,"suffix":""},{"dropping-particle":"","family":"Amaliana","given":"Luthfatul","non-dropping-particle":"","parse-names":false,"suffix":""},{"dropping-particle":"","family":"Nurjannah","given":"","non-dropping-particle":"","parse-names":false,"suffix":""},{"dropping-particle":"","family":"Yanti","given":"Indah","non-dropping-particle":"","parse-names":false,"suffix":""},{"dropping-particle":"","family":"Arisoesilaningsih","given":"Endang","non-dropping-particle":"","parse-names":false,"suffix":""},{"dropping-particle":"","family":"Isaskar","given":"Riyanti","non-dropping-particle":"","parse-names":false,"suffix":""}],"container-title":"IOP Conference Series: Earth and Environmental Science","id":"ITEM-1","issue":"1","issued":{"date-parts":[["2019"]]},"title":"Smoothing Spline Nonparametric Path: Application for Green Product and Green Marketing Strategy towards Green Product Purchasing Intention","type":"article-journal","volume":"239"},"uris":["http://www.mendeley.com/documents/?uuid=ed0b8b58-0652-4d7c-84d4-0d7d8c50b925"]},{"id":"ITEM-2","itemData":{"author":[{"dropping-particle":"","family":"Efendi","given":"E. C. L","non-dropping-particle":"","parse-names":false,"suffix":""},{"dropping-particle":"","family":"Fernandes","given":"A. A. R","non-dropping-particle":"","parse-names":false,"suffix":""},{"dropping-particle":"","family":"Mitakda","given":"M. B. T.","non-dropping-particle":"","parse-names":false,"suffix":""}],"container-title":"WSEAS Transactions on International Journal of Electrical Engineering and Computer Science,","id":"ITEM-2","issued":{"date-parts":[["2021"]]},"page":"52-60","title":"Modeling of Path Nonparametric Truncated Spline Linear, Quadratic, and Cubic in Model on Time Paying Bank Credit","type":"article-journal","volume":"3"},"uris":["http://www.mendeley.com/documents/?uuid=8dffaa9b-1b09-40e0-bf0a-062989fb76bb"]},{"id":"ITEM-3","itemData":{"author":[{"dropping-particle":"","family":"Kock","given":"N","non-dropping-particle":"","parse-names":false,"suffix":""}],"container-title":"International Journal of E-Collaboration (Ijec)","id":"ITEM-3","issue":"4","issued":{"date-parts":[["2016"]]},"page":"1-6","title":"Advantages of nonlinear over segmentation analyses in path models","type":"article-journal","volume":"12"},"uris":["http://www.mendeley.com/documents/?uuid=891d8d2b-ad67-40b4-ac7f-b2d069952fa3"]},{"id":"ITEM-4","itemData":{"author":[{"dropping-particle":"","family":"Fernandes","given":"A. A. R","non-dropping-particle":"","parse-names":false,"suffix":""},{"dropping-particle":"","family":"Solimun","given":"","non-dropping-particle":"","parse-names":false,"suffix":""}],"container-title":"International Journal of Law and Management","id":"ITEM-4","issue":"6","issued":{"date-parts":[["2017"]]},"page":"1211-1219","title":"Moderating effects orientation and innovation strategy on the effect of uncertainty on the performance of the business environment","type":"article-journal","volume":"59"},"uris":["http://www.mendeley.com/documents/?uuid=ccb6fe92-7bf8-49e5-b6b5-6562b60422d9"]}],"mendeley":{"formattedCitation":"(Efendi et al., 2021; Fernandes, Darmanto, et al., 2019; Fernandes &amp; Solimun, 2017; Kock, 2016)","plainTextFormattedCitation":"(Efendi et al., 2021; Fernandes, Darmanto, et al., 2019; Fernandes &amp; Solimun, 2017; Kock, 2016)","previouslyFormattedCitation":"(Efendi et al., 2021; Fernandes et al., 2019; Fernandes &amp; Solimun, 2017; Kock, 2016)"},"properties":{"noteIndex":0},"schema":"https://github.com/citation-style-language/schema/raw/master/csl-citation.json"}</w:instrText>
      </w:r>
      <w:r w:rsidR="00EA4FC8">
        <w:rPr>
          <w:rFonts w:asciiTheme="majorHAnsi" w:hAnsiTheme="majorHAnsi"/>
          <w:shd w:val="clear" w:color="auto" w:fill="FFFFFF"/>
          <w:lang w:val="en-GB"/>
        </w:rPr>
        <w:fldChar w:fldCharType="separate"/>
      </w:r>
      <w:r w:rsidR="00292DA7" w:rsidRPr="00292DA7">
        <w:rPr>
          <w:rFonts w:asciiTheme="majorHAnsi" w:hAnsiTheme="majorHAnsi"/>
          <w:noProof/>
          <w:shd w:val="clear" w:color="auto" w:fill="FFFFFF"/>
          <w:lang w:val="en-GB"/>
        </w:rPr>
        <w:t>(Efendi et al., 2021; Fernandes, Darmanto, et al., 2019; Fernandes &amp; Solimun, 2017; Kock, 2016)</w:t>
      </w:r>
      <w:r w:rsidR="00EA4FC8">
        <w:rPr>
          <w:rFonts w:asciiTheme="majorHAnsi" w:hAnsiTheme="majorHAnsi"/>
          <w:shd w:val="clear" w:color="auto" w:fill="FFFFFF"/>
          <w:lang w:val="en-GB"/>
        </w:rPr>
        <w:fldChar w:fldCharType="end"/>
      </w:r>
      <w:r w:rsidR="00EA4FC8">
        <w:rPr>
          <w:rFonts w:asciiTheme="majorHAnsi" w:hAnsiTheme="majorHAnsi"/>
          <w:shd w:val="clear" w:color="auto" w:fill="FFFFFF"/>
          <w:lang w:val="en-GB"/>
        </w:rPr>
        <w:t>.</w:t>
      </w:r>
    </w:p>
    <w:p w14:paraId="5083A3A0" w14:textId="0AEB82EF" w:rsidR="00B13C1A" w:rsidRPr="00B13C1A" w:rsidRDefault="00B13C1A" w:rsidP="00112208">
      <w:pPr>
        <w:pStyle w:val="IEEEParagraph"/>
        <w:spacing w:line="23" w:lineRule="atLeast"/>
        <w:ind w:firstLine="360"/>
        <w:rPr>
          <w:rFonts w:asciiTheme="majorHAnsi" w:hAnsiTheme="majorHAnsi"/>
          <w:shd w:val="clear" w:color="auto" w:fill="FFFFFF"/>
          <w:lang w:val="en-GB"/>
        </w:rPr>
      </w:pPr>
      <w:r w:rsidRPr="00B13C1A">
        <w:rPr>
          <w:rFonts w:asciiTheme="majorHAnsi" w:hAnsiTheme="majorHAnsi"/>
          <w:shd w:val="clear" w:color="auto" w:fill="FFFFFF"/>
          <w:lang w:val="en-GB"/>
        </w:rPr>
        <w:t>One of the credit facilities provided by banks in Indonesia is the Home Ownership Credit (KPR). According to</w:t>
      </w:r>
      <w:r w:rsidR="00F52807">
        <w:rPr>
          <w:rFonts w:asciiTheme="majorHAnsi" w:hAnsiTheme="majorHAnsi"/>
          <w:shd w:val="clear" w:color="auto" w:fill="FFFFFF"/>
          <w:lang w:val="en-GB"/>
        </w:rPr>
        <w:t xml:space="preserve"> Budiono </w:t>
      </w:r>
      <w:r w:rsidR="00F52807">
        <w:rPr>
          <w:rFonts w:asciiTheme="majorHAnsi" w:hAnsiTheme="majorHAnsi"/>
          <w:shd w:val="clear" w:color="auto" w:fill="FFFFFF"/>
          <w:lang w:val="en-GB"/>
        </w:rPr>
        <w:fldChar w:fldCharType="begin" w:fldLock="1"/>
      </w:r>
      <w:r w:rsidR="00112208">
        <w:rPr>
          <w:rFonts w:asciiTheme="majorHAnsi" w:hAnsiTheme="majorHAnsi"/>
          <w:shd w:val="clear" w:color="auto" w:fill="FFFFFF"/>
          <w:lang w:val="en-GB"/>
        </w:rPr>
        <w:instrText>ADDIN CSL_CITATION {"citationItems":[{"id":"ITEM-1","itemData":{"author":[{"dropping-particle":"","family":"Budiono","given":"D","non-dropping-particle":"","parse-names":false,"suffix":""}],"id":"ITEM-1","issued":{"date-parts":[["2016"]]},"publisher":"FEBSOS","publisher-place":"Jakarta","title":"The behavior of corporate taxpayers in fulfilling tax obligations: Humanistic theory perspective","type":"chapter"},"suppress-author":1,"uris":["http://www.mendeley.com/documents/?uuid=1a454fe7-1a70-408c-bc1a-4e834a519a3b"]}],"mendeley":{"formattedCitation":"(2016)","plainTextFormattedCitation":"(2016)","previouslyFormattedCitation":"(2016)"},"properties":{"noteIndex":0},"schema":"https://github.com/citation-style-language/schema/raw/master/csl-citation.json"}</w:instrText>
      </w:r>
      <w:r w:rsidR="00F52807">
        <w:rPr>
          <w:rFonts w:asciiTheme="majorHAnsi" w:hAnsiTheme="majorHAnsi"/>
          <w:shd w:val="clear" w:color="auto" w:fill="FFFFFF"/>
          <w:lang w:val="en-GB"/>
        </w:rPr>
        <w:fldChar w:fldCharType="separate"/>
      </w:r>
      <w:r w:rsidR="00F52807" w:rsidRPr="00F52807">
        <w:rPr>
          <w:rFonts w:asciiTheme="majorHAnsi" w:hAnsiTheme="majorHAnsi"/>
          <w:noProof/>
          <w:shd w:val="clear" w:color="auto" w:fill="FFFFFF"/>
          <w:lang w:val="en-GB"/>
        </w:rPr>
        <w:t>(2016)</w:t>
      </w:r>
      <w:r w:rsidR="00F52807">
        <w:rPr>
          <w:rFonts w:asciiTheme="majorHAnsi" w:hAnsiTheme="majorHAnsi"/>
          <w:shd w:val="clear" w:color="auto" w:fill="FFFFFF"/>
          <w:lang w:val="en-GB"/>
        </w:rPr>
        <w:fldChar w:fldCharType="end"/>
      </w:r>
      <w:r w:rsidR="00F52807">
        <w:rPr>
          <w:rFonts w:asciiTheme="majorHAnsi" w:hAnsiTheme="majorHAnsi"/>
          <w:shd w:val="clear" w:color="auto" w:fill="FFFFFF"/>
          <w:lang w:val="en-GB"/>
        </w:rPr>
        <w:t xml:space="preserve">, </w:t>
      </w:r>
      <w:r w:rsidRPr="00B13C1A">
        <w:rPr>
          <w:rFonts w:asciiTheme="majorHAnsi" w:hAnsiTheme="majorHAnsi"/>
          <w:shd w:val="clear" w:color="auto" w:fill="FFFFFF"/>
          <w:lang w:val="en-GB"/>
        </w:rPr>
        <w:t>KPR is a credit facility provided by a certain bank to individual customers, both for those who want to buy a house and those who want to repair their house. Before banks provide mortgages to customers, it is important for the bank to have an assessment of potential customers</w:t>
      </w:r>
      <w:r w:rsidR="00DD1227">
        <w:rPr>
          <w:rFonts w:asciiTheme="majorHAnsi" w:hAnsiTheme="majorHAnsi"/>
          <w:shd w:val="clear" w:color="auto" w:fill="FFFFFF"/>
          <w:lang w:val="en-GB"/>
        </w:rPr>
        <w:t xml:space="preserve"> </w:t>
      </w:r>
      <w:r w:rsidR="00112208">
        <w:rPr>
          <w:rFonts w:asciiTheme="majorHAnsi" w:hAnsiTheme="majorHAnsi"/>
          <w:shd w:val="clear" w:color="auto" w:fill="FFFFFF"/>
          <w:lang w:val="en-GB"/>
        </w:rPr>
        <w:fldChar w:fldCharType="begin" w:fldLock="1"/>
      </w:r>
      <w:r w:rsidR="00292DA7">
        <w:rPr>
          <w:rFonts w:asciiTheme="majorHAnsi" w:hAnsiTheme="majorHAnsi"/>
          <w:shd w:val="clear" w:color="auto" w:fill="FFFFFF"/>
          <w:lang w:val="en-GB"/>
        </w:rPr>
        <w:instrText>ADDIN CSL_CITATION {"citationItems":[{"id":"ITEM-1","itemData":{"author":[{"dropping-particle":"","family":"Hayati","given":"I. K","non-dropping-particle":"","parse-names":false,"suffix":""}],"container-title":"The Management Journal of Binaniaga","id":"ITEM-1","issue":"01","issued":{"date-parts":[["2016"]]},"page":"9-18","title":"Analysis of Quality of Worklife (Qwl) Implementation Against Job Satisfaction and Commitment of the Employees","type":"article-journal","volume":"1"},"uris":["http://www.mendeley.com/documents/?uuid=6cdae0fe-ef94-4f8b-894e-4318e100f3e7"]},{"id":"ITEM-2","itemData":{"author":[{"dropping-particle":"","family":"Sumardi","given":"S","non-dropping-particle":"","parse-names":false,"suffix":""},{"dropping-particle":"","family":"Fernandes","given":"A. A. R","non-dropping-particle":"","parse-names":false,"suffix":""}],"container-title":"Journal of Organizational Change Management","id":"ITEM-2","issue":"2","issued":{"date-parts":[["2018"]]},"page":"410-425","title":"The mediating effect of service quality and organizational commitment on the effect of management process alignment on higher education performance in Makassar, Indonesia","type":"article-journal","volume":"31"},"uris":["http://www.mendeley.com/documents/?uuid=c218467d-3f54-449b-a4c0-ecb3ab2bb0ee"]}],"mendeley":{"formattedCitation":"(Hayati, 2016; Sumardi &amp; Fernandes, 2018)","plainTextFormattedCitation":"(Hayati, 2016; Sumardi &amp; Fernandes, 2018)","previouslyFormattedCitation":"(Hayati, 2016; Sumardi &amp; Fernandes, 2018)"},"properties":{"noteIndex":0},"schema":"https://github.com/citation-style-language/schema/raw/master/csl-citation.json"}</w:instrText>
      </w:r>
      <w:r w:rsidR="00112208">
        <w:rPr>
          <w:rFonts w:asciiTheme="majorHAnsi" w:hAnsiTheme="majorHAnsi"/>
          <w:shd w:val="clear" w:color="auto" w:fill="FFFFFF"/>
          <w:lang w:val="en-GB"/>
        </w:rPr>
        <w:fldChar w:fldCharType="separate"/>
      </w:r>
      <w:r w:rsidR="00112208" w:rsidRPr="00112208">
        <w:rPr>
          <w:rFonts w:asciiTheme="majorHAnsi" w:hAnsiTheme="majorHAnsi"/>
          <w:noProof/>
          <w:shd w:val="clear" w:color="auto" w:fill="FFFFFF"/>
          <w:lang w:val="en-GB"/>
        </w:rPr>
        <w:t>(Hayati, 2016; Sumardi &amp; Fernandes, 2018)</w:t>
      </w:r>
      <w:r w:rsidR="00112208">
        <w:rPr>
          <w:rFonts w:asciiTheme="majorHAnsi" w:hAnsiTheme="majorHAnsi"/>
          <w:shd w:val="clear" w:color="auto" w:fill="FFFFFF"/>
          <w:lang w:val="en-GB"/>
        </w:rPr>
        <w:fldChar w:fldCharType="end"/>
      </w:r>
      <w:r w:rsidR="00112208">
        <w:rPr>
          <w:rFonts w:asciiTheme="majorHAnsi" w:hAnsiTheme="majorHAnsi"/>
          <w:shd w:val="clear" w:color="auto" w:fill="FFFFFF"/>
          <w:lang w:val="en-GB"/>
        </w:rPr>
        <w:t xml:space="preserve">. </w:t>
      </w:r>
      <w:r w:rsidRPr="00B13C1A">
        <w:rPr>
          <w:rFonts w:asciiTheme="majorHAnsi" w:hAnsiTheme="majorHAnsi"/>
          <w:shd w:val="clear" w:color="auto" w:fill="FFFFFF"/>
          <w:lang w:val="en-GB"/>
        </w:rPr>
        <w:t>So that congestion in the process of returning customer mortgages to the bank can be minimized. To overcome the risk of bad credit, customers must pay mortgages on time. By looking at the influence of the ability to pay mortgages and the fear of paying late on timely mortgage payments, the bank can decide if the customer is able to pay mortgages on time or not.</w:t>
      </w:r>
    </w:p>
    <w:p w14:paraId="652921E4" w14:textId="77777777" w:rsidR="00B13C1A" w:rsidRPr="00B13C1A" w:rsidRDefault="00B13C1A" w:rsidP="00B13C1A">
      <w:pPr>
        <w:pStyle w:val="IEEEParagraph"/>
        <w:spacing w:line="23" w:lineRule="atLeast"/>
        <w:ind w:firstLine="360"/>
        <w:rPr>
          <w:rFonts w:asciiTheme="majorHAnsi" w:hAnsiTheme="majorHAnsi"/>
          <w:shd w:val="clear" w:color="auto" w:fill="FFFFFF"/>
          <w:lang w:val="en-GB"/>
        </w:rPr>
      </w:pPr>
      <w:r w:rsidRPr="00B13C1A">
        <w:rPr>
          <w:rFonts w:asciiTheme="majorHAnsi" w:hAnsiTheme="majorHAnsi"/>
          <w:shd w:val="clear" w:color="auto" w:fill="FFFFFF"/>
          <w:lang w:val="en-GB"/>
        </w:rPr>
        <w:t>Based on the explanation above, the researcher wants to find out more about how to get the main component score from the latent variable ability to pay mortgages with its constituent indicators, namely guarantee documents, education, collectability status, work experience, joint income, RPA, form of business entity, credit term, number of family responsibilities, savings ownership, and loan to value. In addition, this research also determines how the influence of the ability to pay mortgages on paying mortgages on time is mediated by the fear of paying mortgages.</w:t>
      </w:r>
    </w:p>
    <w:p w14:paraId="77B4D38B" w14:textId="77777777" w:rsidR="00B13C1A" w:rsidRPr="00E77E85" w:rsidRDefault="00B13C1A" w:rsidP="00E77E85">
      <w:pPr>
        <w:pStyle w:val="IEEEParagraph"/>
        <w:spacing w:line="23" w:lineRule="atLeast"/>
        <w:ind w:firstLine="360"/>
        <w:rPr>
          <w:rStyle w:val="longtext"/>
          <w:rFonts w:asciiTheme="majorHAnsi" w:hAnsiTheme="majorHAnsi"/>
          <w:shd w:val="clear" w:color="auto" w:fill="FFFFFF"/>
        </w:rPr>
      </w:pPr>
    </w:p>
    <w:p w14:paraId="6133E171" w14:textId="77777777" w:rsidR="00310DCB" w:rsidRPr="00E77E85" w:rsidRDefault="00310DCB" w:rsidP="00E77E85">
      <w:pPr>
        <w:pStyle w:val="IEEEParagraph"/>
        <w:spacing w:line="23" w:lineRule="atLeast"/>
        <w:ind w:firstLine="0"/>
        <w:rPr>
          <w:rFonts w:asciiTheme="majorHAnsi" w:hAnsiTheme="majorHAnsi"/>
          <w:lang w:val="en-US"/>
        </w:rPr>
      </w:pPr>
    </w:p>
    <w:p w14:paraId="5022FB25" w14:textId="5A15DA1B" w:rsidR="004D6A8C" w:rsidRPr="00B13C1A" w:rsidRDefault="009B0A53" w:rsidP="00B13C1A">
      <w:pPr>
        <w:pStyle w:val="IEEEHeading1"/>
        <w:numPr>
          <w:ilvl w:val="0"/>
          <w:numId w:val="11"/>
        </w:numPr>
        <w:spacing w:before="0" w:after="0" w:line="23" w:lineRule="atLeast"/>
        <w:jc w:val="left"/>
        <w:rPr>
          <w:rFonts w:asciiTheme="majorHAnsi" w:hAnsiTheme="majorHAnsi"/>
          <w:b/>
          <w:iCs/>
          <w:sz w:val="24"/>
          <w:lang w:val="en-US"/>
        </w:rPr>
      </w:pPr>
      <w:r w:rsidRPr="00E77E85">
        <w:rPr>
          <w:rFonts w:asciiTheme="majorHAnsi" w:hAnsiTheme="majorHAnsi"/>
          <w:b/>
          <w:iCs/>
          <w:sz w:val="24"/>
          <w:lang w:val="en-US"/>
        </w:rPr>
        <w:t>METHODS</w:t>
      </w:r>
    </w:p>
    <w:p w14:paraId="478509D9" w14:textId="77777777" w:rsidR="00B13C1A" w:rsidRPr="00B13C1A" w:rsidRDefault="00B13C1A" w:rsidP="00B13C1A">
      <w:pPr>
        <w:pStyle w:val="IEEEParagraph"/>
        <w:spacing w:line="23" w:lineRule="atLeast"/>
        <w:ind w:firstLine="360"/>
        <w:rPr>
          <w:rFonts w:asciiTheme="majorHAnsi" w:hAnsiTheme="majorHAnsi"/>
          <w:lang w:val="en"/>
        </w:rPr>
      </w:pPr>
      <w:bookmarkStart w:id="1" w:name="_Hlk142879425"/>
      <w:r w:rsidRPr="00B13C1A">
        <w:rPr>
          <w:rFonts w:asciiTheme="majorHAnsi" w:hAnsiTheme="majorHAnsi"/>
          <w:lang w:val="en"/>
        </w:rPr>
        <w:t xml:space="preserve">The data used is secondary data regarding the ability of customers to pay bank mortgages, fear of paying late, and paying mortgages on time. This data was obtained from research conducted at Bank X in 2022. The subjects studied were the mortgage debtors customers. This study uses data consisting of 100 samples. The data scale used is a mixed data scale. This study uses two analytical methods with a mixed method approach, namely </w:t>
      </w:r>
      <w:r w:rsidRPr="00B13C1A">
        <w:rPr>
          <w:rFonts w:asciiTheme="majorHAnsi" w:hAnsiTheme="majorHAnsi"/>
          <w:i/>
          <w:iCs/>
          <w:lang w:val="en"/>
        </w:rPr>
        <w:t xml:space="preserve">Principal Component Analysis </w:t>
      </w:r>
      <w:r w:rsidRPr="00B13C1A">
        <w:rPr>
          <w:rFonts w:asciiTheme="majorHAnsi" w:hAnsiTheme="majorHAnsi"/>
          <w:lang w:val="en"/>
        </w:rPr>
        <w:t>(PCA) Nonlinear with path analysis. This research is designed to answer the problems that have been formulated, as well as to achieve research objectives by involving hypothesis testing to determine the effect between research variables.</w:t>
      </w:r>
    </w:p>
    <w:p w14:paraId="55D7AD90" w14:textId="77777777" w:rsidR="00B13C1A" w:rsidRPr="00B13C1A" w:rsidRDefault="00B13C1A" w:rsidP="0036327F">
      <w:pPr>
        <w:pStyle w:val="IEEEParagraph"/>
        <w:spacing w:line="23" w:lineRule="atLeast"/>
        <w:ind w:firstLine="360"/>
        <w:jc w:val="center"/>
        <w:rPr>
          <w:rFonts w:asciiTheme="majorHAnsi" w:hAnsiTheme="majorHAnsi"/>
          <w:lang w:val="en"/>
        </w:rPr>
      </w:pPr>
      <w:r w:rsidRPr="00B13C1A">
        <w:rPr>
          <w:rFonts w:asciiTheme="majorHAnsi" w:hAnsiTheme="majorHAnsi"/>
          <w:lang w:val="en"/>
        </w:rPr>
        <w:object w:dxaOrig="12492" w:dyaOrig="6732" w14:anchorId="42B57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5pt;height:186pt" o:ole="">
            <v:imagedata r:id="rId19" o:title=""/>
          </v:shape>
          <o:OLEObject Type="Embed" ProgID="Visio.Drawing.15" ShapeID="_x0000_i1025" DrawAspect="Content" ObjectID="_1756498062" r:id="rId20"/>
        </w:object>
      </w:r>
    </w:p>
    <w:p w14:paraId="4E2A3E16" w14:textId="3D63636C" w:rsidR="00B13C1A" w:rsidRDefault="00B13C1A" w:rsidP="0036327F">
      <w:pPr>
        <w:pStyle w:val="IEEEParagraph"/>
        <w:spacing w:line="23" w:lineRule="atLeast"/>
        <w:ind w:firstLine="360"/>
        <w:jc w:val="center"/>
        <w:rPr>
          <w:rFonts w:asciiTheme="majorHAnsi" w:hAnsiTheme="majorHAnsi"/>
          <w:lang w:val="en"/>
        </w:rPr>
      </w:pPr>
      <w:r w:rsidRPr="00B13C1A">
        <w:rPr>
          <w:rFonts w:asciiTheme="majorHAnsi" w:hAnsiTheme="majorHAnsi"/>
          <w:b/>
          <w:bCs/>
          <w:lang w:val="en"/>
        </w:rPr>
        <w:t xml:space="preserve">Figure </w:t>
      </w:r>
      <w:r w:rsidR="0036327F">
        <w:rPr>
          <w:rFonts w:asciiTheme="majorHAnsi" w:hAnsiTheme="majorHAnsi"/>
          <w:b/>
          <w:bCs/>
          <w:lang w:val="en"/>
        </w:rPr>
        <w:t>1</w:t>
      </w:r>
      <w:r w:rsidRPr="00B13C1A">
        <w:rPr>
          <w:rFonts w:asciiTheme="majorHAnsi" w:hAnsiTheme="majorHAnsi"/>
          <w:b/>
          <w:bCs/>
          <w:lang w:val="en"/>
        </w:rPr>
        <w:t xml:space="preserve">. </w:t>
      </w:r>
      <w:r w:rsidRPr="00B13C1A">
        <w:rPr>
          <w:rFonts w:asciiTheme="majorHAnsi" w:hAnsiTheme="majorHAnsi"/>
          <w:lang w:val="en"/>
        </w:rPr>
        <w:t>Research Model</w:t>
      </w:r>
    </w:p>
    <w:p w14:paraId="45989C18" w14:textId="77777777" w:rsidR="0036327F" w:rsidRPr="00B13C1A" w:rsidRDefault="0036327F" w:rsidP="0036327F">
      <w:pPr>
        <w:pStyle w:val="IEEEParagraph"/>
        <w:spacing w:line="23" w:lineRule="atLeast"/>
        <w:ind w:firstLine="360"/>
        <w:jc w:val="center"/>
        <w:rPr>
          <w:rFonts w:asciiTheme="majorHAnsi" w:hAnsiTheme="majorHAnsi"/>
          <w:lang w:val="en"/>
        </w:rPr>
      </w:pPr>
    </w:p>
    <w:p w14:paraId="459CA47D"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The following is an indicator of the variable ability to pay mortgages.</w:t>
      </w:r>
    </w:p>
    <w:p w14:paraId="255F28BA"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b/>
          <w:bCs/>
          <w:lang w:val="en"/>
        </w:rPr>
        <w:t xml:space="preserve">Table 1. </w:t>
      </w:r>
      <w:r w:rsidRPr="00B13C1A">
        <w:rPr>
          <w:rFonts w:asciiTheme="majorHAnsi" w:hAnsiTheme="majorHAnsi"/>
          <w:lang w:val="en"/>
        </w:rPr>
        <w:t>Variable Indicators of Ability to Pay Mortgages</w:t>
      </w:r>
    </w:p>
    <w:tbl>
      <w:tblPr>
        <w:tblStyle w:val="TableGrid"/>
        <w:tblW w:w="0" w:type="auto"/>
        <w:tblInd w:w="421" w:type="dxa"/>
        <w:tblBorders>
          <w:left w:val="none" w:sz="0" w:space="0" w:color="auto"/>
          <w:right w:val="none" w:sz="0" w:space="0" w:color="auto"/>
        </w:tblBorders>
        <w:tblLook w:val="04A0" w:firstRow="1" w:lastRow="0" w:firstColumn="1" w:lastColumn="0" w:noHBand="0" w:noVBand="1"/>
      </w:tblPr>
      <w:tblGrid>
        <w:gridCol w:w="3260"/>
        <w:gridCol w:w="1417"/>
        <w:gridCol w:w="3402"/>
        <w:gridCol w:w="1106"/>
      </w:tblGrid>
      <w:tr w:rsidR="00B13C1A" w:rsidRPr="00B13C1A" w14:paraId="0637D872" w14:textId="77777777" w:rsidTr="00585E66">
        <w:tc>
          <w:tcPr>
            <w:tcW w:w="3260" w:type="dxa"/>
            <w:tcBorders>
              <w:right w:val="nil"/>
            </w:tcBorders>
          </w:tcPr>
          <w:p w14:paraId="4EAA2ED4" w14:textId="77777777" w:rsidR="00B13C1A" w:rsidRPr="00B13C1A" w:rsidRDefault="00B13C1A" w:rsidP="00B13C1A">
            <w:pPr>
              <w:pStyle w:val="IEEEParagraph"/>
              <w:spacing w:line="23" w:lineRule="atLeast"/>
              <w:ind w:firstLine="0"/>
              <w:jc w:val="center"/>
              <w:rPr>
                <w:rFonts w:asciiTheme="majorHAnsi" w:hAnsiTheme="majorHAnsi"/>
                <w:b/>
                <w:bCs/>
                <w:lang w:val="en"/>
              </w:rPr>
            </w:pPr>
            <w:r w:rsidRPr="00B13C1A">
              <w:rPr>
                <w:rFonts w:asciiTheme="majorHAnsi" w:hAnsiTheme="majorHAnsi"/>
                <w:b/>
                <w:bCs/>
                <w:lang w:val="en"/>
              </w:rPr>
              <w:t>Indicator</w:t>
            </w:r>
          </w:p>
        </w:tc>
        <w:tc>
          <w:tcPr>
            <w:tcW w:w="1417" w:type="dxa"/>
            <w:tcBorders>
              <w:left w:val="nil"/>
              <w:right w:val="nil"/>
            </w:tcBorders>
          </w:tcPr>
          <w:p w14:paraId="71D34AE3" w14:textId="77777777" w:rsidR="00B13C1A" w:rsidRPr="00B13C1A" w:rsidRDefault="00B13C1A" w:rsidP="00B13C1A">
            <w:pPr>
              <w:pStyle w:val="IEEEParagraph"/>
              <w:spacing w:line="23" w:lineRule="atLeast"/>
              <w:ind w:firstLine="0"/>
              <w:jc w:val="center"/>
              <w:rPr>
                <w:rFonts w:asciiTheme="majorHAnsi" w:hAnsiTheme="majorHAnsi"/>
                <w:b/>
                <w:bCs/>
                <w:lang w:val="en"/>
              </w:rPr>
            </w:pPr>
            <w:r w:rsidRPr="00B13C1A">
              <w:rPr>
                <w:rFonts w:asciiTheme="majorHAnsi" w:hAnsiTheme="majorHAnsi"/>
                <w:b/>
                <w:bCs/>
                <w:lang w:val="en"/>
              </w:rPr>
              <w:t>Data Scale</w:t>
            </w:r>
          </w:p>
        </w:tc>
        <w:tc>
          <w:tcPr>
            <w:tcW w:w="4508" w:type="dxa"/>
            <w:gridSpan w:val="2"/>
            <w:tcBorders>
              <w:left w:val="nil"/>
              <w:right w:val="nil"/>
            </w:tcBorders>
          </w:tcPr>
          <w:p w14:paraId="51ECD86E" w14:textId="77777777" w:rsidR="00B13C1A" w:rsidRPr="00B13C1A" w:rsidRDefault="00B13C1A" w:rsidP="00B13C1A">
            <w:pPr>
              <w:pStyle w:val="IEEEParagraph"/>
              <w:spacing w:line="23" w:lineRule="atLeast"/>
              <w:jc w:val="center"/>
              <w:rPr>
                <w:rFonts w:asciiTheme="majorHAnsi" w:hAnsiTheme="majorHAnsi"/>
                <w:b/>
                <w:bCs/>
                <w:lang w:val="en"/>
              </w:rPr>
            </w:pPr>
            <w:r w:rsidRPr="00B13C1A">
              <w:rPr>
                <w:rFonts w:asciiTheme="majorHAnsi" w:hAnsiTheme="majorHAnsi"/>
                <w:b/>
                <w:bCs/>
                <w:lang w:val="en"/>
              </w:rPr>
              <w:t>Category</w:t>
            </w:r>
          </w:p>
        </w:tc>
      </w:tr>
      <w:tr w:rsidR="00B13C1A" w:rsidRPr="00B13C1A" w14:paraId="31372481" w14:textId="77777777" w:rsidTr="00585E66">
        <w:tc>
          <w:tcPr>
            <w:tcW w:w="3260" w:type="dxa"/>
            <w:vMerge w:val="restart"/>
            <w:tcBorders>
              <w:right w:val="nil"/>
            </w:tcBorders>
          </w:tcPr>
          <w:p w14:paraId="277730C8"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Guarantee Document (X1.1)</w:t>
            </w:r>
          </w:p>
        </w:tc>
        <w:tc>
          <w:tcPr>
            <w:tcW w:w="1417" w:type="dxa"/>
            <w:vMerge w:val="restart"/>
            <w:tcBorders>
              <w:left w:val="nil"/>
              <w:right w:val="nil"/>
            </w:tcBorders>
          </w:tcPr>
          <w:p w14:paraId="2297384F"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Ordianal</w:t>
            </w:r>
          </w:p>
        </w:tc>
        <w:tc>
          <w:tcPr>
            <w:tcW w:w="3402" w:type="dxa"/>
            <w:tcBorders>
              <w:left w:val="nil"/>
              <w:right w:val="nil"/>
            </w:tcBorders>
          </w:tcPr>
          <w:p w14:paraId="1E57E566"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Other</w:t>
            </w:r>
          </w:p>
        </w:tc>
        <w:tc>
          <w:tcPr>
            <w:tcW w:w="1106" w:type="dxa"/>
            <w:tcBorders>
              <w:left w:val="nil"/>
            </w:tcBorders>
          </w:tcPr>
          <w:p w14:paraId="2D084476"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5D1689A9" w14:textId="77777777" w:rsidTr="00585E66">
        <w:tc>
          <w:tcPr>
            <w:tcW w:w="3260" w:type="dxa"/>
            <w:vMerge/>
            <w:tcBorders>
              <w:right w:val="nil"/>
            </w:tcBorders>
          </w:tcPr>
          <w:p w14:paraId="2B804733"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73383D4D"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4F94A1A4"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Parent SHM / Main SHGB</w:t>
            </w:r>
          </w:p>
        </w:tc>
        <w:tc>
          <w:tcPr>
            <w:tcW w:w="1106" w:type="dxa"/>
            <w:tcBorders>
              <w:left w:val="nil"/>
            </w:tcBorders>
          </w:tcPr>
          <w:p w14:paraId="1409F55C"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6EAE733E" w14:textId="77777777" w:rsidTr="00585E66">
        <w:tc>
          <w:tcPr>
            <w:tcW w:w="3260" w:type="dxa"/>
            <w:vMerge/>
            <w:tcBorders>
              <w:right w:val="nil"/>
            </w:tcBorders>
          </w:tcPr>
          <w:p w14:paraId="44ABFDEC"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1539254C"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4C5890ED"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SHGB</w:t>
            </w:r>
          </w:p>
        </w:tc>
        <w:tc>
          <w:tcPr>
            <w:tcW w:w="1106" w:type="dxa"/>
            <w:tcBorders>
              <w:left w:val="nil"/>
            </w:tcBorders>
          </w:tcPr>
          <w:p w14:paraId="7CBCB666"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3</w:t>
            </w:r>
          </w:p>
        </w:tc>
      </w:tr>
      <w:tr w:rsidR="00B13C1A" w:rsidRPr="00B13C1A" w14:paraId="2358FDC9" w14:textId="77777777" w:rsidTr="00585E66">
        <w:tc>
          <w:tcPr>
            <w:tcW w:w="3260" w:type="dxa"/>
            <w:vMerge/>
            <w:tcBorders>
              <w:right w:val="nil"/>
            </w:tcBorders>
          </w:tcPr>
          <w:p w14:paraId="35880C08"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3F426825"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71A23A17"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SHM</w:t>
            </w:r>
          </w:p>
        </w:tc>
        <w:tc>
          <w:tcPr>
            <w:tcW w:w="1106" w:type="dxa"/>
            <w:tcBorders>
              <w:left w:val="nil"/>
            </w:tcBorders>
          </w:tcPr>
          <w:p w14:paraId="779B7EB6"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4</w:t>
            </w:r>
          </w:p>
        </w:tc>
      </w:tr>
      <w:tr w:rsidR="00B13C1A" w:rsidRPr="00B13C1A" w14:paraId="56B6B870" w14:textId="77777777" w:rsidTr="00585E66">
        <w:tc>
          <w:tcPr>
            <w:tcW w:w="3260" w:type="dxa"/>
            <w:vMerge w:val="restart"/>
            <w:tcBorders>
              <w:right w:val="nil"/>
            </w:tcBorders>
          </w:tcPr>
          <w:p w14:paraId="280CD0A0"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Education (X1.2)</w:t>
            </w:r>
          </w:p>
        </w:tc>
        <w:tc>
          <w:tcPr>
            <w:tcW w:w="1417" w:type="dxa"/>
            <w:vMerge w:val="restart"/>
            <w:tcBorders>
              <w:left w:val="nil"/>
              <w:right w:val="nil"/>
            </w:tcBorders>
          </w:tcPr>
          <w:p w14:paraId="0EAC6458"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Ordinal</w:t>
            </w:r>
          </w:p>
        </w:tc>
        <w:tc>
          <w:tcPr>
            <w:tcW w:w="3402" w:type="dxa"/>
            <w:tcBorders>
              <w:left w:val="nil"/>
              <w:right w:val="nil"/>
            </w:tcBorders>
          </w:tcPr>
          <w:p w14:paraId="06922BC2"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SD, SMP, SMA</w:t>
            </w:r>
          </w:p>
        </w:tc>
        <w:tc>
          <w:tcPr>
            <w:tcW w:w="1106" w:type="dxa"/>
            <w:tcBorders>
              <w:left w:val="nil"/>
            </w:tcBorders>
          </w:tcPr>
          <w:p w14:paraId="30A57643"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407D87C1" w14:textId="77777777" w:rsidTr="00585E66">
        <w:tc>
          <w:tcPr>
            <w:tcW w:w="3260" w:type="dxa"/>
            <w:vMerge/>
            <w:tcBorders>
              <w:right w:val="nil"/>
            </w:tcBorders>
          </w:tcPr>
          <w:p w14:paraId="3ACE8132"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1F3F3335"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569C3C23"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Diploma</w:t>
            </w:r>
          </w:p>
        </w:tc>
        <w:tc>
          <w:tcPr>
            <w:tcW w:w="1106" w:type="dxa"/>
            <w:tcBorders>
              <w:left w:val="nil"/>
            </w:tcBorders>
          </w:tcPr>
          <w:p w14:paraId="42BBFA49"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2D2766E8" w14:textId="77777777" w:rsidTr="00585E66">
        <w:tc>
          <w:tcPr>
            <w:tcW w:w="3260" w:type="dxa"/>
            <w:vMerge/>
            <w:tcBorders>
              <w:right w:val="nil"/>
            </w:tcBorders>
          </w:tcPr>
          <w:p w14:paraId="2ACDCAA9"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33E47D2D"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5FA301A2"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S1,S2,S3</w:t>
            </w:r>
          </w:p>
        </w:tc>
        <w:tc>
          <w:tcPr>
            <w:tcW w:w="1106" w:type="dxa"/>
            <w:tcBorders>
              <w:left w:val="nil"/>
            </w:tcBorders>
          </w:tcPr>
          <w:p w14:paraId="0B829F56"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3</w:t>
            </w:r>
          </w:p>
        </w:tc>
      </w:tr>
      <w:tr w:rsidR="00B13C1A" w:rsidRPr="00B13C1A" w14:paraId="0A0B23E3" w14:textId="77777777" w:rsidTr="00585E66">
        <w:tc>
          <w:tcPr>
            <w:tcW w:w="3260" w:type="dxa"/>
            <w:vMerge w:val="restart"/>
            <w:tcBorders>
              <w:right w:val="nil"/>
            </w:tcBorders>
          </w:tcPr>
          <w:p w14:paraId="5BA3A2C1"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Collectability Status (X1.3)</w:t>
            </w:r>
          </w:p>
        </w:tc>
        <w:tc>
          <w:tcPr>
            <w:tcW w:w="1417" w:type="dxa"/>
            <w:vMerge w:val="restart"/>
            <w:tcBorders>
              <w:left w:val="nil"/>
              <w:right w:val="nil"/>
            </w:tcBorders>
          </w:tcPr>
          <w:p w14:paraId="2FA7A31A"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Ordinal</w:t>
            </w:r>
          </w:p>
        </w:tc>
        <w:tc>
          <w:tcPr>
            <w:tcW w:w="3402" w:type="dxa"/>
            <w:tcBorders>
              <w:left w:val="nil"/>
              <w:right w:val="nil"/>
            </w:tcBorders>
          </w:tcPr>
          <w:p w14:paraId="4D28DFE1"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In Special Attention</w:t>
            </w:r>
          </w:p>
        </w:tc>
        <w:tc>
          <w:tcPr>
            <w:tcW w:w="1106" w:type="dxa"/>
            <w:tcBorders>
              <w:left w:val="nil"/>
            </w:tcBorders>
          </w:tcPr>
          <w:p w14:paraId="3421A6DC"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7C7DF062" w14:textId="77777777" w:rsidTr="00585E66">
        <w:tc>
          <w:tcPr>
            <w:tcW w:w="3260" w:type="dxa"/>
            <w:vMerge/>
            <w:tcBorders>
              <w:right w:val="nil"/>
            </w:tcBorders>
          </w:tcPr>
          <w:p w14:paraId="686C6666"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21A133F8"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40536D90"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Fluent</w:t>
            </w:r>
          </w:p>
        </w:tc>
        <w:tc>
          <w:tcPr>
            <w:tcW w:w="1106" w:type="dxa"/>
            <w:tcBorders>
              <w:left w:val="nil"/>
            </w:tcBorders>
          </w:tcPr>
          <w:p w14:paraId="5B9EF731"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37298A28" w14:textId="77777777" w:rsidTr="00585E66">
        <w:tc>
          <w:tcPr>
            <w:tcW w:w="3260" w:type="dxa"/>
            <w:vMerge w:val="restart"/>
            <w:tcBorders>
              <w:right w:val="nil"/>
            </w:tcBorders>
          </w:tcPr>
          <w:p w14:paraId="067BDACA"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Work Experience (X1.4)</w:t>
            </w:r>
          </w:p>
        </w:tc>
        <w:tc>
          <w:tcPr>
            <w:tcW w:w="1417" w:type="dxa"/>
            <w:vMerge w:val="restart"/>
            <w:tcBorders>
              <w:left w:val="nil"/>
              <w:right w:val="nil"/>
            </w:tcBorders>
          </w:tcPr>
          <w:p w14:paraId="58851C2C"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Ordinal</w:t>
            </w:r>
          </w:p>
        </w:tc>
        <w:tc>
          <w:tcPr>
            <w:tcW w:w="3402" w:type="dxa"/>
            <w:tcBorders>
              <w:left w:val="nil"/>
              <w:right w:val="nil"/>
            </w:tcBorders>
          </w:tcPr>
          <w:p w14:paraId="0596A4F2" w14:textId="08E0CF9B"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≤3</m:t>
              </m:r>
            </m:oMath>
            <w:r w:rsidRPr="00B13C1A">
              <w:rPr>
                <w:rFonts w:asciiTheme="majorHAnsi" w:hAnsiTheme="majorHAnsi"/>
                <w:lang w:val="en"/>
              </w:rPr>
              <w:t>Year</w:t>
            </w:r>
          </w:p>
        </w:tc>
        <w:tc>
          <w:tcPr>
            <w:tcW w:w="1106" w:type="dxa"/>
            <w:tcBorders>
              <w:left w:val="nil"/>
            </w:tcBorders>
          </w:tcPr>
          <w:p w14:paraId="7F428D09"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59506868" w14:textId="77777777" w:rsidTr="00585E66">
        <w:tc>
          <w:tcPr>
            <w:tcW w:w="3260" w:type="dxa"/>
            <w:vMerge/>
            <w:tcBorders>
              <w:right w:val="nil"/>
            </w:tcBorders>
          </w:tcPr>
          <w:p w14:paraId="4FA5EBFC"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2B5AF904"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5C0FD974" w14:textId="30483ED8"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&gt;3 - ≤6</m:t>
              </m:r>
            </m:oMath>
            <w:r w:rsidRPr="00B13C1A">
              <w:rPr>
                <w:rFonts w:asciiTheme="majorHAnsi" w:hAnsiTheme="majorHAnsi"/>
                <w:lang w:val="en"/>
              </w:rPr>
              <w:t>Year</w:t>
            </w:r>
          </w:p>
        </w:tc>
        <w:tc>
          <w:tcPr>
            <w:tcW w:w="1106" w:type="dxa"/>
            <w:tcBorders>
              <w:left w:val="nil"/>
            </w:tcBorders>
          </w:tcPr>
          <w:p w14:paraId="67163086"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58940BAC" w14:textId="77777777" w:rsidTr="00585E66">
        <w:tc>
          <w:tcPr>
            <w:tcW w:w="3260" w:type="dxa"/>
            <w:vMerge/>
            <w:tcBorders>
              <w:right w:val="nil"/>
            </w:tcBorders>
          </w:tcPr>
          <w:p w14:paraId="7CC254EA"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46408DDE"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358F570A" w14:textId="32462382"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&gt;6 - ≤12</m:t>
              </m:r>
            </m:oMath>
            <w:r w:rsidRPr="00B13C1A">
              <w:rPr>
                <w:rFonts w:asciiTheme="majorHAnsi" w:hAnsiTheme="majorHAnsi"/>
                <w:lang w:val="en"/>
              </w:rPr>
              <w:t>Year</w:t>
            </w:r>
          </w:p>
        </w:tc>
        <w:tc>
          <w:tcPr>
            <w:tcW w:w="1106" w:type="dxa"/>
            <w:tcBorders>
              <w:left w:val="nil"/>
            </w:tcBorders>
          </w:tcPr>
          <w:p w14:paraId="570AE8DB"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3</w:t>
            </w:r>
          </w:p>
        </w:tc>
      </w:tr>
      <w:tr w:rsidR="00B13C1A" w:rsidRPr="00B13C1A" w14:paraId="7BD3E01E" w14:textId="77777777" w:rsidTr="00585E66">
        <w:tc>
          <w:tcPr>
            <w:tcW w:w="3260" w:type="dxa"/>
            <w:vMerge/>
            <w:tcBorders>
              <w:right w:val="nil"/>
            </w:tcBorders>
          </w:tcPr>
          <w:p w14:paraId="4290B7D3"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44E8FA89"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38E02E4A" w14:textId="2020FC2E"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&gt;12 - ≤18</m:t>
              </m:r>
            </m:oMath>
            <w:r w:rsidRPr="00B13C1A">
              <w:rPr>
                <w:rFonts w:asciiTheme="majorHAnsi" w:hAnsiTheme="majorHAnsi"/>
                <w:lang w:val="en"/>
              </w:rPr>
              <w:t>Year</w:t>
            </w:r>
          </w:p>
        </w:tc>
        <w:tc>
          <w:tcPr>
            <w:tcW w:w="1106" w:type="dxa"/>
            <w:tcBorders>
              <w:left w:val="nil"/>
            </w:tcBorders>
          </w:tcPr>
          <w:p w14:paraId="0B5CA288"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4</w:t>
            </w:r>
          </w:p>
        </w:tc>
      </w:tr>
      <w:tr w:rsidR="00B13C1A" w:rsidRPr="00B13C1A" w14:paraId="3034E7DE" w14:textId="77777777" w:rsidTr="00585E66">
        <w:tc>
          <w:tcPr>
            <w:tcW w:w="3260" w:type="dxa"/>
            <w:vMerge/>
            <w:tcBorders>
              <w:right w:val="nil"/>
            </w:tcBorders>
          </w:tcPr>
          <w:p w14:paraId="0A49DF41"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4F0679EF"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46809DF1" w14:textId="71411C48"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&gt;18 - ≤20</m:t>
              </m:r>
            </m:oMath>
            <w:r w:rsidRPr="00B13C1A">
              <w:rPr>
                <w:rFonts w:asciiTheme="majorHAnsi" w:hAnsiTheme="majorHAnsi"/>
                <w:lang w:val="en"/>
              </w:rPr>
              <w:t>Year</w:t>
            </w:r>
          </w:p>
        </w:tc>
        <w:tc>
          <w:tcPr>
            <w:tcW w:w="1106" w:type="dxa"/>
            <w:tcBorders>
              <w:left w:val="nil"/>
            </w:tcBorders>
          </w:tcPr>
          <w:p w14:paraId="4F37F167"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5</w:t>
            </w:r>
          </w:p>
        </w:tc>
      </w:tr>
      <w:tr w:rsidR="00B13C1A" w:rsidRPr="00B13C1A" w14:paraId="245A331F" w14:textId="77777777" w:rsidTr="00585E66">
        <w:tc>
          <w:tcPr>
            <w:tcW w:w="3260" w:type="dxa"/>
            <w:vMerge/>
            <w:tcBorders>
              <w:right w:val="nil"/>
            </w:tcBorders>
          </w:tcPr>
          <w:p w14:paraId="78AFF541"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1160B501"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460C9A8A" w14:textId="5869E880"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&gt;20</m:t>
              </m:r>
            </m:oMath>
            <w:r w:rsidRPr="00B13C1A">
              <w:rPr>
                <w:rFonts w:asciiTheme="majorHAnsi" w:hAnsiTheme="majorHAnsi"/>
                <w:lang w:val="en"/>
              </w:rPr>
              <w:t>Year</w:t>
            </w:r>
          </w:p>
        </w:tc>
        <w:tc>
          <w:tcPr>
            <w:tcW w:w="1106" w:type="dxa"/>
            <w:tcBorders>
              <w:left w:val="nil"/>
            </w:tcBorders>
          </w:tcPr>
          <w:p w14:paraId="6C917C4B"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6</w:t>
            </w:r>
          </w:p>
        </w:tc>
      </w:tr>
      <w:tr w:rsidR="00B13C1A" w:rsidRPr="00B13C1A" w14:paraId="31A35DB8" w14:textId="77777777" w:rsidTr="00585E66">
        <w:tc>
          <w:tcPr>
            <w:tcW w:w="3260" w:type="dxa"/>
            <w:vMerge w:val="restart"/>
            <w:tcBorders>
              <w:right w:val="nil"/>
            </w:tcBorders>
          </w:tcPr>
          <w:p w14:paraId="3367F910"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Joint Income (X1.5)</w:t>
            </w:r>
          </w:p>
        </w:tc>
        <w:tc>
          <w:tcPr>
            <w:tcW w:w="1417" w:type="dxa"/>
            <w:vMerge w:val="restart"/>
            <w:tcBorders>
              <w:left w:val="nil"/>
              <w:right w:val="nil"/>
            </w:tcBorders>
          </w:tcPr>
          <w:p w14:paraId="36CABB9F"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Ordinal</w:t>
            </w:r>
          </w:p>
        </w:tc>
        <w:tc>
          <w:tcPr>
            <w:tcW w:w="3402" w:type="dxa"/>
            <w:tcBorders>
              <w:left w:val="nil"/>
              <w:right w:val="nil"/>
            </w:tcBorders>
          </w:tcPr>
          <w:p w14:paraId="1A8C9051"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Non-joint income</w:t>
            </w:r>
          </w:p>
        </w:tc>
        <w:tc>
          <w:tcPr>
            <w:tcW w:w="1106" w:type="dxa"/>
            <w:tcBorders>
              <w:left w:val="nil"/>
            </w:tcBorders>
          </w:tcPr>
          <w:p w14:paraId="1D8926D4"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4CC78464" w14:textId="77777777" w:rsidTr="00585E66">
        <w:tc>
          <w:tcPr>
            <w:tcW w:w="3260" w:type="dxa"/>
            <w:vMerge/>
            <w:tcBorders>
              <w:right w:val="nil"/>
            </w:tcBorders>
          </w:tcPr>
          <w:p w14:paraId="634F395A"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715825E8"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5DB32AEB"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Have joint income</w:t>
            </w:r>
          </w:p>
        </w:tc>
        <w:tc>
          <w:tcPr>
            <w:tcW w:w="1106" w:type="dxa"/>
            <w:tcBorders>
              <w:left w:val="nil"/>
            </w:tcBorders>
          </w:tcPr>
          <w:p w14:paraId="3D825A1B"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0FAC16BB" w14:textId="77777777" w:rsidTr="00585E66">
        <w:tc>
          <w:tcPr>
            <w:tcW w:w="3260" w:type="dxa"/>
            <w:vMerge w:val="restart"/>
            <w:tcBorders>
              <w:right w:val="nil"/>
            </w:tcBorders>
          </w:tcPr>
          <w:p w14:paraId="1D2ECE37" w14:textId="77777777" w:rsidR="00B13C1A" w:rsidRPr="00B13C1A" w:rsidRDefault="00B13C1A" w:rsidP="00B13C1A">
            <w:pPr>
              <w:pStyle w:val="IEEEParagraph"/>
              <w:spacing w:line="23" w:lineRule="atLeast"/>
              <w:ind w:firstLine="0"/>
              <w:jc w:val="left"/>
              <w:rPr>
                <w:rFonts w:asciiTheme="majorHAnsi" w:hAnsiTheme="majorHAnsi"/>
                <w:lang w:val="en"/>
              </w:rPr>
            </w:pPr>
            <w:r w:rsidRPr="00B13C1A">
              <w:rPr>
                <w:rFonts w:asciiTheme="majorHAnsi" w:hAnsiTheme="majorHAnsi"/>
                <w:lang w:val="en"/>
              </w:rPr>
              <w:t>RPA (Instalment Income Ratio) (X1.6)</w:t>
            </w:r>
          </w:p>
        </w:tc>
        <w:tc>
          <w:tcPr>
            <w:tcW w:w="1417" w:type="dxa"/>
            <w:vMerge w:val="restart"/>
            <w:tcBorders>
              <w:left w:val="nil"/>
              <w:right w:val="nil"/>
            </w:tcBorders>
          </w:tcPr>
          <w:p w14:paraId="27A9DE50"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Ordinal</w:t>
            </w:r>
          </w:p>
        </w:tc>
        <w:tc>
          <w:tcPr>
            <w:tcW w:w="3402" w:type="dxa"/>
            <w:tcBorders>
              <w:left w:val="nil"/>
              <w:right w:val="nil"/>
            </w:tcBorders>
          </w:tcPr>
          <w:p w14:paraId="3AC25DBB" w14:textId="6D27AB13"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≤1,5</m:t>
              </m:r>
            </m:oMath>
            <w:r w:rsidRPr="00B13C1A">
              <w:rPr>
                <w:rFonts w:asciiTheme="majorHAnsi" w:hAnsiTheme="majorHAnsi"/>
                <w:lang w:val="en"/>
              </w:rPr>
              <w:t>Million</w:t>
            </w:r>
          </w:p>
        </w:tc>
        <w:tc>
          <w:tcPr>
            <w:tcW w:w="1106" w:type="dxa"/>
            <w:tcBorders>
              <w:left w:val="nil"/>
            </w:tcBorders>
          </w:tcPr>
          <w:p w14:paraId="4D92B164"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2976B56C" w14:textId="77777777" w:rsidTr="00585E66">
        <w:tc>
          <w:tcPr>
            <w:tcW w:w="3260" w:type="dxa"/>
            <w:vMerge/>
            <w:tcBorders>
              <w:right w:val="nil"/>
            </w:tcBorders>
          </w:tcPr>
          <w:p w14:paraId="57F0CFC3"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4C5F3EC9"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7CF881C7" w14:textId="5811A7BC"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&gt;1,5 - ≤2</m:t>
              </m:r>
            </m:oMath>
            <w:r w:rsidRPr="00B13C1A">
              <w:rPr>
                <w:rFonts w:asciiTheme="majorHAnsi" w:hAnsiTheme="majorHAnsi"/>
                <w:lang w:val="en"/>
              </w:rPr>
              <w:t>Million</w:t>
            </w:r>
          </w:p>
        </w:tc>
        <w:tc>
          <w:tcPr>
            <w:tcW w:w="1106" w:type="dxa"/>
            <w:tcBorders>
              <w:left w:val="nil"/>
            </w:tcBorders>
          </w:tcPr>
          <w:p w14:paraId="6497AA8C"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2B47D41A" w14:textId="77777777" w:rsidTr="00585E66">
        <w:tc>
          <w:tcPr>
            <w:tcW w:w="3260" w:type="dxa"/>
            <w:vMerge/>
            <w:tcBorders>
              <w:right w:val="nil"/>
            </w:tcBorders>
          </w:tcPr>
          <w:p w14:paraId="4A1AADAD"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7C859D96"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2CFB783B" w14:textId="56270758"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&gt;2 - ≤2,5</m:t>
              </m:r>
            </m:oMath>
            <w:r w:rsidRPr="00B13C1A">
              <w:rPr>
                <w:rFonts w:asciiTheme="majorHAnsi" w:hAnsiTheme="majorHAnsi"/>
                <w:lang w:val="en"/>
              </w:rPr>
              <w:t>Million</w:t>
            </w:r>
          </w:p>
        </w:tc>
        <w:tc>
          <w:tcPr>
            <w:tcW w:w="1106" w:type="dxa"/>
            <w:tcBorders>
              <w:left w:val="nil"/>
            </w:tcBorders>
          </w:tcPr>
          <w:p w14:paraId="46404946"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3</w:t>
            </w:r>
          </w:p>
        </w:tc>
      </w:tr>
      <w:tr w:rsidR="00B13C1A" w:rsidRPr="00B13C1A" w14:paraId="1D011015" w14:textId="77777777" w:rsidTr="00585E66">
        <w:tc>
          <w:tcPr>
            <w:tcW w:w="3260" w:type="dxa"/>
            <w:vMerge/>
            <w:tcBorders>
              <w:right w:val="nil"/>
            </w:tcBorders>
          </w:tcPr>
          <w:p w14:paraId="7DA0C2D5"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1B5F59F8"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340B4AD9" w14:textId="0044E9AD"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&gt;2,5 - ≤3</m:t>
              </m:r>
            </m:oMath>
            <w:r w:rsidRPr="00B13C1A">
              <w:rPr>
                <w:rFonts w:asciiTheme="majorHAnsi" w:hAnsiTheme="majorHAnsi"/>
                <w:lang w:val="en"/>
              </w:rPr>
              <w:t>Million</w:t>
            </w:r>
          </w:p>
        </w:tc>
        <w:tc>
          <w:tcPr>
            <w:tcW w:w="1106" w:type="dxa"/>
            <w:tcBorders>
              <w:left w:val="nil"/>
            </w:tcBorders>
          </w:tcPr>
          <w:p w14:paraId="304332D0"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4</w:t>
            </w:r>
          </w:p>
        </w:tc>
      </w:tr>
      <w:tr w:rsidR="00B13C1A" w:rsidRPr="00B13C1A" w14:paraId="3E4D3C78" w14:textId="77777777" w:rsidTr="00585E66">
        <w:tc>
          <w:tcPr>
            <w:tcW w:w="3260" w:type="dxa"/>
            <w:vMerge/>
            <w:tcBorders>
              <w:right w:val="nil"/>
            </w:tcBorders>
          </w:tcPr>
          <w:p w14:paraId="4CD2CA26"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4DA1E972"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5785ABDB" w14:textId="1F49869D"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&gt;3</m:t>
              </m:r>
            </m:oMath>
            <w:r w:rsidRPr="00B13C1A">
              <w:rPr>
                <w:rFonts w:asciiTheme="majorHAnsi" w:hAnsiTheme="majorHAnsi"/>
                <w:lang w:val="en"/>
              </w:rPr>
              <w:t>Million</w:t>
            </w:r>
          </w:p>
        </w:tc>
        <w:tc>
          <w:tcPr>
            <w:tcW w:w="1106" w:type="dxa"/>
            <w:tcBorders>
              <w:left w:val="nil"/>
            </w:tcBorders>
          </w:tcPr>
          <w:p w14:paraId="3E1ECA8C"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5</w:t>
            </w:r>
          </w:p>
        </w:tc>
      </w:tr>
      <w:tr w:rsidR="00B13C1A" w:rsidRPr="00B13C1A" w14:paraId="266F2C84" w14:textId="77777777" w:rsidTr="00585E66">
        <w:tc>
          <w:tcPr>
            <w:tcW w:w="3260" w:type="dxa"/>
            <w:vMerge w:val="restart"/>
            <w:tcBorders>
              <w:right w:val="nil"/>
            </w:tcBorders>
          </w:tcPr>
          <w:p w14:paraId="341598BE" w14:textId="77777777" w:rsidR="00B13C1A" w:rsidRPr="00B13C1A" w:rsidRDefault="00B13C1A" w:rsidP="00B13C1A">
            <w:pPr>
              <w:pStyle w:val="IEEEParagraph"/>
              <w:spacing w:line="23" w:lineRule="atLeast"/>
              <w:ind w:firstLine="0"/>
              <w:jc w:val="left"/>
              <w:rPr>
                <w:rFonts w:asciiTheme="majorHAnsi" w:hAnsiTheme="majorHAnsi"/>
                <w:lang w:val="en"/>
              </w:rPr>
            </w:pPr>
            <w:r w:rsidRPr="00B13C1A">
              <w:rPr>
                <w:rFonts w:asciiTheme="majorHAnsi" w:hAnsiTheme="majorHAnsi"/>
                <w:lang w:val="en"/>
              </w:rPr>
              <w:t>Form of Business Entity (X1.7)</w:t>
            </w:r>
          </w:p>
        </w:tc>
        <w:tc>
          <w:tcPr>
            <w:tcW w:w="1417" w:type="dxa"/>
            <w:vMerge w:val="restart"/>
            <w:tcBorders>
              <w:left w:val="nil"/>
              <w:right w:val="nil"/>
            </w:tcBorders>
          </w:tcPr>
          <w:p w14:paraId="3B918000"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Ordinal</w:t>
            </w:r>
          </w:p>
        </w:tc>
        <w:tc>
          <w:tcPr>
            <w:tcW w:w="3402" w:type="dxa"/>
            <w:tcBorders>
              <w:left w:val="nil"/>
              <w:right w:val="nil"/>
            </w:tcBorders>
          </w:tcPr>
          <w:p w14:paraId="57E844B5"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Other</w:t>
            </w:r>
          </w:p>
        </w:tc>
        <w:tc>
          <w:tcPr>
            <w:tcW w:w="1106" w:type="dxa"/>
            <w:tcBorders>
              <w:left w:val="nil"/>
            </w:tcBorders>
          </w:tcPr>
          <w:p w14:paraId="04A0C340"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6EF468BA" w14:textId="77777777" w:rsidTr="00585E66">
        <w:tc>
          <w:tcPr>
            <w:tcW w:w="3260" w:type="dxa"/>
            <w:vMerge/>
            <w:tcBorders>
              <w:right w:val="nil"/>
            </w:tcBorders>
          </w:tcPr>
          <w:p w14:paraId="120B9B9F"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625DEA2B"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47ED516E"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PERUM, PERSERO</w:t>
            </w:r>
          </w:p>
        </w:tc>
        <w:tc>
          <w:tcPr>
            <w:tcW w:w="1106" w:type="dxa"/>
            <w:tcBorders>
              <w:left w:val="nil"/>
            </w:tcBorders>
          </w:tcPr>
          <w:p w14:paraId="7659D2AF"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371BBDF4" w14:textId="77777777" w:rsidTr="00585E66">
        <w:tc>
          <w:tcPr>
            <w:tcW w:w="3260" w:type="dxa"/>
            <w:vMerge/>
            <w:tcBorders>
              <w:right w:val="nil"/>
            </w:tcBorders>
          </w:tcPr>
          <w:p w14:paraId="316289CD"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2C4D5C69"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2EDEE0F1"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PT Non Tbk</w:t>
            </w:r>
          </w:p>
        </w:tc>
        <w:tc>
          <w:tcPr>
            <w:tcW w:w="1106" w:type="dxa"/>
            <w:tcBorders>
              <w:left w:val="nil"/>
            </w:tcBorders>
          </w:tcPr>
          <w:p w14:paraId="37684B41"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3</w:t>
            </w:r>
          </w:p>
        </w:tc>
      </w:tr>
      <w:tr w:rsidR="00B13C1A" w:rsidRPr="00B13C1A" w14:paraId="0FD737FE" w14:textId="77777777" w:rsidTr="00585E66">
        <w:tc>
          <w:tcPr>
            <w:tcW w:w="3260" w:type="dxa"/>
            <w:vMerge w:val="restart"/>
            <w:tcBorders>
              <w:right w:val="nil"/>
            </w:tcBorders>
          </w:tcPr>
          <w:p w14:paraId="3E52FC1A"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Credit Term (X1.8)</w:t>
            </w:r>
          </w:p>
        </w:tc>
        <w:tc>
          <w:tcPr>
            <w:tcW w:w="1417" w:type="dxa"/>
            <w:vMerge w:val="restart"/>
            <w:tcBorders>
              <w:left w:val="nil"/>
              <w:right w:val="nil"/>
            </w:tcBorders>
          </w:tcPr>
          <w:p w14:paraId="109E4FB5" w14:textId="5CFF2CE0" w:rsidR="00B13C1A" w:rsidRPr="00B13C1A" w:rsidRDefault="00B13C1A" w:rsidP="00B13C1A">
            <w:pPr>
              <w:pStyle w:val="IEEEParagraph"/>
              <w:spacing w:line="23" w:lineRule="atLeast"/>
              <w:ind w:firstLine="0"/>
              <w:rPr>
                <w:rFonts w:asciiTheme="majorHAnsi" w:hAnsiTheme="majorHAnsi"/>
                <w:lang w:val="en"/>
              </w:rPr>
            </w:pPr>
            <w:r>
              <w:rPr>
                <w:rFonts w:asciiTheme="majorHAnsi" w:hAnsiTheme="majorHAnsi"/>
                <w:lang w:val="en"/>
              </w:rPr>
              <w:t>O</w:t>
            </w:r>
            <w:r w:rsidRPr="00B13C1A">
              <w:rPr>
                <w:rFonts w:asciiTheme="majorHAnsi" w:hAnsiTheme="majorHAnsi"/>
                <w:lang w:val="en"/>
              </w:rPr>
              <w:t>rdinal</w:t>
            </w:r>
          </w:p>
        </w:tc>
        <w:tc>
          <w:tcPr>
            <w:tcW w:w="3402" w:type="dxa"/>
            <w:tcBorders>
              <w:left w:val="nil"/>
              <w:right w:val="nil"/>
            </w:tcBorders>
          </w:tcPr>
          <w:p w14:paraId="24649990" w14:textId="2F28463D"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&gt;240</m:t>
              </m:r>
            </m:oMath>
            <w:r w:rsidRPr="00B13C1A">
              <w:rPr>
                <w:rFonts w:asciiTheme="majorHAnsi" w:hAnsiTheme="majorHAnsi"/>
                <w:lang w:val="en"/>
              </w:rPr>
              <w:t>Month</w:t>
            </w:r>
          </w:p>
        </w:tc>
        <w:tc>
          <w:tcPr>
            <w:tcW w:w="1106" w:type="dxa"/>
            <w:tcBorders>
              <w:left w:val="nil"/>
            </w:tcBorders>
          </w:tcPr>
          <w:p w14:paraId="4263F5BD"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11E7AB69" w14:textId="77777777" w:rsidTr="00585E66">
        <w:tc>
          <w:tcPr>
            <w:tcW w:w="3260" w:type="dxa"/>
            <w:vMerge/>
            <w:tcBorders>
              <w:right w:val="nil"/>
            </w:tcBorders>
          </w:tcPr>
          <w:p w14:paraId="4E8BC711"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6360AF11"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0F28FB7E" w14:textId="31BA914B"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&gt;180 - ≤240</m:t>
              </m:r>
            </m:oMath>
            <w:r w:rsidRPr="00B13C1A">
              <w:rPr>
                <w:rFonts w:asciiTheme="majorHAnsi" w:hAnsiTheme="majorHAnsi"/>
                <w:lang w:val="en"/>
              </w:rPr>
              <w:t>Month</w:t>
            </w:r>
          </w:p>
        </w:tc>
        <w:tc>
          <w:tcPr>
            <w:tcW w:w="1106" w:type="dxa"/>
            <w:tcBorders>
              <w:left w:val="nil"/>
            </w:tcBorders>
          </w:tcPr>
          <w:p w14:paraId="3244BBDC"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102A2133" w14:textId="77777777" w:rsidTr="00585E66">
        <w:tc>
          <w:tcPr>
            <w:tcW w:w="3260" w:type="dxa"/>
            <w:vMerge/>
            <w:tcBorders>
              <w:right w:val="nil"/>
            </w:tcBorders>
          </w:tcPr>
          <w:p w14:paraId="7FA78F5E"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5A33FA24"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17100DA0" w14:textId="7DBD91EB"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&gt;120 - ≤180</m:t>
              </m:r>
            </m:oMath>
            <w:r w:rsidRPr="00B13C1A">
              <w:rPr>
                <w:rFonts w:asciiTheme="majorHAnsi" w:hAnsiTheme="majorHAnsi"/>
                <w:lang w:val="en"/>
              </w:rPr>
              <w:t>Month</w:t>
            </w:r>
          </w:p>
        </w:tc>
        <w:tc>
          <w:tcPr>
            <w:tcW w:w="1106" w:type="dxa"/>
            <w:tcBorders>
              <w:left w:val="nil"/>
            </w:tcBorders>
          </w:tcPr>
          <w:p w14:paraId="5DE75EBB"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3</w:t>
            </w:r>
          </w:p>
        </w:tc>
      </w:tr>
      <w:tr w:rsidR="00B13C1A" w:rsidRPr="00B13C1A" w14:paraId="65485D11" w14:textId="77777777" w:rsidTr="00585E66">
        <w:tc>
          <w:tcPr>
            <w:tcW w:w="3260" w:type="dxa"/>
            <w:vMerge/>
            <w:tcBorders>
              <w:right w:val="nil"/>
            </w:tcBorders>
          </w:tcPr>
          <w:p w14:paraId="3B485F45"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627BA751"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3CCEB2AE" w14:textId="01DF9FB4"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&gt;60 - ≤120</m:t>
              </m:r>
            </m:oMath>
            <w:r w:rsidRPr="00B13C1A">
              <w:rPr>
                <w:rFonts w:asciiTheme="majorHAnsi" w:hAnsiTheme="majorHAnsi"/>
                <w:lang w:val="en"/>
              </w:rPr>
              <w:t>Month</w:t>
            </w:r>
          </w:p>
        </w:tc>
        <w:tc>
          <w:tcPr>
            <w:tcW w:w="1106" w:type="dxa"/>
            <w:tcBorders>
              <w:left w:val="nil"/>
            </w:tcBorders>
          </w:tcPr>
          <w:p w14:paraId="60A99866"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4</w:t>
            </w:r>
          </w:p>
        </w:tc>
      </w:tr>
      <w:tr w:rsidR="00B13C1A" w:rsidRPr="00B13C1A" w14:paraId="6453DB4B" w14:textId="77777777" w:rsidTr="00585E66">
        <w:tc>
          <w:tcPr>
            <w:tcW w:w="3260" w:type="dxa"/>
            <w:vMerge/>
            <w:tcBorders>
              <w:right w:val="nil"/>
            </w:tcBorders>
          </w:tcPr>
          <w:p w14:paraId="2427311D"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0E93FA82"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5DFDFFF4" w14:textId="0E166953"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&gt;48 - ≤60</m:t>
              </m:r>
            </m:oMath>
            <w:r w:rsidRPr="00B13C1A">
              <w:rPr>
                <w:rFonts w:asciiTheme="majorHAnsi" w:hAnsiTheme="majorHAnsi"/>
                <w:lang w:val="en"/>
              </w:rPr>
              <w:t>Month</w:t>
            </w:r>
          </w:p>
        </w:tc>
        <w:tc>
          <w:tcPr>
            <w:tcW w:w="1106" w:type="dxa"/>
            <w:tcBorders>
              <w:left w:val="nil"/>
            </w:tcBorders>
          </w:tcPr>
          <w:p w14:paraId="74510C5A"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5</w:t>
            </w:r>
          </w:p>
        </w:tc>
      </w:tr>
      <w:tr w:rsidR="00B13C1A" w:rsidRPr="00B13C1A" w14:paraId="3A0D06C6" w14:textId="77777777" w:rsidTr="00585E66">
        <w:tc>
          <w:tcPr>
            <w:tcW w:w="3260" w:type="dxa"/>
            <w:vMerge/>
            <w:tcBorders>
              <w:right w:val="nil"/>
            </w:tcBorders>
          </w:tcPr>
          <w:p w14:paraId="0010BD2B"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1D35C3D6"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32A69879" w14:textId="23FA331B"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&gt;36 - ≤48</m:t>
              </m:r>
            </m:oMath>
            <w:r w:rsidRPr="00B13C1A">
              <w:rPr>
                <w:rFonts w:asciiTheme="majorHAnsi" w:hAnsiTheme="majorHAnsi"/>
                <w:lang w:val="en"/>
              </w:rPr>
              <w:t>Month</w:t>
            </w:r>
          </w:p>
        </w:tc>
        <w:tc>
          <w:tcPr>
            <w:tcW w:w="1106" w:type="dxa"/>
            <w:tcBorders>
              <w:left w:val="nil"/>
            </w:tcBorders>
          </w:tcPr>
          <w:p w14:paraId="3C34361F"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6</w:t>
            </w:r>
          </w:p>
        </w:tc>
      </w:tr>
      <w:tr w:rsidR="00B13C1A" w:rsidRPr="00B13C1A" w14:paraId="5786DBB2" w14:textId="77777777" w:rsidTr="00585E66">
        <w:tc>
          <w:tcPr>
            <w:tcW w:w="3260" w:type="dxa"/>
            <w:vMerge/>
            <w:tcBorders>
              <w:right w:val="nil"/>
            </w:tcBorders>
          </w:tcPr>
          <w:p w14:paraId="20C9A6A9"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730B54DE"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14C3C0B0" w14:textId="73C50BFA"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≤36</m:t>
              </m:r>
            </m:oMath>
            <w:r w:rsidRPr="00B13C1A">
              <w:rPr>
                <w:rFonts w:asciiTheme="majorHAnsi" w:hAnsiTheme="majorHAnsi"/>
                <w:lang w:val="en"/>
              </w:rPr>
              <w:t>Month</w:t>
            </w:r>
          </w:p>
        </w:tc>
        <w:tc>
          <w:tcPr>
            <w:tcW w:w="1106" w:type="dxa"/>
            <w:tcBorders>
              <w:left w:val="nil"/>
            </w:tcBorders>
          </w:tcPr>
          <w:p w14:paraId="34C3D31D"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7</w:t>
            </w:r>
          </w:p>
        </w:tc>
      </w:tr>
      <w:tr w:rsidR="00B13C1A" w:rsidRPr="00B13C1A" w14:paraId="5077CD21" w14:textId="77777777" w:rsidTr="00585E66">
        <w:tc>
          <w:tcPr>
            <w:tcW w:w="3260" w:type="dxa"/>
            <w:vMerge w:val="restart"/>
            <w:tcBorders>
              <w:right w:val="nil"/>
            </w:tcBorders>
          </w:tcPr>
          <w:p w14:paraId="6BA72589" w14:textId="77777777" w:rsidR="00B13C1A" w:rsidRPr="00B13C1A" w:rsidRDefault="00B13C1A" w:rsidP="00B13C1A">
            <w:pPr>
              <w:pStyle w:val="IEEEParagraph"/>
              <w:spacing w:line="23" w:lineRule="atLeast"/>
              <w:ind w:firstLine="0"/>
              <w:jc w:val="left"/>
              <w:rPr>
                <w:rFonts w:asciiTheme="majorHAnsi" w:hAnsiTheme="majorHAnsi"/>
                <w:lang w:val="en"/>
              </w:rPr>
            </w:pPr>
            <w:r w:rsidRPr="00B13C1A">
              <w:rPr>
                <w:rFonts w:asciiTheme="majorHAnsi" w:hAnsiTheme="majorHAnsi"/>
                <w:lang w:val="en"/>
              </w:rPr>
              <w:t>Number of Family Responsibilities (X1.9)</w:t>
            </w:r>
          </w:p>
        </w:tc>
        <w:tc>
          <w:tcPr>
            <w:tcW w:w="1417" w:type="dxa"/>
            <w:vMerge w:val="restart"/>
            <w:tcBorders>
              <w:left w:val="nil"/>
              <w:right w:val="nil"/>
            </w:tcBorders>
          </w:tcPr>
          <w:p w14:paraId="0657EBDD"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Ordinal</w:t>
            </w:r>
          </w:p>
        </w:tc>
        <w:tc>
          <w:tcPr>
            <w:tcW w:w="3402" w:type="dxa"/>
            <w:tcBorders>
              <w:left w:val="nil"/>
              <w:right w:val="nil"/>
            </w:tcBorders>
          </w:tcPr>
          <w:p w14:paraId="760030C2" w14:textId="0D5D5BE1"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&gt;2</m:t>
              </m:r>
            </m:oMath>
            <w:r w:rsidRPr="00B13C1A">
              <w:rPr>
                <w:rFonts w:asciiTheme="majorHAnsi" w:hAnsiTheme="majorHAnsi"/>
                <w:lang w:val="en"/>
              </w:rPr>
              <w:t>Person</w:t>
            </w:r>
          </w:p>
        </w:tc>
        <w:tc>
          <w:tcPr>
            <w:tcW w:w="1106" w:type="dxa"/>
            <w:tcBorders>
              <w:left w:val="nil"/>
            </w:tcBorders>
          </w:tcPr>
          <w:p w14:paraId="005B7A84"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3D890739" w14:textId="77777777" w:rsidTr="00585E66">
        <w:tc>
          <w:tcPr>
            <w:tcW w:w="3260" w:type="dxa"/>
            <w:vMerge/>
            <w:tcBorders>
              <w:right w:val="nil"/>
            </w:tcBorders>
          </w:tcPr>
          <w:p w14:paraId="1F054727"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28877511"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6FA2D51B"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2 persons</w:t>
            </w:r>
          </w:p>
        </w:tc>
        <w:tc>
          <w:tcPr>
            <w:tcW w:w="1106" w:type="dxa"/>
            <w:tcBorders>
              <w:left w:val="nil"/>
            </w:tcBorders>
          </w:tcPr>
          <w:p w14:paraId="54D65508"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225B2F05" w14:textId="77777777" w:rsidTr="00585E66">
        <w:tc>
          <w:tcPr>
            <w:tcW w:w="3260" w:type="dxa"/>
            <w:vMerge/>
            <w:tcBorders>
              <w:right w:val="nil"/>
            </w:tcBorders>
          </w:tcPr>
          <w:p w14:paraId="4CE6DE16"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4FE2DDAA"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4D5E9D45"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1 person</w:t>
            </w:r>
          </w:p>
        </w:tc>
        <w:tc>
          <w:tcPr>
            <w:tcW w:w="1106" w:type="dxa"/>
            <w:tcBorders>
              <w:left w:val="nil"/>
            </w:tcBorders>
          </w:tcPr>
          <w:p w14:paraId="41C44A17"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3</w:t>
            </w:r>
          </w:p>
        </w:tc>
      </w:tr>
      <w:tr w:rsidR="00B13C1A" w:rsidRPr="00B13C1A" w14:paraId="56135143" w14:textId="77777777" w:rsidTr="00585E66">
        <w:tc>
          <w:tcPr>
            <w:tcW w:w="3260" w:type="dxa"/>
            <w:vMerge/>
            <w:tcBorders>
              <w:right w:val="nil"/>
            </w:tcBorders>
          </w:tcPr>
          <w:p w14:paraId="1F27A46A"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4EDB48EE"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4D89A4CE"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0 People</w:t>
            </w:r>
          </w:p>
        </w:tc>
        <w:tc>
          <w:tcPr>
            <w:tcW w:w="1106" w:type="dxa"/>
            <w:tcBorders>
              <w:left w:val="nil"/>
            </w:tcBorders>
          </w:tcPr>
          <w:p w14:paraId="34846494"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4</w:t>
            </w:r>
          </w:p>
        </w:tc>
      </w:tr>
      <w:tr w:rsidR="00B13C1A" w:rsidRPr="00B13C1A" w14:paraId="5BC78669" w14:textId="77777777" w:rsidTr="00585E66">
        <w:tc>
          <w:tcPr>
            <w:tcW w:w="3260" w:type="dxa"/>
            <w:vMerge w:val="restart"/>
            <w:tcBorders>
              <w:right w:val="nil"/>
            </w:tcBorders>
          </w:tcPr>
          <w:p w14:paraId="3E216CD4"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Savings Ownership (X1.10)</w:t>
            </w:r>
          </w:p>
        </w:tc>
        <w:tc>
          <w:tcPr>
            <w:tcW w:w="1417" w:type="dxa"/>
            <w:vMerge w:val="restart"/>
            <w:tcBorders>
              <w:left w:val="nil"/>
              <w:right w:val="nil"/>
            </w:tcBorders>
          </w:tcPr>
          <w:p w14:paraId="2358D3AA"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Ordinal</w:t>
            </w:r>
          </w:p>
        </w:tc>
        <w:tc>
          <w:tcPr>
            <w:tcW w:w="3402" w:type="dxa"/>
            <w:tcBorders>
              <w:left w:val="nil"/>
              <w:right w:val="nil"/>
            </w:tcBorders>
          </w:tcPr>
          <w:p w14:paraId="21BCE1A6"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Do not have</w:t>
            </w:r>
          </w:p>
        </w:tc>
        <w:tc>
          <w:tcPr>
            <w:tcW w:w="1106" w:type="dxa"/>
            <w:tcBorders>
              <w:left w:val="nil"/>
            </w:tcBorders>
          </w:tcPr>
          <w:p w14:paraId="66295C51"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19E20391" w14:textId="77777777" w:rsidTr="00585E66">
        <w:tc>
          <w:tcPr>
            <w:tcW w:w="3260" w:type="dxa"/>
            <w:vMerge/>
            <w:tcBorders>
              <w:right w:val="nil"/>
            </w:tcBorders>
          </w:tcPr>
          <w:p w14:paraId="107C5512"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0CD84EBC"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615148CD"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Have Savings in Other Banks</w:t>
            </w:r>
          </w:p>
        </w:tc>
        <w:tc>
          <w:tcPr>
            <w:tcW w:w="1106" w:type="dxa"/>
            <w:tcBorders>
              <w:left w:val="nil"/>
            </w:tcBorders>
          </w:tcPr>
          <w:p w14:paraId="0662DDC2"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77BF431D" w14:textId="77777777" w:rsidTr="00585E66">
        <w:tc>
          <w:tcPr>
            <w:tcW w:w="3260" w:type="dxa"/>
            <w:vMerge/>
            <w:tcBorders>
              <w:right w:val="nil"/>
            </w:tcBorders>
          </w:tcPr>
          <w:p w14:paraId="0EAF8BF9"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7F998F11"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4112878C"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Have Savings</w:t>
            </w:r>
          </w:p>
        </w:tc>
        <w:tc>
          <w:tcPr>
            <w:tcW w:w="1106" w:type="dxa"/>
            <w:tcBorders>
              <w:left w:val="nil"/>
            </w:tcBorders>
          </w:tcPr>
          <w:p w14:paraId="7EE6CFCF"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3</w:t>
            </w:r>
          </w:p>
        </w:tc>
      </w:tr>
      <w:tr w:rsidR="00B13C1A" w:rsidRPr="00B13C1A" w14:paraId="13C498D1" w14:textId="77777777" w:rsidTr="00585E66">
        <w:tc>
          <w:tcPr>
            <w:tcW w:w="3260" w:type="dxa"/>
            <w:vMerge w:val="restart"/>
            <w:tcBorders>
              <w:right w:val="nil"/>
            </w:tcBorders>
          </w:tcPr>
          <w:p w14:paraId="7F7EA6BE"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Loan to Value (X1.11)</w:t>
            </w:r>
          </w:p>
        </w:tc>
        <w:tc>
          <w:tcPr>
            <w:tcW w:w="1417" w:type="dxa"/>
            <w:vMerge w:val="restart"/>
            <w:tcBorders>
              <w:left w:val="nil"/>
              <w:right w:val="nil"/>
            </w:tcBorders>
          </w:tcPr>
          <w:p w14:paraId="38CFC6ED" w14:textId="77777777" w:rsidR="00B13C1A" w:rsidRPr="00B13C1A" w:rsidRDefault="00B13C1A" w:rsidP="00B13C1A">
            <w:pPr>
              <w:pStyle w:val="IEEEParagraph"/>
              <w:spacing w:line="23" w:lineRule="atLeast"/>
              <w:ind w:firstLine="0"/>
              <w:rPr>
                <w:rFonts w:asciiTheme="majorHAnsi" w:hAnsiTheme="majorHAnsi"/>
                <w:lang w:val="en"/>
              </w:rPr>
            </w:pPr>
            <w:r w:rsidRPr="00B13C1A">
              <w:rPr>
                <w:rFonts w:asciiTheme="majorHAnsi" w:hAnsiTheme="majorHAnsi"/>
                <w:lang w:val="en"/>
              </w:rPr>
              <w:t>Ordinal</w:t>
            </w:r>
          </w:p>
        </w:tc>
        <w:tc>
          <w:tcPr>
            <w:tcW w:w="3402" w:type="dxa"/>
            <w:tcBorders>
              <w:left w:val="nil"/>
              <w:right w:val="nil"/>
            </w:tcBorders>
          </w:tcPr>
          <w:p w14:paraId="160F4E56" w14:textId="2EF33A48"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&gt;95%</m:t>
              </m:r>
            </m:oMath>
            <w:r w:rsidRPr="00B13C1A">
              <w:rPr>
                <w:rFonts w:asciiTheme="majorHAnsi" w:hAnsiTheme="majorHAnsi"/>
                <w:lang w:val="en"/>
              </w:rPr>
              <w:t xml:space="preserve"> </w:t>
            </w:r>
          </w:p>
        </w:tc>
        <w:tc>
          <w:tcPr>
            <w:tcW w:w="1106" w:type="dxa"/>
            <w:tcBorders>
              <w:left w:val="nil"/>
            </w:tcBorders>
          </w:tcPr>
          <w:p w14:paraId="643D03B8"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1</w:t>
            </w:r>
          </w:p>
        </w:tc>
      </w:tr>
      <w:tr w:rsidR="00B13C1A" w:rsidRPr="00B13C1A" w14:paraId="19DC7F87" w14:textId="77777777" w:rsidTr="00585E66">
        <w:tc>
          <w:tcPr>
            <w:tcW w:w="3260" w:type="dxa"/>
            <w:vMerge/>
            <w:tcBorders>
              <w:right w:val="nil"/>
            </w:tcBorders>
          </w:tcPr>
          <w:p w14:paraId="78273DC6"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1479C972"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1F31DF47" w14:textId="28FF723C"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&gt;90% - ≤95%</m:t>
              </m:r>
            </m:oMath>
            <w:r w:rsidRPr="00B13C1A">
              <w:rPr>
                <w:rFonts w:asciiTheme="majorHAnsi" w:hAnsiTheme="majorHAnsi"/>
                <w:lang w:val="en"/>
              </w:rPr>
              <w:t xml:space="preserve"> </w:t>
            </w:r>
          </w:p>
        </w:tc>
        <w:tc>
          <w:tcPr>
            <w:tcW w:w="1106" w:type="dxa"/>
            <w:tcBorders>
              <w:left w:val="nil"/>
            </w:tcBorders>
          </w:tcPr>
          <w:p w14:paraId="574F577F"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2</w:t>
            </w:r>
          </w:p>
        </w:tc>
      </w:tr>
      <w:tr w:rsidR="00B13C1A" w:rsidRPr="00B13C1A" w14:paraId="43C42345" w14:textId="77777777" w:rsidTr="00585E66">
        <w:tc>
          <w:tcPr>
            <w:tcW w:w="3260" w:type="dxa"/>
            <w:vMerge/>
            <w:tcBorders>
              <w:right w:val="nil"/>
            </w:tcBorders>
          </w:tcPr>
          <w:p w14:paraId="3B151018"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32174F72"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434FA361" w14:textId="02466398"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&gt;80% - ≤90%</m:t>
              </m:r>
            </m:oMath>
            <w:r w:rsidRPr="00B13C1A">
              <w:rPr>
                <w:rFonts w:asciiTheme="majorHAnsi" w:hAnsiTheme="majorHAnsi"/>
                <w:lang w:val="en"/>
              </w:rPr>
              <w:t xml:space="preserve"> </w:t>
            </w:r>
          </w:p>
        </w:tc>
        <w:tc>
          <w:tcPr>
            <w:tcW w:w="1106" w:type="dxa"/>
            <w:tcBorders>
              <w:left w:val="nil"/>
            </w:tcBorders>
          </w:tcPr>
          <w:p w14:paraId="613B8758"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3</w:t>
            </w:r>
          </w:p>
        </w:tc>
      </w:tr>
      <w:tr w:rsidR="00B13C1A" w:rsidRPr="00B13C1A" w14:paraId="61F5C496" w14:textId="77777777" w:rsidTr="00585E66">
        <w:tc>
          <w:tcPr>
            <w:tcW w:w="3260" w:type="dxa"/>
            <w:vMerge/>
            <w:tcBorders>
              <w:right w:val="nil"/>
            </w:tcBorders>
          </w:tcPr>
          <w:p w14:paraId="5689E1E9"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02AC8B4E"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3068D2C7" w14:textId="58538D68"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&gt;70% - ≤80%</m:t>
              </m:r>
            </m:oMath>
            <w:r w:rsidRPr="00B13C1A">
              <w:rPr>
                <w:rFonts w:asciiTheme="majorHAnsi" w:hAnsiTheme="majorHAnsi"/>
                <w:lang w:val="en"/>
              </w:rPr>
              <w:t xml:space="preserve"> </w:t>
            </w:r>
          </w:p>
        </w:tc>
        <w:tc>
          <w:tcPr>
            <w:tcW w:w="1106" w:type="dxa"/>
            <w:tcBorders>
              <w:left w:val="nil"/>
            </w:tcBorders>
          </w:tcPr>
          <w:p w14:paraId="406AF2EA"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4</w:t>
            </w:r>
          </w:p>
        </w:tc>
      </w:tr>
      <w:tr w:rsidR="00B13C1A" w:rsidRPr="00B13C1A" w14:paraId="7C10A733" w14:textId="77777777" w:rsidTr="00585E66">
        <w:tc>
          <w:tcPr>
            <w:tcW w:w="3260" w:type="dxa"/>
            <w:vMerge/>
            <w:tcBorders>
              <w:right w:val="nil"/>
            </w:tcBorders>
          </w:tcPr>
          <w:p w14:paraId="2C839692"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4F341DFA"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1D6EEFD7" w14:textId="6A68F921"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&gt;60% - ≤70%</m:t>
              </m:r>
            </m:oMath>
            <w:r w:rsidRPr="00B13C1A">
              <w:rPr>
                <w:rFonts w:asciiTheme="majorHAnsi" w:hAnsiTheme="majorHAnsi"/>
                <w:lang w:val="en"/>
              </w:rPr>
              <w:t xml:space="preserve"> </w:t>
            </w:r>
          </w:p>
        </w:tc>
        <w:tc>
          <w:tcPr>
            <w:tcW w:w="1106" w:type="dxa"/>
            <w:tcBorders>
              <w:left w:val="nil"/>
            </w:tcBorders>
          </w:tcPr>
          <w:p w14:paraId="43F3D3C9"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5</w:t>
            </w:r>
          </w:p>
        </w:tc>
      </w:tr>
      <w:tr w:rsidR="00B13C1A" w:rsidRPr="00B13C1A" w14:paraId="28D32082" w14:textId="77777777" w:rsidTr="00585E66">
        <w:tc>
          <w:tcPr>
            <w:tcW w:w="3260" w:type="dxa"/>
            <w:vMerge/>
            <w:tcBorders>
              <w:right w:val="nil"/>
            </w:tcBorders>
          </w:tcPr>
          <w:p w14:paraId="25EB3FEC"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4D0005E5"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14EEEEC5" w14:textId="68BAEE8A"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&gt;50% - ≤60%</m:t>
              </m:r>
            </m:oMath>
            <w:r w:rsidRPr="00B13C1A">
              <w:rPr>
                <w:rFonts w:asciiTheme="majorHAnsi" w:hAnsiTheme="majorHAnsi"/>
                <w:lang w:val="en"/>
              </w:rPr>
              <w:t xml:space="preserve"> </w:t>
            </w:r>
          </w:p>
        </w:tc>
        <w:tc>
          <w:tcPr>
            <w:tcW w:w="1106" w:type="dxa"/>
            <w:tcBorders>
              <w:left w:val="nil"/>
            </w:tcBorders>
          </w:tcPr>
          <w:p w14:paraId="2D4AC778"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6</w:t>
            </w:r>
          </w:p>
        </w:tc>
      </w:tr>
      <w:tr w:rsidR="00B13C1A" w:rsidRPr="00B13C1A" w14:paraId="377AC2AC" w14:textId="77777777" w:rsidTr="00585E66">
        <w:tc>
          <w:tcPr>
            <w:tcW w:w="3260" w:type="dxa"/>
            <w:vMerge/>
            <w:tcBorders>
              <w:right w:val="nil"/>
            </w:tcBorders>
          </w:tcPr>
          <w:p w14:paraId="4692F3DE" w14:textId="77777777" w:rsidR="00B13C1A" w:rsidRPr="00B13C1A" w:rsidRDefault="00B13C1A" w:rsidP="00B13C1A">
            <w:pPr>
              <w:pStyle w:val="IEEEParagraph"/>
              <w:spacing w:line="23" w:lineRule="atLeast"/>
              <w:ind w:firstLine="360"/>
              <w:rPr>
                <w:rFonts w:asciiTheme="majorHAnsi" w:hAnsiTheme="majorHAnsi"/>
                <w:lang w:val="en"/>
              </w:rPr>
            </w:pPr>
          </w:p>
        </w:tc>
        <w:tc>
          <w:tcPr>
            <w:tcW w:w="1417" w:type="dxa"/>
            <w:vMerge/>
            <w:tcBorders>
              <w:left w:val="nil"/>
              <w:right w:val="nil"/>
            </w:tcBorders>
          </w:tcPr>
          <w:p w14:paraId="0EA260EC" w14:textId="77777777" w:rsidR="00B13C1A" w:rsidRPr="00B13C1A" w:rsidRDefault="00B13C1A" w:rsidP="00B13C1A">
            <w:pPr>
              <w:pStyle w:val="IEEEParagraph"/>
              <w:spacing w:line="23" w:lineRule="atLeast"/>
              <w:ind w:firstLine="360"/>
              <w:rPr>
                <w:rFonts w:asciiTheme="majorHAnsi" w:hAnsiTheme="majorHAnsi"/>
                <w:lang w:val="en"/>
              </w:rPr>
            </w:pPr>
          </w:p>
        </w:tc>
        <w:tc>
          <w:tcPr>
            <w:tcW w:w="3402" w:type="dxa"/>
            <w:tcBorders>
              <w:left w:val="nil"/>
              <w:right w:val="nil"/>
            </w:tcBorders>
          </w:tcPr>
          <w:p w14:paraId="066CE5FA" w14:textId="4029DC84" w:rsidR="00B13C1A" w:rsidRPr="00B13C1A" w:rsidRDefault="00B13C1A" w:rsidP="00B13C1A">
            <w:pPr>
              <w:pStyle w:val="IEEEParagraph"/>
              <w:spacing w:line="23" w:lineRule="atLeast"/>
              <w:ind w:firstLine="0"/>
              <w:rPr>
                <w:rFonts w:asciiTheme="majorHAnsi" w:hAnsiTheme="majorHAnsi"/>
                <w:lang w:val="en"/>
              </w:rPr>
            </w:pPr>
            <m:oMath>
              <m:r>
                <w:rPr>
                  <w:rFonts w:ascii="Cambria Math" w:hAnsi="Cambria Math"/>
                  <w:lang w:val="en"/>
                </w:rPr>
                <m:t>≤50%</m:t>
              </m:r>
            </m:oMath>
            <w:r w:rsidRPr="00B13C1A">
              <w:rPr>
                <w:rFonts w:asciiTheme="majorHAnsi" w:hAnsiTheme="majorHAnsi"/>
                <w:lang w:val="en"/>
              </w:rPr>
              <w:t xml:space="preserve"> </w:t>
            </w:r>
          </w:p>
        </w:tc>
        <w:tc>
          <w:tcPr>
            <w:tcW w:w="1106" w:type="dxa"/>
            <w:tcBorders>
              <w:left w:val="nil"/>
            </w:tcBorders>
          </w:tcPr>
          <w:p w14:paraId="1ABF49B1" w14:textId="77777777" w:rsidR="00B13C1A" w:rsidRPr="00B13C1A" w:rsidRDefault="00B13C1A" w:rsidP="00B13C1A">
            <w:pPr>
              <w:pStyle w:val="IEEEParagraph"/>
              <w:spacing w:line="23" w:lineRule="atLeast"/>
              <w:ind w:firstLine="360"/>
              <w:rPr>
                <w:rFonts w:asciiTheme="majorHAnsi" w:hAnsiTheme="majorHAnsi"/>
                <w:lang w:val="en"/>
              </w:rPr>
            </w:pPr>
            <w:r w:rsidRPr="00B13C1A">
              <w:rPr>
                <w:rFonts w:asciiTheme="majorHAnsi" w:hAnsiTheme="majorHAnsi"/>
                <w:lang w:val="en"/>
              </w:rPr>
              <w:t>7</w:t>
            </w:r>
          </w:p>
        </w:tc>
      </w:tr>
      <w:bookmarkEnd w:id="1"/>
    </w:tbl>
    <w:p w14:paraId="5EC59B33" w14:textId="77777777" w:rsidR="00B13C1A" w:rsidRPr="00E77E85" w:rsidRDefault="00B13C1A" w:rsidP="00E77E85">
      <w:pPr>
        <w:pStyle w:val="IEEEParagraph"/>
        <w:spacing w:line="23" w:lineRule="atLeast"/>
        <w:ind w:firstLine="360"/>
        <w:rPr>
          <w:rFonts w:asciiTheme="majorHAnsi" w:hAnsiTheme="majorHAnsi"/>
          <w:lang w:val="sv-SE"/>
        </w:rPr>
      </w:pPr>
    </w:p>
    <w:p w14:paraId="69098D16" w14:textId="77777777" w:rsidR="00E70EE3" w:rsidRPr="00E77E85" w:rsidRDefault="00062122" w:rsidP="00E77E85">
      <w:pPr>
        <w:pStyle w:val="IEEEHeading1"/>
        <w:numPr>
          <w:ilvl w:val="0"/>
          <w:numId w:val="11"/>
        </w:numPr>
        <w:spacing w:before="0" w:after="0" w:line="23" w:lineRule="atLeast"/>
        <w:jc w:val="left"/>
        <w:rPr>
          <w:rFonts w:asciiTheme="majorHAnsi" w:hAnsiTheme="majorHAnsi"/>
          <w:b/>
          <w:iCs/>
          <w:sz w:val="24"/>
          <w:lang w:val="id-ID"/>
        </w:rPr>
      </w:pPr>
      <w:r w:rsidRPr="00E77E85">
        <w:rPr>
          <w:rFonts w:asciiTheme="majorHAnsi" w:hAnsiTheme="majorHAnsi"/>
          <w:b/>
          <w:iCs/>
          <w:sz w:val="24"/>
          <w:lang w:val="en-US"/>
        </w:rPr>
        <w:t>RESULT AND DISCUSSION</w:t>
      </w:r>
    </w:p>
    <w:p w14:paraId="09BA8E1D" w14:textId="393ECFF7" w:rsidR="000B5384" w:rsidRPr="000B5384" w:rsidRDefault="000B5384" w:rsidP="00F91E80">
      <w:pPr>
        <w:pStyle w:val="IEEEFigure"/>
        <w:numPr>
          <w:ilvl w:val="0"/>
          <w:numId w:val="21"/>
        </w:numPr>
        <w:spacing w:line="23" w:lineRule="atLeast"/>
        <w:ind w:left="385" w:hanging="357"/>
        <w:jc w:val="left"/>
        <w:rPr>
          <w:rFonts w:asciiTheme="majorHAnsi" w:hAnsiTheme="majorHAnsi"/>
          <w:b/>
          <w:bCs/>
          <w:lang w:val="en-GB"/>
        </w:rPr>
      </w:pPr>
      <w:r w:rsidRPr="000B5384">
        <w:rPr>
          <w:rFonts w:asciiTheme="majorHAnsi" w:hAnsiTheme="majorHAnsi"/>
          <w:b/>
          <w:bCs/>
          <w:lang w:val="en-GB"/>
        </w:rPr>
        <w:t>Principal Component Analysis</w:t>
      </w:r>
    </w:p>
    <w:p w14:paraId="54EAAAB4" w14:textId="77777777" w:rsidR="000B5384" w:rsidRPr="000B5384" w:rsidRDefault="000B5384" w:rsidP="00F91E80">
      <w:pPr>
        <w:pStyle w:val="IEEEParagraph"/>
        <w:spacing w:line="23" w:lineRule="atLeast"/>
        <w:ind w:firstLine="385"/>
        <w:rPr>
          <w:rFonts w:asciiTheme="majorHAnsi" w:hAnsiTheme="majorHAnsi"/>
          <w:lang w:val="en"/>
        </w:rPr>
      </w:pPr>
      <w:r w:rsidRPr="000B5384">
        <w:rPr>
          <w:rFonts w:asciiTheme="majorHAnsi" w:hAnsiTheme="majorHAnsi"/>
          <w:lang w:val="en-US"/>
        </w:rPr>
        <w:t xml:space="preserve">There are nine indicators that form the bank's ability to pay mortgages variable. These indicators are analyzed by nonlinear principal components to obtain principal component scores for the variables. </w:t>
      </w:r>
      <w:r w:rsidRPr="000B5384">
        <w:rPr>
          <w:rFonts w:asciiTheme="majorHAnsi" w:hAnsiTheme="majorHAnsi"/>
          <w:lang w:val="en"/>
        </w:rPr>
        <w:t xml:space="preserve">Eigen value is used to select the principal component. The selected component must have </w:t>
      </w:r>
      <w:bookmarkStart w:id="2" w:name="_Hlk141827213"/>
      <w:r w:rsidRPr="000B5384">
        <w:rPr>
          <w:rFonts w:asciiTheme="majorHAnsi" w:hAnsiTheme="majorHAnsi"/>
          <w:lang w:val="en"/>
        </w:rPr>
        <w:t xml:space="preserve">𝑒𝑖𝑔𝑒𝑛 𝑣𝑎𝑙𝑢𝑒 &gt; 1. </w:t>
      </w:r>
      <w:bookmarkEnd w:id="2"/>
      <w:r w:rsidRPr="000B5384">
        <w:rPr>
          <w:rFonts w:asciiTheme="majorHAnsi" w:hAnsiTheme="majorHAnsi"/>
          <w:lang w:val="en"/>
        </w:rPr>
        <w:t>The eigen value results from the principal component analysis of the ability to pay mortgages are presented in Table 1.</w:t>
      </w:r>
    </w:p>
    <w:p w14:paraId="49A38FC2" w14:textId="77777777" w:rsid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b/>
          <w:bCs/>
          <w:lang w:val="en"/>
        </w:rPr>
        <w:t xml:space="preserve">Table 1. </w:t>
      </w:r>
      <w:r w:rsidRPr="000B5384">
        <w:rPr>
          <w:rFonts w:asciiTheme="majorHAnsi" w:hAnsiTheme="majorHAnsi"/>
          <w:lang w:val="en"/>
        </w:rPr>
        <w:t>Eigen Value of the Ability to Pay Mortgages Variables</w:t>
      </w:r>
    </w:p>
    <w:tbl>
      <w:tblPr>
        <w:tblStyle w:val="TableGrid"/>
        <w:tblW w:w="0" w:type="auto"/>
        <w:tblInd w:w="137" w:type="dxa"/>
        <w:tblBorders>
          <w:left w:val="none" w:sz="0" w:space="0" w:color="auto"/>
          <w:right w:val="none" w:sz="0" w:space="0" w:color="auto"/>
        </w:tblBorders>
        <w:tblLook w:val="04A0" w:firstRow="1" w:lastRow="0" w:firstColumn="1" w:lastColumn="0" w:noHBand="0" w:noVBand="1"/>
      </w:tblPr>
      <w:tblGrid>
        <w:gridCol w:w="4536"/>
        <w:gridCol w:w="4955"/>
      </w:tblGrid>
      <w:tr w:rsidR="003B548A" w14:paraId="2DA4F8BE" w14:textId="77777777" w:rsidTr="002A312B">
        <w:tc>
          <w:tcPr>
            <w:tcW w:w="4536" w:type="dxa"/>
            <w:tcBorders>
              <w:right w:val="nil"/>
            </w:tcBorders>
          </w:tcPr>
          <w:p w14:paraId="19D4BDF5" w14:textId="424F65C1" w:rsidR="003B548A" w:rsidRDefault="003B548A" w:rsidP="000B5384">
            <w:pPr>
              <w:pStyle w:val="IEEEParagraph"/>
              <w:spacing w:line="23" w:lineRule="atLeast"/>
              <w:ind w:firstLine="0"/>
              <w:rPr>
                <w:rFonts w:asciiTheme="majorHAnsi" w:hAnsiTheme="majorHAnsi"/>
                <w:lang w:val="en"/>
              </w:rPr>
            </w:pPr>
          </w:p>
        </w:tc>
        <w:tc>
          <w:tcPr>
            <w:tcW w:w="4955" w:type="dxa"/>
            <w:tcBorders>
              <w:left w:val="nil"/>
            </w:tcBorders>
          </w:tcPr>
          <w:p w14:paraId="11881BF3" w14:textId="03B3618B"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Eigen Value</w:t>
            </w:r>
          </w:p>
        </w:tc>
      </w:tr>
      <w:tr w:rsidR="003B548A" w14:paraId="5221C3D0" w14:textId="77777777" w:rsidTr="002A312B">
        <w:tc>
          <w:tcPr>
            <w:tcW w:w="4536" w:type="dxa"/>
            <w:tcBorders>
              <w:right w:val="nil"/>
            </w:tcBorders>
          </w:tcPr>
          <w:p w14:paraId="2CE76518" w14:textId="11E4DA1B"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PC1</w:t>
            </w:r>
          </w:p>
        </w:tc>
        <w:tc>
          <w:tcPr>
            <w:tcW w:w="4955" w:type="dxa"/>
            <w:tcBorders>
              <w:left w:val="nil"/>
            </w:tcBorders>
          </w:tcPr>
          <w:p w14:paraId="441E1BEA" w14:textId="6D774959"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2,076</w:t>
            </w:r>
          </w:p>
        </w:tc>
      </w:tr>
      <w:tr w:rsidR="003B548A" w14:paraId="5A880FF4" w14:textId="77777777" w:rsidTr="002A312B">
        <w:tc>
          <w:tcPr>
            <w:tcW w:w="4536" w:type="dxa"/>
            <w:tcBorders>
              <w:right w:val="nil"/>
            </w:tcBorders>
          </w:tcPr>
          <w:p w14:paraId="7461DA4D" w14:textId="2C6C5765"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PC2</w:t>
            </w:r>
          </w:p>
        </w:tc>
        <w:tc>
          <w:tcPr>
            <w:tcW w:w="4955" w:type="dxa"/>
            <w:tcBorders>
              <w:left w:val="nil"/>
            </w:tcBorders>
          </w:tcPr>
          <w:p w14:paraId="6900B0B5" w14:textId="74205639"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0,251</w:t>
            </w:r>
          </w:p>
        </w:tc>
      </w:tr>
      <w:tr w:rsidR="003B548A" w14:paraId="0A3BF364" w14:textId="77777777" w:rsidTr="002A312B">
        <w:tc>
          <w:tcPr>
            <w:tcW w:w="4536" w:type="dxa"/>
            <w:tcBorders>
              <w:right w:val="nil"/>
            </w:tcBorders>
          </w:tcPr>
          <w:p w14:paraId="30D8FBAD" w14:textId="1B09119E"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PC3</w:t>
            </w:r>
          </w:p>
        </w:tc>
        <w:tc>
          <w:tcPr>
            <w:tcW w:w="4955" w:type="dxa"/>
            <w:tcBorders>
              <w:left w:val="nil"/>
            </w:tcBorders>
          </w:tcPr>
          <w:p w14:paraId="0F3BF53E" w14:textId="504F468C"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0,212</w:t>
            </w:r>
          </w:p>
        </w:tc>
      </w:tr>
      <w:tr w:rsidR="003B548A" w14:paraId="165CA72D" w14:textId="77777777" w:rsidTr="002A312B">
        <w:tc>
          <w:tcPr>
            <w:tcW w:w="4536" w:type="dxa"/>
            <w:tcBorders>
              <w:right w:val="nil"/>
            </w:tcBorders>
          </w:tcPr>
          <w:p w14:paraId="38F4E8B8" w14:textId="5C8A3B8F"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PC4</w:t>
            </w:r>
          </w:p>
        </w:tc>
        <w:tc>
          <w:tcPr>
            <w:tcW w:w="4955" w:type="dxa"/>
            <w:tcBorders>
              <w:left w:val="nil"/>
            </w:tcBorders>
          </w:tcPr>
          <w:p w14:paraId="2690A6D3" w14:textId="5916ECB9"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0,143</w:t>
            </w:r>
          </w:p>
        </w:tc>
      </w:tr>
      <w:tr w:rsidR="003B548A" w14:paraId="604E9761" w14:textId="77777777" w:rsidTr="002A312B">
        <w:tc>
          <w:tcPr>
            <w:tcW w:w="4536" w:type="dxa"/>
            <w:tcBorders>
              <w:right w:val="nil"/>
            </w:tcBorders>
          </w:tcPr>
          <w:p w14:paraId="7B861780" w14:textId="60594F69"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PC5</w:t>
            </w:r>
          </w:p>
        </w:tc>
        <w:tc>
          <w:tcPr>
            <w:tcW w:w="4955" w:type="dxa"/>
            <w:tcBorders>
              <w:left w:val="nil"/>
            </w:tcBorders>
          </w:tcPr>
          <w:p w14:paraId="62408581" w14:textId="2162C076"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0,094</w:t>
            </w:r>
          </w:p>
        </w:tc>
      </w:tr>
      <w:tr w:rsidR="003B548A" w14:paraId="4F095A30" w14:textId="77777777" w:rsidTr="002A312B">
        <w:tc>
          <w:tcPr>
            <w:tcW w:w="4536" w:type="dxa"/>
            <w:tcBorders>
              <w:right w:val="nil"/>
            </w:tcBorders>
          </w:tcPr>
          <w:p w14:paraId="42124532" w14:textId="102B1D62"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PC6</w:t>
            </w:r>
          </w:p>
        </w:tc>
        <w:tc>
          <w:tcPr>
            <w:tcW w:w="4955" w:type="dxa"/>
            <w:tcBorders>
              <w:left w:val="nil"/>
            </w:tcBorders>
          </w:tcPr>
          <w:p w14:paraId="51F56AA7" w14:textId="3CA31E05"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0,519</w:t>
            </w:r>
          </w:p>
        </w:tc>
      </w:tr>
      <w:tr w:rsidR="003B548A" w14:paraId="1160F1A3" w14:textId="77777777" w:rsidTr="002A312B">
        <w:tc>
          <w:tcPr>
            <w:tcW w:w="4536" w:type="dxa"/>
            <w:tcBorders>
              <w:right w:val="nil"/>
            </w:tcBorders>
          </w:tcPr>
          <w:p w14:paraId="34D5D541" w14:textId="74DCD8BD"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PC7</w:t>
            </w:r>
          </w:p>
        </w:tc>
        <w:tc>
          <w:tcPr>
            <w:tcW w:w="4955" w:type="dxa"/>
            <w:tcBorders>
              <w:left w:val="nil"/>
            </w:tcBorders>
          </w:tcPr>
          <w:p w14:paraId="0A62F516" w14:textId="07508BA0"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0,846</w:t>
            </w:r>
          </w:p>
        </w:tc>
      </w:tr>
      <w:tr w:rsidR="003B548A" w14:paraId="36A9D1D9" w14:textId="77777777" w:rsidTr="002A312B">
        <w:tc>
          <w:tcPr>
            <w:tcW w:w="4536" w:type="dxa"/>
            <w:tcBorders>
              <w:right w:val="nil"/>
            </w:tcBorders>
          </w:tcPr>
          <w:p w14:paraId="0282A65E" w14:textId="23D5A236"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PC8</w:t>
            </w:r>
          </w:p>
        </w:tc>
        <w:tc>
          <w:tcPr>
            <w:tcW w:w="4955" w:type="dxa"/>
            <w:tcBorders>
              <w:left w:val="nil"/>
            </w:tcBorders>
          </w:tcPr>
          <w:p w14:paraId="693523C3" w14:textId="74E63487"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0,322</w:t>
            </w:r>
          </w:p>
        </w:tc>
      </w:tr>
      <w:tr w:rsidR="003B548A" w14:paraId="7B70FD7A" w14:textId="77777777" w:rsidTr="002A312B">
        <w:tc>
          <w:tcPr>
            <w:tcW w:w="4536" w:type="dxa"/>
            <w:tcBorders>
              <w:right w:val="nil"/>
            </w:tcBorders>
          </w:tcPr>
          <w:p w14:paraId="2E45538F" w14:textId="6C006D3D"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PC9</w:t>
            </w:r>
          </w:p>
        </w:tc>
        <w:tc>
          <w:tcPr>
            <w:tcW w:w="4955" w:type="dxa"/>
            <w:tcBorders>
              <w:left w:val="nil"/>
            </w:tcBorders>
          </w:tcPr>
          <w:p w14:paraId="34A36546" w14:textId="14124181"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0,244</w:t>
            </w:r>
          </w:p>
        </w:tc>
      </w:tr>
      <w:tr w:rsidR="003B548A" w14:paraId="180C46C4" w14:textId="77777777" w:rsidTr="002A312B">
        <w:tc>
          <w:tcPr>
            <w:tcW w:w="4536" w:type="dxa"/>
            <w:tcBorders>
              <w:right w:val="nil"/>
            </w:tcBorders>
          </w:tcPr>
          <w:p w14:paraId="3FCFEF7E" w14:textId="32E56633"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PC10</w:t>
            </w:r>
          </w:p>
        </w:tc>
        <w:tc>
          <w:tcPr>
            <w:tcW w:w="4955" w:type="dxa"/>
            <w:tcBorders>
              <w:left w:val="nil"/>
            </w:tcBorders>
          </w:tcPr>
          <w:p w14:paraId="272380AD" w14:textId="0EA6F2D7"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0,119</w:t>
            </w:r>
          </w:p>
        </w:tc>
      </w:tr>
      <w:tr w:rsidR="003B548A" w14:paraId="3158362D" w14:textId="77777777" w:rsidTr="002A312B">
        <w:tc>
          <w:tcPr>
            <w:tcW w:w="4536" w:type="dxa"/>
            <w:tcBorders>
              <w:right w:val="nil"/>
            </w:tcBorders>
          </w:tcPr>
          <w:p w14:paraId="15673E89" w14:textId="3E238B99" w:rsidR="003B548A" w:rsidRPr="003B548A" w:rsidRDefault="003B548A" w:rsidP="003B548A">
            <w:pPr>
              <w:pStyle w:val="IEEEParagraph"/>
              <w:spacing w:line="23" w:lineRule="atLeast"/>
              <w:ind w:firstLine="0"/>
              <w:jc w:val="center"/>
              <w:rPr>
                <w:rFonts w:asciiTheme="majorHAnsi" w:hAnsiTheme="majorHAnsi"/>
                <w:b/>
                <w:bCs/>
                <w:lang w:val="en"/>
              </w:rPr>
            </w:pPr>
            <w:r w:rsidRPr="003B548A">
              <w:rPr>
                <w:rFonts w:asciiTheme="majorHAnsi" w:hAnsiTheme="majorHAnsi"/>
                <w:b/>
                <w:bCs/>
                <w:lang w:val="en"/>
              </w:rPr>
              <w:t>PC11</w:t>
            </w:r>
          </w:p>
        </w:tc>
        <w:tc>
          <w:tcPr>
            <w:tcW w:w="4955" w:type="dxa"/>
            <w:tcBorders>
              <w:left w:val="nil"/>
            </w:tcBorders>
          </w:tcPr>
          <w:p w14:paraId="34D6D939" w14:textId="4E62E9DF" w:rsidR="003B548A" w:rsidRDefault="003B548A" w:rsidP="003B548A">
            <w:pPr>
              <w:pStyle w:val="IEEEParagraph"/>
              <w:spacing w:line="23" w:lineRule="atLeast"/>
              <w:ind w:firstLine="0"/>
              <w:jc w:val="center"/>
              <w:rPr>
                <w:rFonts w:asciiTheme="majorHAnsi" w:hAnsiTheme="majorHAnsi"/>
                <w:lang w:val="en"/>
              </w:rPr>
            </w:pPr>
            <w:r>
              <w:rPr>
                <w:rFonts w:asciiTheme="majorHAnsi" w:hAnsiTheme="majorHAnsi"/>
                <w:lang w:val="en"/>
              </w:rPr>
              <w:t>0,658</w:t>
            </w:r>
          </w:p>
        </w:tc>
      </w:tr>
    </w:tbl>
    <w:p w14:paraId="4757E5E3" w14:textId="77777777" w:rsidR="000B5384" w:rsidRPr="000B5384" w:rsidRDefault="000B5384" w:rsidP="00CE6869">
      <w:pPr>
        <w:pStyle w:val="IEEEParagraph"/>
        <w:spacing w:line="23" w:lineRule="atLeast"/>
        <w:ind w:firstLine="567"/>
        <w:rPr>
          <w:rFonts w:asciiTheme="majorHAnsi" w:hAnsiTheme="majorHAnsi"/>
          <w:lang w:val="en"/>
        </w:rPr>
      </w:pPr>
      <w:r w:rsidRPr="000B5384">
        <w:rPr>
          <w:rFonts w:asciiTheme="majorHAnsi" w:hAnsiTheme="majorHAnsi"/>
          <w:lang w:val="en"/>
        </w:rPr>
        <w:t>Based on table 1, there is only one component that have 𝑒𝑖𝑔𝑒𝑛 𝑣𝑎𝑙𝑢𝑒 &gt; 1, then the selected component is the first component. The proportion of cumulative variance in the first component is 0.784, meaning that the first main component contains 74.8% of the data from the variable Ability to Pay KPR. The weight of the first component in the Mortgage Paying Variable</w:t>
      </w:r>
    </w:p>
    <w:p w14:paraId="121B0557" w14:textId="77777777" w:rsidR="000B5384" w:rsidRPr="000B5384" w:rsidRDefault="000B5384" w:rsidP="00CE6869">
      <w:pPr>
        <w:pStyle w:val="IEEEParagraph"/>
        <w:spacing w:line="23" w:lineRule="atLeast"/>
        <w:ind w:firstLine="0"/>
        <w:rPr>
          <w:rFonts w:asciiTheme="majorHAnsi" w:hAnsiTheme="majorHAnsi"/>
          <w:lang w:val="en"/>
        </w:rPr>
      </w:pPr>
      <w:r w:rsidRPr="000B5384">
        <w:rPr>
          <w:rFonts w:asciiTheme="majorHAnsi" w:hAnsiTheme="majorHAnsi"/>
          <w:b/>
          <w:bCs/>
          <w:lang w:val="en"/>
        </w:rPr>
        <w:t xml:space="preserve">Table 2. </w:t>
      </w:r>
      <w:r w:rsidRPr="000B5384">
        <w:rPr>
          <w:rFonts w:asciiTheme="majorHAnsi" w:hAnsiTheme="majorHAnsi"/>
          <w:lang w:val="en"/>
        </w:rPr>
        <w:t>The Weight of the Principal Components of the Ability to Pay Mortgage Variables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08"/>
        <w:gridCol w:w="4985"/>
      </w:tblGrid>
      <w:tr w:rsidR="000B5384" w:rsidRPr="000B5384" w14:paraId="634DCD27" w14:textId="77777777" w:rsidTr="002A312B">
        <w:tc>
          <w:tcPr>
            <w:tcW w:w="4508" w:type="dxa"/>
            <w:tcBorders>
              <w:right w:val="nil"/>
            </w:tcBorders>
          </w:tcPr>
          <w:p w14:paraId="31A8A636" w14:textId="77777777" w:rsidR="000B5384" w:rsidRPr="000B5384" w:rsidRDefault="000B5384" w:rsidP="00CE6869">
            <w:pPr>
              <w:pStyle w:val="IEEEParagraph"/>
              <w:spacing w:line="23" w:lineRule="atLeast"/>
              <w:ind w:firstLine="0"/>
              <w:jc w:val="center"/>
              <w:rPr>
                <w:rFonts w:asciiTheme="majorHAnsi" w:hAnsiTheme="majorHAnsi"/>
                <w:b/>
                <w:bCs/>
                <w:lang w:val="en"/>
              </w:rPr>
            </w:pPr>
            <w:r w:rsidRPr="000B5384">
              <w:rPr>
                <w:rFonts w:asciiTheme="majorHAnsi" w:hAnsiTheme="majorHAnsi"/>
                <w:b/>
                <w:bCs/>
                <w:lang w:val="en"/>
              </w:rPr>
              <w:t>Indicator</w:t>
            </w:r>
          </w:p>
        </w:tc>
        <w:tc>
          <w:tcPr>
            <w:tcW w:w="4985" w:type="dxa"/>
            <w:tcBorders>
              <w:left w:val="nil"/>
            </w:tcBorders>
          </w:tcPr>
          <w:p w14:paraId="2DFD23A9" w14:textId="77777777" w:rsidR="000B5384" w:rsidRPr="000B5384" w:rsidRDefault="000B5384" w:rsidP="00CE6869">
            <w:pPr>
              <w:pStyle w:val="IEEEParagraph"/>
              <w:spacing w:line="23" w:lineRule="atLeast"/>
              <w:ind w:firstLine="0"/>
              <w:jc w:val="center"/>
              <w:rPr>
                <w:rFonts w:asciiTheme="majorHAnsi" w:hAnsiTheme="majorHAnsi"/>
                <w:b/>
                <w:bCs/>
                <w:lang w:val="en"/>
              </w:rPr>
            </w:pPr>
            <w:r w:rsidRPr="000B5384">
              <w:rPr>
                <w:rFonts w:asciiTheme="majorHAnsi" w:hAnsiTheme="majorHAnsi"/>
                <w:b/>
                <w:bCs/>
                <w:lang w:val="en"/>
              </w:rPr>
              <w:t>Weight</w:t>
            </w:r>
          </w:p>
        </w:tc>
      </w:tr>
      <w:tr w:rsidR="000B5384" w:rsidRPr="000B5384" w14:paraId="16A51253" w14:textId="77777777" w:rsidTr="002A312B">
        <w:tc>
          <w:tcPr>
            <w:tcW w:w="4508" w:type="dxa"/>
            <w:tcBorders>
              <w:right w:val="nil"/>
            </w:tcBorders>
          </w:tcPr>
          <w:p w14:paraId="3AC44B4D"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ID"/>
              </w:rPr>
              <w:t>Guarantee Document (X1.1)</w:t>
            </w:r>
          </w:p>
        </w:tc>
        <w:tc>
          <w:tcPr>
            <w:tcW w:w="4985" w:type="dxa"/>
            <w:tcBorders>
              <w:left w:val="nil"/>
            </w:tcBorders>
          </w:tcPr>
          <w:p w14:paraId="1789A5A9"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0.361</w:t>
            </w:r>
          </w:p>
        </w:tc>
      </w:tr>
      <w:tr w:rsidR="000B5384" w:rsidRPr="000B5384" w14:paraId="7613E287" w14:textId="77777777" w:rsidTr="002A312B">
        <w:tc>
          <w:tcPr>
            <w:tcW w:w="4508" w:type="dxa"/>
            <w:tcBorders>
              <w:right w:val="nil"/>
            </w:tcBorders>
          </w:tcPr>
          <w:p w14:paraId="55BCAA08"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ID"/>
              </w:rPr>
              <w:t>Education (X1.2)</w:t>
            </w:r>
          </w:p>
        </w:tc>
        <w:tc>
          <w:tcPr>
            <w:tcW w:w="4985" w:type="dxa"/>
            <w:tcBorders>
              <w:left w:val="nil"/>
            </w:tcBorders>
          </w:tcPr>
          <w:p w14:paraId="41D3D15E"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0.386</w:t>
            </w:r>
          </w:p>
        </w:tc>
      </w:tr>
      <w:tr w:rsidR="000B5384" w:rsidRPr="000B5384" w14:paraId="1DCC63A0" w14:textId="77777777" w:rsidTr="002A312B">
        <w:tc>
          <w:tcPr>
            <w:tcW w:w="4508" w:type="dxa"/>
            <w:tcBorders>
              <w:right w:val="nil"/>
            </w:tcBorders>
          </w:tcPr>
          <w:p w14:paraId="73E65E02"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Collectability Status (X1.3)</w:t>
            </w:r>
          </w:p>
        </w:tc>
        <w:tc>
          <w:tcPr>
            <w:tcW w:w="4985" w:type="dxa"/>
            <w:tcBorders>
              <w:left w:val="nil"/>
            </w:tcBorders>
          </w:tcPr>
          <w:p w14:paraId="67B1746D"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0.438</w:t>
            </w:r>
          </w:p>
        </w:tc>
      </w:tr>
      <w:tr w:rsidR="000B5384" w:rsidRPr="000B5384" w14:paraId="5A0E0895" w14:textId="77777777" w:rsidTr="002A312B">
        <w:tc>
          <w:tcPr>
            <w:tcW w:w="4508" w:type="dxa"/>
            <w:tcBorders>
              <w:right w:val="nil"/>
            </w:tcBorders>
          </w:tcPr>
          <w:p w14:paraId="4516A56D"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ID"/>
              </w:rPr>
              <w:t>Work Experience (X1.4)</w:t>
            </w:r>
          </w:p>
        </w:tc>
        <w:tc>
          <w:tcPr>
            <w:tcW w:w="4985" w:type="dxa"/>
            <w:tcBorders>
              <w:left w:val="nil"/>
            </w:tcBorders>
          </w:tcPr>
          <w:p w14:paraId="10D51833"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0.507</w:t>
            </w:r>
          </w:p>
        </w:tc>
      </w:tr>
      <w:tr w:rsidR="000B5384" w:rsidRPr="000B5384" w14:paraId="0B444F8D" w14:textId="77777777" w:rsidTr="002A312B">
        <w:tc>
          <w:tcPr>
            <w:tcW w:w="4508" w:type="dxa"/>
            <w:tcBorders>
              <w:right w:val="nil"/>
            </w:tcBorders>
          </w:tcPr>
          <w:p w14:paraId="676C34D6"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lastRenderedPageBreak/>
              <w:t>Joint Income (X1.5)</w:t>
            </w:r>
          </w:p>
        </w:tc>
        <w:tc>
          <w:tcPr>
            <w:tcW w:w="4985" w:type="dxa"/>
            <w:tcBorders>
              <w:left w:val="nil"/>
            </w:tcBorders>
          </w:tcPr>
          <w:p w14:paraId="3D33E77C"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0.522</w:t>
            </w:r>
          </w:p>
        </w:tc>
      </w:tr>
      <w:tr w:rsidR="000B5384" w:rsidRPr="000B5384" w14:paraId="67B2190D" w14:textId="77777777" w:rsidTr="002A312B">
        <w:tc>
          <w:tcPr>
            <w:tcW w:w="4508" w:type="dxa"/>
            <w:tcBorders>
              <w:right w:val="nil"/>
            </w:tcBorders>
          </w:tcPr>
          <w:p w14:paraId="56AC7CFC"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RPA (Instalment Income Ratio) (X1.6)</w:t>
            </w:r>
          </w:p>
        </w:tc>
        <w:tc>
          <w:tcPr>
            <w:tcW w:w="4985" w:type="dxa"/>
            <w:tcBorders>
              <w:left w:val="nil"/>
            </w:tcBorders>
          </w:tcPr>
          <w:p w14:paraId="3243A232"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0.476</w:t>
            </w:r>
          </w:p>
        </w:tc>
      </w:tr>
      <w:tr w:rsidR="000B5384" w:rsidRPr="000B5384" w14:paraId="0C47AA1A" w14:textId="77777777" w:rsidTr="002A312B">
        <w:tc>
          <w:tcPr>
            <w:tcW w:w="4508" w:type="dxa"/>
            <w:tcBorders>
              <w:right w:val="nil"/>
            </w:tcBorders>
          </w:tcPr>
          <w:p w14:paraId="3677ED1A"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Form of Business Entity (X1.7)</w:t>
            </w:r>
          </w:p>
        </w:tc>
        <w:tc>
          <w:tcPr>
            <w:tcW w:w="4985" w:type="dxa"/>
            <w:tcBorders>
              <w:left w:val="nil"/>
            </w:tcBorders>
          </w:tcPr>
          <w:p w14:paraId="31CFCF12"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0.446</w:t>
            </w:r>
          </w:p>
        </w:tc>
      </w:tr>
      <w:tr w:rsidR="000B5384" w:rsidRPr="000B5384" w14:paraId="4161C6E9" w14:textId="77777777" w:rsidTr="002A312B">
        <w:tc>
          <w:tcPr>
            <w:tcW w:w="4508" w:type="dxa"/>
            <w:tcBorders>
              <w:right w:val="nil"/>
            </w:tcBorders>
          </w:tcPr>
          <w:p w14:paraId="345562A4"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ID"/>
              </w:rPr>
              <w:t>Credit Term (X1.8)</w:t>
            </w:r>
          </w:p>
        </w:tc>
        <w:tc>
          <w:tcPr>
            <w:tcW w:w="4985" w:type="dxa"/>
            <w:tcBorders>
              <w:left w:val="nil"/>
            </w:tcBorders>
          </w:tcPr>
          <w:p w14:paraId="4AB5F416"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0.538</w:t>
            </w:r>
          </w:p>
        </w:tc>
      </w:tr>
      <w:tr w:rsidR="000B5384" w:rsidRPr="000B5384" w14:paraId="58B35CDA" w14:textId="77777777" w:rsidTr="002A312B">
        <w:tc>
          <w:tcPr>
            <w:tcW w:w="4508" w:type="dxa"/>
            <w:tcBorders>
              <w:right w:val="nil"/>
            </w:tcBorders>
          </w:tcPr>
          <w:p w14:paraId="5F18A718"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Number of Family Responsibilities (X1.9)</w:t>
            </w:r>
          </w:p>
        </w:tc>
        <w:tc>
          <w:tcPr>
            <w:tcW w:w="4985" w:type="dxa"/>
            <w:tcBorders>
              <w:left w:val="nil"/>
            </w:tcBorders>
          </w:tcPr>
          <w:p w14:paraId="4FCF2460"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0.361</w:t>
            </w:r>
          </w:p>
        </w:tc>
      </w:tr>
      <w:tr w:rsidR="000B5384" w:rsidRPr="000B5384" w14:paraId="59DC8819" w14:textId="77777777" w:rsidTr="002A312B">
        <w:tc>
          <w:tcPr>
            <w:tcW w:w="4508" w:type="dxa"/>
            <w:tcBorders>
              <w:right w:val="nil"/>
            </w:tcBorders>
          </w:tcPr>
          <w:p w14:paraId="73FDF933"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ID"/>
              </w:rPr>
              <w:t>Savings Ownership (X1.10)</w:t>
            </w:r>
          </w:p>
        </w:tc>
        <w:tc>
          <w:tcPr>
            <w:tcW w:w="4985" w:type="dxa"/>
            <w:tcBorders>
              <w:left w:val="nil"/>
            </w:tcBorders>
          </w:tcPr>
          <w:p w14:paraId="714E09D8"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0.392</w:t>
            </w:r>
          </w:p>
        </w:tc>
      </w:tr>
      <w:tr w:rsidR="000B5384" w:rsidRPr="000B5384" w14:paraId="1EB1ED62" w14:textId="77777777" w:rsidTr="002A312B">
        <w:tc>
          <w:tcPr>
            <w:tcW w:w="4508" w:type="dxa"/>
            <w:tcBorders>
              <w:right w:val="nil"/>
            </w:tcBorders>
          </w:tcPr>
          <w:p w14:paraId="7C5DFED2"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ID"/>
              </w:rPr>
              <w:t>Loan to Value (X1.11)</w:t>
            </w:r>
          </w:p>
        </w:tc>
        <w:tc>
          <w:tcPr>
            <w:tcW w:w="4985" w:type="dxa"/>
            <w:tcBorders>
              <w:left w:val="nil"/>
            </w:tcBorders>
          </w:tcPr>
          <w:p w14:paraId="3D05B307" w14:textId="77777777" w:rsidR="000B5384" w:rsidRPr="000B5384" w:rsidRDefault="000B5384" w:rsidP="00CE6869">
            <w:pPr>
              <w:pStyle w:val="IEEEParagraph"/>
              <w:spacing w:line="23" w:lineRule="atLeast"/>
              <w:ind w:firstLine="0"/>
              <w:jc w:val="center"/>
              <w:rPr>
                <w:rFonts w:asciiTheme="majorHAnsi" w:hAnsiTheme="majorHAnsi"/>
                <w:lang w:val="en"/>
              </w:rPr>
            </w:pPr>
            <w:r w:rsidRPr="000B5384">
              <w:rPr>
                <w:rFonts w:asciiTheme="majorHAnsi" w:hAnsiTheme="majorHAnsi"/>
                <w:lang w:val="en"/>
              </w:rPr>
              <w:t>0.345</w:t>
            </w:r>
          </w:p>
        </w:tc>
      </w:tr>
    </w:tbl>
    <w:p w14:paraId="2AEC9A46" w14:textId="77777777" w:rsidR="000B5384" w:rsidRPr="000B5384" w:rsidRDefault="000B5384" w:rsidP="00CE6869">
      <w:pPr>
        <w:pStyle w:val="IEEEParagraph"/>
        <w:spacing w:line="23" w:lineRule="atLeast"/>
        <w:ind w:firstLine="567"/>
        <w:rPr>
          <w:rFonts w:asciiTheme="majorHAnsi" w:hAnsiTheme="majorHAnsi"/>
          <w:lang w:val="en"/>
        </w:rPr>
      </w:pPr>
      <w:r w:rsidRPr="000B5384">
        <w:rPr>
          <w:rFonts w:asciiTheme="majorHAnsi" w:hAnsiTheme="majorHAnsi"/>
          <w:lang w:val="en"/>
        </w:rPr>
        <w:t>Based on the weight of the principal components, the indicator that has the greatest weight is the X18 indicator, namely the Credit Period. This means that the X18 indicator is able to characterize the Mortgage Paying Ability variable. Based on table 2, the principal component linear combination equation can be formed to get the component score which is the value of the Mortgage Paying Ability variable (X1).</w:t>
      </w:r>
    </w:p>
    <w:p w14:paraId="51E748D2" w14:textId="6EC22173" w:rsidR="000B5384" w:rsidRPr="000B5384" w:rsidRDefault="00000000" w:rsidP="00CE6869">
      <w:pPr>
        <w:pStyle w:val="IEEEParagraph"/>
        <w:spacing w:line="23" w:lineRule="atLeast"/>
        <w:rPr>
          <w:rFonts w:asciiTheme="majorHAnsi" w:hAnsiTheme="majorHAnsi"/>
          <w:lang w:val="en"/>
        </w:rPr>
      </w:pPr>
      <m:oMathPara>
        <m:oMathParaPr>
          <m:jc m:val="center"/>
        </m:oMathParaPr>
        <m:oMath>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m:t>
              </m:r>
            </m:sub>
          </m:sSub>
          <m:r>
            <m:rPr>
              <m:sty m:val="p"/>
            </m:rPr>
            <w:rPr>
              <w:rFonts w:ascii="Cambria Math" w:hAnsi="Cambria Math"/>
              <w:lang w:val="en"/>
            </w:rPr>
            <m:t>=0,361</m:t>
          </m:r>
          <w:bookmarkStart w:id="3" w:name="_Hlk141987593"/>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1.1</m:t>
              </m:r>
            </m:sub>
          </m:sSub>
          <w:bookmarkEnd w:id="3"/>
          <m:r>
            <m:rPr>
              <m:sty m:val="p"/>
            </m:rPr>
            <w:rPr>
              <w:rFonts w:ascii="Cambria Math" w:hAnsi="Cambria Math"/>
              <w:lang w:val="en"/>
            </w:rPr>
            <m:t>+0,386</m:t>
          </m:r>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1.2</m:t>
              </m:r>
            </m:sub>
          </m:sSub>
          <m:r>
            <m:rPr>
              <m:sty m:val="p"/>
            </m:rPr>
            <w:rPr>
              <w:rFonts w:ascii="Cambria Math" w:hAnsi="Cambria Math"/>
              <w:lang w:val="en"/>
            </w:rPr>
            <m:t>+0,438</m:t>
          </m:r>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1.3</m:t>
              </m:r>
            </m:sub>
          </m:sSub>
          <m:r>
            <m:rPr>
              <m:sty m:val="p"/>
            </m:rPr>
            <w:rPr>
              <w:rFonts w:ascii="Cambria Math" w:hAnsi="Cambria Math"/>
              <w:lang w:val="en"/>
            </w:rPr>
            <m:t>+0,507</m:t>
          </m:r>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1.4</m:t>
              </m:r>
            </m:sub>
          </m:sSub>
          <m:r>
            <m:rPr>
              <m:sty m:val="p"/>
            </m:rPr>
            <w:rPr>
              <w:rFonts w:ascii="Cambria Math" w:hAnsi="Cambria Math"/>
              <w:lang w:val="en"/>
            </w:rPr>
            <m:t>+0,522</m:t>
          </m:r>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1.5</m:t>
              </m:r>
            </m:sub>
          </m:sSub>
          <m:r>
            <m:rPr>
              <m:sty m:val="p"/>
            </m:rPr>
            <w:rPr>
              <w:rFonts w:ascii="Cambria Math" w:hAnsi="Cambria Math"/>
              <w:lang w:val="en"/>
            </w:rPr>
            <m:t>+0,476</m:t>
          </m:r>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1.6</m:t>
              </m:r>
            </m:sub>
          </m:sSub>
          <m:r>
            <m:rPr>
              <m:sty m:val="p"/>
            </m:rPr>
            <w:rPr>
              <w:rFonts w:ascii="Cambria Math" w:hAnsi="Cambria Math"/>
              <w:lang w:val="en"/>
            </w:rPr>
            <m:t>+0,446</m:t>
          </m:r>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1.7</m:t>
              </m:r>
            </m:sub>
          </m:sSub>
          <m:r>
            <m:rPr>
              <m:sty m:val="p"/>
            </m:rPr>
            <w:rPr>
              <w:rFonts w:ascii="Cambria Math" w:hAnsi="Cambria Math"/>
              <w:lang w:val="en"/>
            </w:rPr>
            <m:t>+0,538</m:t>
          </m:r>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1.8</m:t>
              </m:r>
            </m:sub>
          </m:sSub>
          <m:r>
            <m:rPr>
              <m:sty m:val="p"/>
            </m:rPr>
            <w:rPr>
              <w:rFonts w:ascii="Cambria Math" w:hAnsi="Cambria Math"/>
              <w:lang w:val="en"/>
            </w:rPr>
            <m:t>+0,361</m:t>
          </m:r>
          <w:bookmarkStart w:id="4" w:name="_Hlk141988157"/>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1.9</m:t>
              </m:r>
            </m:sub>
          </m:sSub>
          <w:bookmarkEnd w:id="4"/>
          <m:r>
            <m:rPr>
              <m:sty m:val="p"/>
            </m:rPr>
            <w:rPr>
              <w:rFonts w:ascii="Cambria Math" w:hAnsi="Cambria Math"/>
              <w:lang w:val="en"/>
            </w:rPr>
            <m:t>+0,392</m:t>
          </m:r>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1.10</m:t>
              </m:r>
            </m:sub>
          </m:sSub>
          <m:r>
            <m:rPr>
              <m:sty m:val="p"/>
            </m:rPr>
            <w:rPr>
              <w:rFonts w:ascii="Cambria Math" w:hAnsi="Cambria Math"/>
              <w:lang w:val="en"/>
            </w:rPr>
            <m:t>+0,345</m:t>
          </m:r>
          <m:sSub>
            <m:sSubPr>
              <m:ctrlPr>
                <w:rPr>
                  <w:rFonts w:ascii="Cambria Math" w:hAnsi="Cambria Math"/>
                  <w:lang w:val="en"/>
                </w:rPr>
              </m:ctrlPr>
            </m:sSubPr>
            <m:e>
              <m:r>
                <m:rPr>
                  <m:sty m:val="p"/>
                </m:rPr>
                <w:rPr>
                  <w:rFonts w:ascii="Cambria Math" w:hAnsi="Cambria Math"/>
                  <w:lang w:val="en"/>
                </w:rPr>
                <m:t>X</m:t>
              </m:r>
            </m:e>
            <m:sub>
              <m:r>
                <m:rPr>
                  <m:sty m:val="p"/>
                </m:rPr>
                <w:rPr>
                  <w:rFonts w:ascii="Cambria Math" w:hAnsi="Cambria Math"/>
                  <w:lang w:val="en"/>
                </w:rPr>
                <m:t>1.11</m:t>
              </m:r>
            </m:sub>
          </m:sSub>
        </m:oMath>
      </m:oMathPara>
    </w:p>
    <w:p w14:paraId="30E16E84" w14:textId="1A08CE25" w:rsidR="000B5384" w:rsidRPr="000B5384" w:rsidRDefault="000B5384" w:rsidP="00CE6869">
      <w:pPr>
        <w:pStyle w:val="IEEEFigure"/>
        <w:numPr>
          <w:ilvl w:val="0"/>
          <w:numId w:val="21"/>
        </w:numPr>
        <w:spacing w:line="23" w:lineRule="atLeast"/>
        <w:ind w:left="385" w:hanging="357"/>
        <w:jc w:val="left"/>
        <w:rPr>
          <w:rFonts w:asciiTheme="majorHAnsi" w:hAnsiTheme="majorHAnsi"/>
          <w:b/>
          <w:bCs/>
          <w:lang w:val="en-GB"/>
        </w:rPr>
      </w:pPr>
      <w:r w:rsidRPr="000B5384">
        <w:rPr>
          <w:rFonts w:asciiTheme="majorHAnsi" w:hAnsiTheme="majorHAnsi"/>
          <w:b/>
          <w:bCs/>
          <w:lang w:val="en-GB"/>
        </w:rPr>
        <w:t>Path Analysis</w:t>
      </w:r>
    </w:p>
    <w:p w14:paraId="69F98313" w14:textId="77777777" w:rsidR="00CE6869" w:rsidRDefault="000B5384" w:rsidP="00CE6869">
      <w:pPr>
        <w:pStyle w:val="IEEEParagraph"/>
        <w:numPr>
          <w:ilvl w:val="0"/>
          <w:numId w:val="22"/>
        </w:numPr>
        <w:spacing w:line="23" w:lineRule="atLeast"/>
        <w:rPr>
          <w:rFonts w:asciiTheme="majorHAnsi" w:hAnsiTheme="majorHAnsi"/>
          <w:bCs/>
          <w:lang w:val="en-GB"/>
        </w:rPr>
      </w:pPr>
      <w:r w:rsidRPr="000B5384">
        <w:rPr>
          <w:rFonts w:asciiTheme="majorHAnsi" w:hAnsiTheme="majorHAnsi"/>
          <w:bCs/>
          <w:lang w:val="en-GB"/>
        </w:rPr>
        <w:t>A Path Analysis assumptions</w:t>
      </w:r>
    </w:p>
    <w:p w14:paraId="2D04B0BC" w14:textId="3D61BF6D" w:rsidR="000B5384" w:rsidRPr="000B5384" w:rsidRDefault="000B5384" w:rsidP="00CE6869">
      <w:pPr>
        <w:pStyle w:val="IEEEParagraph"/>
        <w:spacing w:line="23" w:lineRule="atLeast"/>
        <w:ind w:left="720" w:firstLine="0"/>
        <w:rPr>
          <w:rFonts w:asciiTheme="majorHAnsi" w:hAnsiTheme="majorHAnsi"/>
          <w:bCs/>
          <w:lang w:val="en-GB"/>
        </w:rPr>
      </w:pPr>
      <w:r w:rsidRPr="000B5384">
        <w:rPr>
          <w:rFonts w:asciiTheme="majorHAnsi" w:hAnsiTheme="majorHAnsi"/>
          <w:lang w:val="en-US"/>
        </w:rPr>
        <w:t>The results of testing the assumptions of path analysis in this study are as follows.</w:t>
      </w:r>
    </w:p>
    <w:p w14:paraId="27FCD6D1" w14:textId="77777777" w:rsidR="000B5384" w:rsidRPr="000B5384" w:rsidRDefault="000B5384" w:rsidP="000B5384">
      <w:pPr>
        <w:pStyle w:val="IEEEParagraph"/>
        <w:numPr>
          <w:ilvl w:val="0"/>
          <w:numId w:val="17"/>
        </w:numPr>
        <w:spacing w:line="23" w:lineRule="atLeast"/>
        <w:rPr>
          <w:rFonts w:asciiTheme="majorHAnsi" w:hAnsiTheme="majorHAnsi"/>
          <w:lang w:val="en-US"/>
        </w:rPr>
      </w:pPr>
      <w:r w:rsidRPr="000B5384">
        <w:rPr>
          <w:rFonts w:asciiTheme="majorHAnsi" w:hAnsiTheme="majorHAnsi"/>
          <w:lang w:val="en-US"/>
        </w:rPr>
        <w:t>The relationship between variables is linear and additive</w:t>
      </w:r>
    </w:p>
    <w:p w14:paraId="29C9E472" w14:textId="374FFF43" w:rsidR="000B5384" w:rsidRPr="000B5384" w:rsidRDefault="000B5384" w:rsidP="002A312B">
      <w:pPr>
        <w:pStyle w:val="IEEEParagraph"/>
        <w:spacing w:line="23" w:lineRule="atLeast"/>
        <w:ind w:left="1080" w:firstLine="0"/>
        <w:rPr>
          <w:rFonts w:asciiTheme="majorHAnsi" w:hAnsiTheme="majorHAnsi"/>
          <w:lang w:val="en-US"/>
        </w:rPr>
      </w:pPr>
      <w:r w:rsidRPr="000B5384">
        <w:rPr>
          <w:rFonts w:asciiTheme="majorHAnsi" w:hAnsiTheme="majorHAnsi"/>
          <w:lang w:val="en-US"/>
        </w:rPr>
        <w:t>The linearity test was carried out using the RESET method with Rstudio software with the output results shown in table 3.</w:t>
      </w:r>
    </w:p>
    <w:p w14:paraId="414DBF0F" w14:textId="77777777" w:rsidR="000B5384" w:rsidRPr="000B5384" w:rsidRDefault="000B5384" w:rsidP="00585E66">
      <w:pPr>
        <w:pStyle w:val="IEEEParagraph"/>
        <w:spacing w:line="23" w:lineRule="atLeast"/>
        <w:ind w:left="360" w:firstLine="720"/>
        <w:rPr>
          <w:rFonts w:asciiTheme="majorHAnsi" w:hAnsiTheme="majorHAnsi"/>
          <w:lang w:val="en-US"/>
        </w:rPr>
      </w:pPr>
      <w:r w:rsidRPr="000B5384">
        <w:rPr>
          <w:rFonts w:asciiTheme="majorHAnsi" w:hAnsiTheme="majorHAnsi"/>
          <w:b/>
          <w:bCs/>
          <w:lang w:val="en-US"/>
        </w:rPr>
        <w:t xml:space="preserve">Table 3. </w:t>
      </w:r>
      <w:r w:rsidRPr="000B5384">
        <w:rPr>
          <w:rFonts w:asciiTheme="majorHAnsi" w:hAnsiTheme="majorHAnsi"/>
          <w:lang w:val="en-US"/>
        </w:rPr>
        <w:t>Linearity Test Results</w:t>
      </w:r>
    </w:p>
    <w:tbl>
      <w:tblPr>
        <w:tblStyle w:val="TableGrid"/>
        <w:tblW w:w="8505" w:type="dxa"/>
        <w:tblInd w:w="1134" w:type="dxa"/>
        <w:tblBorders>
          <w:left w:val="none" w:sz="0" w:space="0" w:color="auto"/>
          <w:right w:val="none" w:sz="0" w:space="0" w:color="auto"/>
        </w:tblBorders>
        <w:tblLook w:val="04A0" w:firstRow="1" w:lastRow="0" w:firstColumn="1" w:lastColumn="0" w:noHBand="0" w:noVBand="1"/>
      </w:tblPr>
      <w:tblGrid>
        <w:gridCol w:w="3119"/>
        <w:gridCol w:w="2410"/>
        <w:gridCol w:w="2976"/>
      </w:tblGrid>
      <w:tr w:rsidR="000B5384" w:rsidRPr="000B5384" w14:paraId="67D0C119" w14:textId="77777777" w:rsidTr="00585E66">
        <w:tc>
          <w:tcPr>
            <w:tcW w:w="3119" w:type="dxa"/>
            <w:tcBorders>
              <w:right w:val="nil"/>
            </w:tcBorders>
          </w:tcPr>
          <w:p w14:paraId="5EA76D87" w14:textId="77777777" w:rsidR="000B5384" w:rsidRPr="000B5384" w:rsidRDefault="000B5384" w:rsidP="00585E66">
            <w:pPr>
              <w:pStyle w:val="IEEEParagraph"/>
              <w:spacing w:line="23" w:lineRule="atLeast"/>
              <w:ind w:firstLine="0"/>
              <w:jc w:val="center"/>
              <w:rPr>
                <w:rFonts w:asciiTheme="majorHAnsi" w:hAnsiTheme="majorHAnsi"/>
                <w:b/>
                <w:bCs/>
              </w:rPr>
            </w:pPr>
            <w:r w:rsidRPr="000B5384">
              <w:rPr>
                <w:rFonts w:asciiTheme="majorHAnsi" w:hAnsiTheme="majorHAnsi"/>
                <w:b/>
                <w:bCs/>
              </w:rPr>
              <w:t>Variable Relations</w:t>
            </w:r>
          </w:p>
        </w:tc>
        <w:tc>
          <w:tcPr>
            <w:tcW w:w="2410" w:type="dxa"/>
            <w:tcBorders>
              <w:left w:val="nil"/>
              <w:right w:val="nil"/>
            </w:tcBorders>
          </w:tcPr>
          <w:p w14:paraId="5821AE08" w14:textId="77777777" w:rsidR="000B5384" w:rsidRPr="000B5384" w:rsidRDefault="000B5384" w:rsidP="00585E66">
            <w:pPr>
              <w:pStyle w:val="IEEEParagraph"/>
              <w:spacing w:line="23" w:lineRule="atLeast"/>
              <w:ind w:firstLine="0"/>
              <w:jc w:val="center"/>
              <w:rPr>
                <w:rFonts w:asciiTheme="majorHAnsi" w:hAnsiTheme="majorHAnsi"/>
                <w:b/>
                <w:bCs/>
              </w:rPr>
            </w:pPr>
            <w:r w:rsidRPr="000B5384">
              <w:rPr>
                <w:rFonts w:asciiTheme="majorHAnsi" w:hAnsiTheme="majorHAnsi"/>
                <w:b/>
                <w:bCs/>
              </w:rPr>
              <w:t>P-Value</w:t>
            </w:r>
          </w:p>
        </w:tc>
        <w:tc>
          <w:tcPr>
            <w:tcW w:w="2976" w:type="dxa"/>
            <w:tcBorders>
              <w:left w:val="nil"/>
            </w:tcBorders>
          </w:tcPr>
          <w:p w14:paraId="1F1E4884" w14:textId="77777777" w:rsidR="000B5384" w:rsidRPr="000B5384" w:rsidRDefault="000B5384" w:rsidP="00585E66">
            <w:pPr>
              <w:pStyle w:val="IEEEParagraph"/>
              <w:spacing w:line="23" w:lineRule="atLeast"/>
              <w:ind w:firstLine="0"/>
              <w:jc w:val="center"/>
              <w:rPr>
                <w:rFonts w:asciiTheme="majorHAnsi" w:hAnsiTheme="majorHAnsi"/>
                <w:b/>
                <w:bCs/>
              </w:rPr>
            </w:pPr>
            <w:r w:rsidRPr="000B5384">
              <w:rPr>
                <w:rFonts w:asciiTheme="majorHAnsi" w:hAnsiTheme="majorHAnsi"/>
                <w:b/>
                <w:bCs/>
              </w:rPr>
              <w:t>Connection</w:t>
            </w:r>
          </w:p>
        </w:tc>
      </w:tr>
      <w:tr w:rsidR="000B5384" w:rsidRPr="000B5384" w14:paraId="08F823A1" w14:textId="77777777" w:rsidTr="00585E66">
        <w:tc>
          <w:tcPr>
            <w:tcW w:w="3119" w:type="dxa"/>
            <w:tcBorders>
              <w:right w:val="nil"/>
            </w:tcBorders>
          </w:tcPr>
          <w:p w14:paraId="4E8CD16B"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X1 against Y1</w:t>
            </w:r>
          </w:p>
        </w:tc>
        <w:tc>
          <w:tcPr>
            <w:tcW w:w="2410" w:type="dxa"/>
            <w:tcBorders>
              <w:left w:val="nil"/>
              <w:right w:val="nil"/>
            </w:tcBorders>
          </w:tcPr>
          <w:p w14:paraId="0B4AE0F2"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0.4377</w:t>
            </w:r>
          </w:p>
        </w:tc>
        <w:tc>
          <w:tcPr>
            <w:tcW w:w="2976" w:type="dxa"/>
            <w:tcBorders>
              <w:left w:val="nil"/>
            </w:tcBorders>
          </w:tcPr>
          <w:p w14:paraId="52A46D0B"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linear</w:t>
            </w:r>
          </w:p>
        </w:tc>
      </w:tr>
      <w:tr w:rsidR="000B5384" w:rsidRPr="000B5384" w14:paraId="1517D48C" w14:textId="77777777" w:rsidTr="00585E66">
        <w:tc>
          <w:tcPr>
            <w:tcW w:w="3119" w:type="dxa"/>
            <w:tcBorders>
              <w:right w:val="nil"/>
            </w:tcBorders>
          </w:tcPr>
          <w:p w14:paraId="327B88CB"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X1 against Y2</w:t>
            </w:r>
          </w:p>
        </w:tc>
        <w:tc>
          <w:tcPr>
            <w:tcW w:w="2410" w:type="dxa"/>
            <w:tcBorders>
              <w:left w:val="nil"/>
              <w:right w:val="nil"/>
            </w:tcBorders>
          </w:tcPr>
          <w:p w14:paraId="483B9B27"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0.5698</w:t>
            </w:r>
          </w:p>
        </w:tc>
        <w:tc>
          <w:tcPr>
            <w:tcW w:w="2976" w:type="dxa"/>
            <w:tcBorders>
              <w:left w:val="nil"/>
            </w:tcBorders>
          </w:tcPr>
          <w:p w14:paraId="31BC04FB"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linear</w:t>
            </w:r>
          </w:p>
        </w:tc>
      </w:tr>
      <w:tr w:rsidR="000B5384" w:rsidRPr="000B5384" w14:paraId="27AE35E6" w14:textId="77777777" w:rsidTr="00585E66">
        <w:trPr>
          <w:trHeight w:val="70"/>
        </w:trPr>
        <w:tc>
          <w:tcPr>
            <w:tcW w:w="3119" w:type="dxa"/>
            <w:tcBorders>
              <w:right w:val="nil"/>
            </w:tcBorders>
          </w:tcPr>
          <w:p w14:paraId="4E41BDA6"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Y1 against Y2</w:t>
            </w:r>
          </w:p>
        </w:tc>
        <w:tc>
          <w:tcPr>
            <w:tcW w:w="2410" w:type="dxa"/>
            <w:tcBorders>
              <w:left w:val="nil"/>
              <w:right w:val="nil"/>
            </w:tcBorders>
          </w:tcPr>
          <w:p w14:paraId="4B156B63"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0.6714</w:t>
            </w:r>
          </w:p>
        </w:tc>
        <w:tc>
          <w:tcPr>
            <w:tcW w:w="2976" w:type="dxa"/>
            <w:tcBorders>
              <w:left w:val="nil"/>
            </w:tcBorders>
          </w:tcPr>
          <w:p w14:paraId="0FC585E4"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linear</w:t>
            </w:r>
          </w:p>
        </w:tc>
      </w:tr>
    </w:tbl>
    <w:p w14:paraId="615689A0" w14:textId="6A330D61" w:rsidR="000B5384" w:rsidRPr="000B5384" w:rsidRDefault="000B5384" w:rsidP="002A312B">
      <w:pPr>
        <w:pStyle w:val="IEEEParagraph"/>
        <w:spacing w:line="23" w:lineRule="atLeast"/>
        <w:ind w:left="1080" w:firstLine="360"/>
        <w:rPr>
          <w:rFonts w:asciiTheme="majorHAnsi" w:hAnsiTheme="majorHAnsi"/>
          <w:lang w:val="en-US"/>
        </w:rPr>
      </w:pPr>
      <w:r w:rsidRPr="000B5384">
        <w:rPr>
          <w:rFonts w:asciiTheme="majorHAnsi" w:hAnsiTheme="majorHAnsi"/>
          <w:lang w:val="en-US"/>
        </w:rPr>
        <w:t>Based on Table 3. it can be seen that there is a relationship between exogenous variables and endogenous variables</w:t>
      </w:r>
      <m:oMath>
        <m:r>
          <m:rPr>
            <m:sty m:val="p"/>
          </m:rPr>
          <w:rPr>
            <w:rFonts w:ascii="Cambria Math" w:hAnsi="Cambria Math"/>
            <w:lang w:val="en-US"/>
          </w:rPr>
          <m:t>p-value&gt;0,05</m:t>
        </m:r>
      </m:oMath>
      <w:r w:rsidRPr="000B5384">
        <w:rPr>
          <w:rFonts w:asciiTheme="majorHAnsi" w:hAnsiTheme="majorHAnsi"/>
          <w:lang w:val="en-US"/>
        </w:rPr>
        <w:t xml:space="preserve"> means accept </w:t>
      </w:r>
      <m:oMath>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0</m:t>
            </m:r>
          </m:sub>
        </m:sSub>
      </m:oMath>
      <w:r w:rsidRPr="000B5384">
        <w:rPr>
          <w:rFonts w:asciiTheme="majorHAnsi" w:hAnsiTheme="majorHAnsi"/>
          <w:lang w:val="en-US"/>
        </w:rPr>
        <w:t>so that it can be said that the assumption of linearity has been met.</w:t>
      </w:r>
    </w:p>
    <w:p w14:paraId="4FEAAD7E" w14:textId="77777777" w:rsidR="000B5384" w:rsidRPr="000B5384" w:rsidRDefault="000B5384" w:rsidP="000B5384">
      <w:pPr>
        <w:pStyle w:val="IEEEParagraph"/>
        <w:numPr>
          <w:ilvl w:val="0"/>
          <w:numId w:val="17"/>
        </w:numPr>
        <w:spacing w:line="23" w:lineRule="atLeast"/>
        <w:rPr>
          <w:rFonts w:asciiTheme="majorHAnsi" w:hAnsiTheme="majorHAnsi"/>
          <w:lang w:val="en-US"/>
        </w:rPr>
      </w:pPr>
      <w:r w:rsidRPr="000B5384">
        <w:rPr>
          <w:rFonts w:asciiTheme="majorHAnsi" w:hAnsiTheme="majorHAnsi"/>
          <w:lang w:val="en-US"/>
        </w:rPr>
        <w:t>Minimal endogenous variable in interval measurement scale</w:t>
      </w:r>
    </w:p>
    <w:p w14:paraId="790EA9F7" w14:textId="77777777" w:rsidR="000B5384" w:rsidRPr="000B5384" w:rsidRDefault="000B5384" w:rsidP="002A312B">
      <w:pPr>
        <w:pStyle w:val="IEEEParagraph"/>
        <w:spacing w:line="23" w:lineRule="atLeast"/>
        <w:ind w:left="1080" w:firstLine="0"/>
        <w:rPr>
          <w:rFonts w:asciiTheme="majorHAnsi" w:hAnsiTheme="majorHAnsi"/>
          <w:lang w:val="en"/>
        </w:rPr>
      </w:pPr>
      <w:r w:rsidRPr="000B5384">
        <w:rPr>
          <w:rFonts w:asciiTheme="majorHAnsi" w:hAnsiTheme="majorHAnsi"/>
          <w:lang w:val="en"/>
        </w:rPr>
        <w:t>The data used is secondary data in the form of a Likert scale, where the score produced on the Likert scale is data that is close to the interval scale. Then the score that has been obtained is carried out by a scaling process using the Summated Rating Scale (SRS) method. Therefore, the assumption of a minimum endogenous variable measuring interval scale is fulfilled.</w:t>
      </w:r>
    </w:p>
    <w:p w14:paraId="429B57D9" w14:textId="77777777" w:rsidR="000B5384" w:rsidRPr="000B5384" w:rsidRDefault="000B5384" w:rsidP="000B5384">
      <w:pPr>
        <w:pStyle w:val="IEEEParagraph"/>
        <w:numPr>
          <w:ilvl w:val="0"/>
          <w:numId w:val="17"/>
        </w:numPr>
        <w:spacing w:line="23" w:lineRule="atLeast"/>
        <w:rPr>
          <w:rFonts w:asciiTheme="majorHAnsi" w:hAnsiTheme="majorHAnsi"/>
          <w:lang w:val="en-US"/>
        </w:rPr>
      </w:pPr>
      <w:r w:rsidRPr="000B5384">
        <w:rPr>
          <w:rFonts w:asciiTheme="majorHAnsi" w:hAnsiTheme="majorHAnsi"/>
          <w:lang w:val="en-US"/>
        </w:rPr>
        <w:t>Normality Assumption</w:t>
      </w:r>
    </w:p>
    <w:p w14:paraId="5C86080E" w14:textId="76693DF7" w:rsidR="000B5384" w:rsidRPr="000B5384" w:rsidRDefault="000B5384" w:rsidP="002A312B">
      <w:pPr>
        <w:pStyle w:val="IEEEParagraph"/>
        <w:spacing w:line="23" w:lineRule="atLeast"/>
        <w:ind w:left="1080" w:firstLine="0"/>
        <w:rPr>
          <w:rFonts w:asciiTheme="majorHAnsi" w:hAnsiTheme="majorHAnsi"/>
        </w:rPr>
      </w:pPr>
      <w:r w:rsidRPr="000B5384">
        <w:rPr>
          <w:rFonts w:asciiTheme="majorHAnsi" w:hAnsiTheme="majorHAnsi"/>
          <w:bCs/>
        </w:rPr>
        <w:t xml:space="preserve">The normality assumption test is used to </w:t>
      </w:r>
      <w:r w:rsidRPr="000B5384">
        <w:rPr>
          <w:rFonts w:asciiTheme="majorHAnsi" w:hAnsiTheme="majorHAnsi"/>
        </w:rPr>
        <w:t xml:space="preserve">identify residuals in normally distributed research or not. The regression model can be said to be good if the residuals are normally distributed. Based on the results of the analysis obtained value </w:t>
      </w:r>
      <m:oMath>
        <m:r>
          <m:rPr>
            <m:sty m:val="p"/>
          </m:rPr>
          <w:rPr>
            <w:rFonts w:ascii="Cambria Math" w:hAnsi="Cambria Math"/>
          </w:rPr>
          <m:t>p-value (0,2)&gt;α (0,05)</m:t>
        </m:r>
      </m:oMath>
      <w:r w:rsidRPr="000B5384">
        <w:rPr>
          <w:rFonts w:asciiTheme="majorHAnsi" w:hAnsiTheme="majorHAnsi"/>
        </w:rPr>
        <w:t xml:space="preserve">, it can be concluded to reject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oMath>
      <w:r w:rsidRPr="000B5384">
        <w:rPr>
          <w:rFonts w:asciiTheme="majorHAnsi" w:hAnsiTheme="majorHAnsi"/>
        </w:rPr>
        <w:t>. So it can be concluded that with a significant level of 5%, the residuals are normally distributed.</w:t>
      </w:r>
    </w:p>
    <w:p w14:paraId="1CEFF454" w14:textId="77777777" w:rsidR="000B5384" w:rsidRPr="000B5384" w:rsidRDefault="000B5384" w:rsidP="000B5384">
      <w:pPr>
        <w:pStyle w:val="IEEEParagraph"/>
        <w:numPr>
          <w:ilvl w:val="0"/>
          <w:numId w:val="17"/>
        </w:numPr>
        <w:spacing w:line="23" w:lineRule="atLeast"/>
        <w:rPr>
          <w:rFonts w:asciiTheme="majorHAnsi" w:hAnsiTheme="majorHAnsi"/>
        </w:rPr>
      </w:pPr>
      <w:r w:rsidRPr="000B5384">
        <w:rPr>
          <w:rFonts w:asciiTheme="majorHAnsi" w:hAnsiTheme="majorHAnsi"/>
        </w:rPr>
        <w:t>Models are Recursive</w:t>
      </w:r>
    </w:p>
    <w:p w14:paraId="3C7CFBEE" w14:textId="77777777" w:rsidR="000B5384" w:rsidRPr="000B5384" w:rsidRDefault="000B5384" w:rsidP="002A312B">
      <w:pPr>
        <w:pStyle w:val="IEEEParagraph"/>
        <w:spacing w:line="23" w:lineRule="atLeast"/>
        <w:ind w:left="1080" w:firstLine="0"/>
        <w:rPr>
          <w:rFonts w:asciiTheme="majorHAnsi" w:hAnsiTheme="majorHAnsi"/>
        </w:rPr>
      </w:pPr>
      <w:r w:rsidRPr="000B5384">
        <w:rPr>
          <w:rFonts w:asciiTheme="majorHAnsi" w:hAnsiTheme="majorHAnsi"/>
        </w:rPr>
        <w:t>The model in path analysis is said to be recursive if it has a one-way relationship pattern. In Figure 2 it can be seen that each exogenous variable has one-way causality and there is no two-way (reciprocal) relationship so that it can be said that the model is recursive.</w:t>
      </w:r>
    </w:p>
    <w:p w14:paraId="21D9A2E5" w14:textId="77777777" w:rsidR="000B5384" w:rsidRPr="000B5384" w:rsidRDefault="000B5384" w:rsidP="000B5384">
      <w:pPr>
        <w:pStyle w:val="IEEEParagraph"/>
        <w:numPr>
          <w:ilvl w:val="0"/>
          <w:numId w:val="17"/>
        </w:numPr>
        <w:spacing w:line="23" w:lineRule="atLeast"/>
        <w:rPr>
          <w:rFonts w:asciiTheme="majorHAnsi" w:hAnsiTheme="majorHAnsi"/>
        </w:rPr>
      </w:pPr>
      <w:r w:rsidRPr="000B5384">
        <w:rPr>
          <w:rFonts w:asciiTheme="majorHAnsi" w:hAnsiTheme="majorHAnsi"/>
        </w:rPr>
        <w:t>The analyzed model is correctly specified based on relevant theories and concepts</w:t>
      </w:r>
    </w:p>
    <w:p w14:paraId="354ADEF8" w14:textId="1C4FF2D9" w:rsidR="000B5384" w:rsidRPr="000B5384" w:rsidRDefault="000B5384" w:rsidP="002A312B">
      <w:pPr>
        <w:pStyle w:val="IEEEParagraph"/>
        <w:numPr>
          <w:ilvl w:val="0"/>
          <w:numId w:val="22"/>
        </w:numPr>
        <w:spacing w:line="23" w:lineRule="atLeast"/>
        <w:rPr>
          <w:rFonts w:asciiTheme="majorHAnsi" w:hAnsiTheme="majorHAnsi"/>
          <w:bCs/>
          <w:lang w:val="en-GB"/>
        </w:rPr>
      </w:pPr>
      <w:r w:rsidRPr="000B5384">
        <w:rPr>
          <w:rFonts w:asciiTheme="majorHAnsi" w:hAnsiTheme="majorHAnsi"/>
          <w:bCs/>
          <w:lang w:val="en-GB"/>
        </w:rPr>
        <w:t>Parameter Estimation and Hypothesis Testing</w:t>
      </w:r>
    </w:p>
    <w:p w14:paraId="14589747" w14:textId="77777777" w:rsidR="000B5384" w:rsidRPr="000B5384" w:rsidRDefault="000B5384" w:rsidP="002A312B">
      <w:pPr>
        <w:pStyle w:val="IEEEParagraph"/>
        <w:spacing w:line="23" w:lineRule="atLeast"/>
        <w:ind w:left="720" w:firstLine="0"/>
        <w:rPr>
          <w:rFonts w:asciiTheme="majorHAnsi" w:hAnsiTheme="majorHAnsi"/>
          <w:bCs/>
        </w:rPr>
      </w:pPr>
      <w:r w:rsidRPr="000B5384">
        <w:rPr>
          <w:rFonts w:asciiTheme="majorHAnsi" w:hAnsiTheme="majorHAnsi"/>
          <w:bCs/>
        </w:rPr>
        <w:t xml:space="preserve">Parameter estimation in the path analysis is carried out to estimate the path coefficient. This is used to determine the relationship between exogenous variables and </w:t>
      </w:r>
      <w:r w:rsidRPr="000B5384">
        <w:rPr>
          <w:rFonts w:asciiTheme="majorHAnsi" w:hAnsiTheme="majorHAnsi"/>
          <w:bCs/>
        </w:rPr>
        <w:lastRenderedPageBreak/>
        <w:t>endogenous variables, while hypothesis testing is used to test the significance of the path coefficient partially. The hypothesis used is as follows.</w:t>
      </w:r>
    </w:p>
    <w:p w14:paraId="2C2B21AA" w14:textId="77777777" w:rsidR="00585E66" w:rsidRDefault="00000000" w:rsidP="00585E66">
      <w:pPr>
        <w:pStyle w:val="IEEEParagraph"/>
        <w:numPr>
          <w:ilvl w:val="0"/>
          <w:numId w:val="23"/>
        </w:numPr>
        <w:spacing w:line="23" w:lineRule="atLeast"/>
        <w:rPr>
          <w:rFonts w:asciiTheme="majorHAnsi" w:hAnsiTheme="majorHAnsi"/>
          <w:bCs/>
        </w:rPr>
      </w:pPr>
      <m:oMath>
        <m:sSub>
          <m:sSubPr>
            <m:ctrlPr>
              <w:rPr>
                <w:rFonts w:ascii="Cambria Math" w:hAnsi="Cambria Math"/>
                <w:bCs/>
              </w:rPr>
            </m:ctrlPr>
          </m:sSubPr>
          <m:e>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0</m:t>
                </m:r>
              </m:sub>
            </m:sSub>
            <m:r>
              <m:rPr>
                <m:sty m:val="p"/>
              </m:rPr>
              <w:rPr>
                <w:rFonts w:ascii="Cambria Math" w:hAnsi="Cambria Math"/>
              </w:rPr>
              <m:t>:  ρ</m:t>
            </m:r>
          </m:e>
          <m:sub>
            <m:r>
              <m:rPr>
                <m:sty m:val="p"/>
              </m:rPr>
              <w:rPr>
                <w:rFonts w:ascii="Cambria Math" w:hAnsi="Cambria Math"/>
              </w:rPr>
              <m:t>xy</m:t>
            </m:r>
          </m:sub>
        </m:sSub>
        <m:r>
          <m:rPr>
            <m:sty m:val="p"/>
          </m:rPr>
          <w:rPr>
            <w:rFonts w:ascii="Cambria Math" w:hAnsi="Cambria Math"/>
          </w:rPr>
          <m:t>=0</m:t>
        </m:r>
      </m:oMath>
      <w:r w:rsidR="000B5384" w:rsidRPr="000B5384">
        <w:rPr>
          <w:rFonts w:asciiTheme="majorHAnsi" w:hAnsiTheme="majorHAnsi"/>
          <w:bCs/>
        </w:rPr>
        <w:t>(There is no significant effect of exogenous variables on endogenous variables) vs</w:t>
      </w:r>
    </w:p>
    <w:p w14:paraId="76BB6DBF" w14:textId="1AEA5E2A" w:rsidR="000B5384" w:rsidRPr="000B5384" w:rsidRDefault="00000000" w:rsidP="00585E66">
      <w:pPr>
        <w:pStyle w:val="IEEEParagraph"/>
        <w:numPr>
          <w:ilvl w:val="0"/>
          <w:numId w:val="23"/>
        </w:numPr>
        <w:spacing w:line="23" w:lineRule="atLeast"/>
        <w:rPr>
          <w:rFonts w:asciiTheme="majorHAnsi" w:hAnsiTheme="majorHAnsi"/>
          <w:bCs/>
        </w:rPr>
      </w:pPr>
      <m:oMath>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ρ</m:t>
            </m:r>
          </m:e>
          <m:sub>
            <m:r>
              <m:rPr>
                <m:sty m:val="p"/>
              </m:rPr>
              <w:rPr>
                <w:rFonts w:ascii="Cambria Math" w:hAnsi="Cambria Math"/>
              </w:rPr>
              <m:t>xy</m:t>
            </m:r>
          </m:sub>
        </m:sSub>
        <m:r>
          <m:rPr>
            <m:sty m:val="p"/>
          </m:rPr>
          <w:rPr>
            <w:rFonts w:ascii="Cambria Math" w:hAnsi="Cambria Math"/>
          </w:rPr>
          <m:t>≠0</m:t>
        </m:r>
      </m:oMath>
      <w:r w:rsidR="000B5384" w:rsidRPr="000B5384">
        <w:rPr>
          <w:rFonts w:asciiTheme="majorHAnsi" w:hAnsiTheme="majorHAnsi"/>
          <w:bCs/>
        </w:rPr>
        <w:t>(There is a significant effect of exogenous variables on endogenous variables)</w:t>
      </w:r>
    </w:p>
    <w:p w14:paraId="0F6E42C8" w14:textId="77777777" w:rsidR="000B5384" w:rsidRPr="000B5384" w:rsidRDefault="000B5384" w:rsidP="000B5384">
      <w:pPr>
        <w:pStyle w:val="IEEEParagraph"/>
        <w:spacing w:line="23" w:lineRule="atLeast"/>
        <w:ind w:left="567" w:firstLine="360"/>
        <w:rPr>
          <w:rFonts w:asciiTheme="majorHAnsi" w:hAnsiTheme="majorHAnsi"/>
        </w:rPr>
      </w:pPr>
      <w:bookmarkStart w:id="5" w:name="_Toc117753910"/>
      <w:r w:rsidRPr="000B5384">
        <w:rPr>
          <w:rFonts w:asciiTheme="majorHAnsi" w:hAnsiTheme="majorHAnsi"/>
          <w:b/>
          <w:bCs/>
        </w:rPr>
        <w:t>Table 3.</w:t>
      </w:r>
      <w:r w:rsidRPr="000B5384">
        <w:rPr>
          <w:rFonts w:asciiTheme="majorHAnsi" w:hAnsiTheme="majorHAnsi"/>
        </w:rPr>
        <w:t xml:space="preserve"> </w:t>
      </w:r>
      <w:bookmarkEnd w:id="5"/>
      <w:r w:rsidRPr="000B5384">
        <w:rPr>
          <w:rFonts w:asciiTheme="majorHAnsi" w:hAnsiTheme="majorHAnsi"/>
        </w:rPr>
        <w:t>Results of Parameter Estimation and Hypothesis Testing</w:t>
      </w:r>
    </w:p>
    <w:tbl>
      <w:tblPr>
        <w:tblStyle w:val="TableGrid"/>
        <w:tblW w:w="8646" w:type="dxa"/>
        <w:tblInd w:w="988" w:type="dxa"/>
        <w:tblBorders>
          <w:left w:val="none" w:sz="0" w:space="0" w:color="auto"/>
          <w:right w:val="none" w:sz="0" w:space="0" w:color="auto"/>
        </w:tblBorders>
        <w:tblLook w:val="04A0" w:firstRow="1" w:lastRow="0" w:firstColumn="1" w:lastColumn="0" w:noHBand="0" w:noVBand="1"/>
      </w:tblPr>
      <w:tblGrid>
        <w:gridCol w:w="3118"/>
        <w:gridCol w:w="1701"/>
        <w:gridCol w:w="2126"/>
        <w:gridCol w:w="1701"/>
      </w:tblGrid>
      <w:tr w:rsidR="00585E66" w:rsidRPr="000B5384" w14:paraId="628B9F71" w14:textId="77777777" w:rsidTr="00585E66">
        <w:tc>
          <w:tcPr>
            <w:tcW w:w="3118" w:type="dxa"/>
            <w:tcBorders>
              <w:right w:val="nil"/>
            </w:tcBorders>
          </w:tcPr>
          <w:p w14:paraId="1404B904" w14:textId="77777777" w:rsidR="000B5384" w:rsidRPr="000B5384" w:rsidRDefault="000B5384" w:rsidP="00585E66">
            <w:pPr>
              <w:pStyle w:val="IEEEParagraph"/>
              <w:spacing w:line="23" w:lineRule="atLeast"/>
              <w:ind w:firstLine="0"/>
              <w:jc w:val="center"/>
              <w:rPr>
                <w:rFonts w:asciiTheme="majorHAnsi" w:hAnsiTheme="majorHAnsi"/>
                <w:b/>
                <w:bCs/>
              </w:rPr>
            </w:pPr>
            <w:r w:rsidRPr="000B5384">
              <w:rPr>
                <w:rFonts w:asciiTheme="majorHAnsi" w:hAnsiTheme="majorHAnsi"/>
                <w:b/>
                <w:bCs/>
              </w:rPr>
              <w:t>Variable Relations</w:t>
            </w:r>
          </w:p>
        </w:tc>
        <w:tc>
          <w:tcPr>
            <w:tcW w:w="1701" w:type="dxa"/>
            <w:tcBorders>
              <w:left w:val="nil"/>
              <w:right w:val="nil"/>
            </w:tcBorders>
          </w:tcPr>
          <w:p w14:paraId="143A9770" w14:textId="77777777" w:rsidR="000B5384" w:rsidRPr="000B5384" w:rsidRDefault="000B5384" w:rsidP="00585E66">
            <w:pPr>
              <w:pStyle w:val="IEEEParagraph"/>
              <w:spacing w:line="23" w:lineRule="atLeast"/>
              <w:ind w:firstLine="0"/>
              <w:jc w:val="center"/>
              <w:rPr>
                <w:rFonts w:asciiTheme="majorHAnsi" w:hAnsiTheme="majorHAnsi"/>
                <w:b/>
                <w:bCs/>
              </w:rPr>
            </w:pPr>
            <w:r w:rsidRPr="000B5384">
              <w:rPr>
                <w:rFonts w:asciiTheme="majorHAnsi" w:hAnsiTheme="majorHAnsi"/>
                <w:b/>
                <w:bCs/>
              </w:rPr>
              <w:t>Path Coefficient</w:t>
            </w:r>
          </w:p>
        </w:tc>
        <w:tc>
          <w:tcPr>
            <w:tcW w:w="2126" w:type="dxa"/>
            <w:tcBorders>
              <w:left w:val="nil"/>
              <w:right w:val="nil"/>
            </w:tcBorders>
          </w:tcPr>
          <w:p w14:paraId="26D05405" w14:textId="77777777" w:rsidR="000B5384" w:rsidRPr="000B5384" w:rsidRDefault="000B5384" w:rsidP="00585E66">
            <w:pPr>
              <w:pStyle w:val="IEEEParagraph"/>
              <w:spacing w:line="23" w:lineRule="atLeast"/>
              <w:ind w:firstLine="0"/>
              <w:jc w:val="center"/>
              <w:rPr>
                <w:rFonts w:asciiTheme="majorHAnsi" w:hAnsiTheme="majorHAnsi"/>
                <w:b/>
                <w:bCs/>
              </w:rPr>
            </w:pPr>
            <w:r w:rsidRPr="000B5384">
              <w:rPr>
                <w:rFonts w:asciiTheme="majorHAnsi" w:hAnsiTheme="majorHAnsi"/>
                <w:b/>
                <w:bCs/>
              </w:rPr>
              <w:t>p-values</w:t>
            </w:r>
          </w:p>
        </w:tc>
        <w:tc>
          <w:tcPr>
            <w:tcW w:w="1701" w:type="dxa"/>
            <w:tcBorders>
              <w:left w:val="nil"/>
            </w:tcBorders>
          </w:tcPr>
          <w:p w14:paraId="2133FD5D" w14:textId="77777777" w:rsidR="000B5384" w:rsidRPr="000B5384" w:rsidRDefault="000B5384" w:rsidP="00585E66">
            <w:pPr>
              <w:pStyle w:val="IEEEParagraph"/>
              <w:spacing w:line="23" w:lineRule="atLeast"/>
              <w:ind w:firstLine="0"/>
              <w:jc w:val="center"/>
              <w:rPr>
                <w:rFonts w:asciiTheme="majorHAnsi" w:hAnsiTheme="majorHAnsi"/>
                <w:b/>
                <w:bCs/>
              </w:rPr>
            </w:pPr>
            <w:r w:rsidRPr="000B5384">
              <w:rPr>
                <w:rFonts w:asciiTheme="majorHAnsi" w:hAnsiTheme="majorHAnsi"/>
                <w:b/>
                <w:bCs/>
              </w:rPr>
              <w:t>Decision</w:t>
            </w:r>
          </w:p>
        </w:tc>
      </w:tr>
      <w:tr w:rsidR="00585E66" w:rsidRPr="000B5384" w14:paraId="525AEB14" w14:textId="77777777" w:rsidTr="00585E66">
        <w:tc>
          <w:tcPr>
            <w:tcW w:w="3118" w:type="dxa"/>
            <w:tcBorders>
              <w:right w:val="nil"/>
            </w:tcBorders>
          </w:tcPr>
          <w:p w14:paraId="217096E8"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X1 against Y1</w:t>
            </w:r>
          </w:p>
        </w:tc>
        <w:tc>
          <w:tcPr>
            <w:tcW w:w="1701" w:type="dxa"/>
            <w:tcBorders>
              <w:left w:val="nil"/>
              <w:right w:val="nil"/>
            </w:tcBorders>
          </w:tcPr>
          <w:p w14:paraId="775A087C"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0.4181</w:t>
            </w:r>
          </w:p>
        </w:tc>
        <w:tc>
          <w:tcPr>
            <w:tcW w:w="2126" w:type="dxa"/>
            <w:tcBorders>
              <w:left w:val="nil"/>
              <w:right w:val="nil"/>
            </w:tcBorders>
          </w:tcPr>
          <w:p w14:paraId="540484D1"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0.0045</w:t>
            </w:r>
          </w:p>
        </w:tc>
        <w:tc>
          <w:tcPr>
            <w:tcW w:w="1701" w:type="dxa"/>
            <w:tcBorders>
              <w:left w:val="nil"/>
            </w:tcBorders>
          </w:tcPr>
          <w:p w14:paraId="4C6824DC" w14:textId="4D3C7B3B" w:rsidR="000B5384" w:rsidRPr="000B5384" w:rsidRDefault="000B5384" w:rsidP="00585E66">
            <w:pPr>
              <w:pStyle w:val="IEEEParagraph"/>
              <w:spacing w:line="23" w:lineRule="atLeast"/>
              <w:ind w:firstLine="0"/>
              <w:jc w:val="center"/>
              <w:rPr>
                <w:rFonts w:asciiTheme="majorHAnsi" w:hAnsiTheme="majorHAnsi"/>
                <w:vertAlign w:val="subscript"/>
              </w:rPr>
            </w:pPr>
            <w:r w:rsidRPr="000B5384">
              <w:rPr>
                <w:rFonts w:asciiTheme="majorHAnsi" w:hAnsiTheme="majorHAnsi"/>
              </w:rPr>
              <w:t>Reject</w:t>
            </w:r>
            <w:bookmarkStart w:id="6" w:name="_Hlk142025899"/>
            <w:r w:rsidRPr="000B5384">
              <w:rPr>
                <w:rFonts w:asciiTheme="majorHAnsi" w:hAnsiTheme="majorHAnsi"/>
              </w:rPr>
              <w:t xml:space="preserve"> </w:t>
            </w:r>
            <m:oMath>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0</m:t>
                  </m:r>
                </m:sub>
              </m:sSub>
            </m:oMath>
            <w:bookmarkEnd w:id="6"/>
          </w:p>
        </w:tc>
      </w:tr>
      <w:tr w:rsidR="00585E66" w:rsidRPr="000B5384" w14:paraId="1E274CC3" w14:textId="77777777" w:rsidTr="00585E66">
        <w:tc>
          <w:tcPr>
            <w:tcW w:w="3118" w:type="dxa"/>
            <w:tcBorders>
              <w:right w:val="nil"/>
            </w:tcBorders>
          </w:tcPr>
          <w:p w14:paraId="04F95255"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X1 against Y2</w:t>
            </w:r>
          </w:p>
        </w:tc>
        <w:tc>
          <w:tcPr>
            <w:tcW w:w="1701" w:type="dxa"/>
            <w:tcBorders>
              <w:left w:val="nil"/>
              <w:right w:val="nil"/>
            </w:tcBorders>
          </w:tcPr>
          <w:p w14:paraId="6BD84837"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0.4452</w:t>
            </w:r>
          </w:p>
        </w:tc>
        <w:tc>
          <w:tcPr>
            <w:tcW w:w="2126" w:type="dxa"/>
            <w:tcBorders>
              <w:left w:val="nil"/>
              <w:right w:val="nil"/>
            </w:tcBorders>
          </w:tcPr>
          <w:p w14:paraId="63574ECE"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0.0127</w:t>
            </w:r>
          </w:p>
        </w:tc>
        <w:tc>
          <w:tcPr>
            <w:tcW w:w="1701" w:type="dxa"/>
            <w:tcBorders>
              <w:left w:val="nil"/>
            </w:tcBorders>
          </w:tcPr>
          <w:p w14:paraId="2777132C" w14:textId="1A0A2F7D" w:rsidR="000B5384" w:rsidRPr="000B5384" w:rsidRDefault="000B5384" w:rsidP="00585E66">
            <w:pPr>
              <w:pStyle w:val="IEEEParagraph"/>
              <w:spacing w:line="23" w:lineRule="atLeast"/>
              <w:ind w:firstLine="0"/>
              <w:jc w:val="center"/>
              <w:rPr>
                <w:rFonts w:asciiTheme="majorHAnsi" w:hAnsiTheme="majorHAnsi"/>
                <w:vertAlign w:val="subscript"/>
              </w:rPr>
            </w:pPr>
            <w:r w:rsidRPr="000B5384">
              <w:rPr>
                <w:rFonts w:asciiTheme="majorHAnsi" w:hAnsiTheme="majorHAnsi"/>
              </w:rPr>
              <w:t xml:space="preserve">Reject </w:t>
            </w:r>
            <m:oMath>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0</m:t>
                  </m:r>
                </m:sub>
              </m:sSub>
            </m:oMath>
          </w:p>
        </w:tc>
      </w:tr>
      <w:tr w:rsidR="00585E66" w:rsidRPr="000B5384" w14:paraId="171E1069" w14:textId="77777777" w:rsidTr="00585E66">
        <w:tc>
          <w:tcPr>
            <w:tcW w:w="3118" w:type="dxa"/>
            <w:tcBorders>
              <w:right w:val="nil"/>
            </w:tcBorders>
          </w:tcPr>
          <w:p w14:paraId="64B89D25"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Y1 against Y2</w:t>
            </w:r>
          </w:p>
        </w:tc>
        <w:tc>
          <w:tcPr>
            <w:tcW w:w="1701" w:type="dxa"/>
            <w:tcBorders>
              <w:left w:val="nil"/>
              <w:right w:val="nil"/>
            </w:tcBorders>
          </w:tcPr>
          <w:p w14:paraId="19717926"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0.3939</w:t>
            </w:r>
          </w:p>
        </w:tc>
        <w:tc>
          <w:tcPr>
            <w:tcW w:w="2126" w:type="dxa"/>
            <w:tcBorders>
              <w:left w:val="nil"/>
              <w:right w:val="nil"/>
            </w:tcBorders>
          </w:tcPr>
          <w:p w14:paraId="31415F14"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0.0012</w:t>
            </w:r>
          </w:p>
        </w:tc>
        <w:tc>
          <w:tcPr>
            <w:tcW w:w="1701" w:type="dxa"/>
            <w:tcBorders>
              <w:left w:val="nil"/>
            </w:tcBorders>
          </w:tcPr>
          <w:p w14:paraId="33E9458D" w14:textId="60F66042" w:rsidR="000B5384" w:rsidRPr="000B5384" w:rsidRDefault="000B5384" w:rsidP="00585E66">
            <w:pPr>
              <w:pStyle w:val="IEEEParagraph"/>
              <w:spacing w:line="23" w:lineRule="atLeast"/>
              <w:ind w:firstLine="0"/>
              <w:jc w:val="center"/>
              <w:rPr>
                <w:rFonts w:asciiTheme="majorHAnsi" w:hAnsiTheme="majorHAnsi"/>
                <w:vertAlign w:val="subscript"/>
              </w:rPr>
            </w:pPr>
            <w:r w:rsidRPr="000B5384">
              <w:rPr>
                <w:rFonts w:asciiTheme="majorHAnsi" w:hAnsiTheme="majorHAnsi"/>
              </w:rPr>
              <w:t xml:space="preserve">Reject </w:t>
            </w:r>
            <m:oMath>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0</m:t>
                  </m:r>
                </m:sub>
              </m:sSub>
            </m:oMath>
          </w:p>
        </w:tc>
      </w:tr>
    </w:tbl>
    <w:p w14:paraId="77684BFB" w14:textId="69705405" w:rsidR="000B5384" w:rsidRPr="000B5384" w:rsidRDefault="000B5384" w:rsidP="00585E66">
      <w:pPr>
        <w:pStyle w:val="IEEEParagraph"/>
        <w:spacing w:line="23" w:lineRule="atLeast"/>
        <w:ind w:left="927" w:firstLine="513"/>
        <w:rPr>
          <w:rFonts w:asciiTheme="majorHAnsi" w:hAnsiTheme="majorHAnsi"/>
          <w:bCs/>
          <w:lang w:val="en-US"/>
        </w:rPr>
      </w:pPr>
      <w:r w:rsidRPr="000B5384">
        <w:rPr>
          <w:rFonts w:asciiTheme="majorHAnsi" w:hAnsiTheme="majorHAnsi"/>
          <w:bCs/>
          <w:lang w:val="en-US"/>
        </w:rPr>
        <w:t xml:space="preserve">Based on Table 3. It can be seen that the decision </w:t>
      </w:r>
      <w:r w:rsidRPr="000B5384">
        <w:rPr>
          <w:rFonts w:asciiTheme="majorHAnsi" w:hAnsiTheme="majorHAnsi"/>
          <w:bCs/>
        </w:rPr>
        <w:t xml:space="preserve">Reject </w:t>
      </w:r>
      <m:oMath>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0</m:t>
            </m:r>
          </m:sub>
        </m:sSub>
      </m:oMath>
      <w:r w:rsidRPr="000B5384">
        <w:rPr>
          <w:rFonts w:asciiTheme="majorHAnsi" w:hAnsiTheme="majorHAnsi"/>
          <w:bCs/>
          <w:lang w:val="en-US"/>
        </w:rPr>
        <w:t>, which means there is a significant influence of exogenous variables on endogenous variables, with the results of estimating the parameters of the path analysis can be formed as follows:</w:t>
      </w:r>
    </w:p>
    <w:bookmarkStart w:id="7" w:name="_Hlk142342372"/>
    <w:p w14:paraId="7737D317" w14:textId="7C317C73" w:rsidR="000B5384" w:rsidRPr="000B5384" w:rsidRDefault="00000000" w:rsidP="000B5384">
      <w:pPr>
        <w:pStyle w:val="IEEEParagraph"/>
        <w:spacing w:line="23" w:lineRule="atLeast"/>
        <w:ind w:left="567" w:firstLine="360"/>
        <w:rPr>
          <w:rFonts w:asciiTheme="majorHAnsi" w:hAnsiTheme="majorHAnsi"/>
          <w:bCs/>
          <w:lang w:val="en-US"/>
        </w:rPr>
      </w:pPr>
      <m:oMath>
        <m:sSub>
          <m:sSubPr>
            <m:ctrlPr>
              <w:rPr>
                <w:rFonts w:ascii="Cambria Math" w:hAnsi="Cambria Math"/>
                <w:bCs/>
                <w:lang w:val="en-US"/>
              </w:rPr>
            </m:ctrlPr>
          </m:sSubPr>
          <m:e>
            <m:r>
              <m:rPr>
                <m:sty m:val="p"/>
              </m:rPr>
              <w:rPr>
                <w:rFonts w:ascii="Cambria Math" w:hAnsi="Cambria Math"/>
                <w:lang w:val="en-US"/>
              </w:rPr>
              <m:t>Z</m:t>
            </m:r>
          </m:e>
          <m:sub>
            <m:r>
              <m:rPr>
                <m:sty m:val="p"/>
              </m:rPr>
              <w:rPr>
                <w:rFonts w:ascii="Cambria Math" w:hAnsi="Cambria Math"/>
                <w:lang w:val="en-US"/>
              </w:rPr>
              <m:t>Y1</m:t>
            </m:r>
          </m:sub>
        </m:sSub>
        <m:r>
          <m:rPr>
            <m:sty m:val="p"/>
          </m:rPr>
          <w:rPr>
            <w:rFonts w:ascii="Cambria Math" w:hAnsi="Cambria Math"/>
            <w:lang w:val="en-US"/>
          </w:rPr>
          <m:t>=0,4452</m:t>
        </m:r>
        <m:sSub>
          <m:sSubPr>
            <m:ctrlPr>
              <w:rPr>
                <w:rFonts w:ascii="Cambria Math" w:hAnsi="Cambria Math"/>
                <w:bCs/>
                <w:lang w:val="en-US"/>
              </w:rPr>
            </m:ctrlPr>
          </m:sSubPr>
          <m:e>
            <m:r>
              <m:rPr>
                <m:sty m:val="p"/>
              </m:rPr>
              <w:rPr>
                <w:rFonts w:ascii="Cambria Math" w:hAnsi="Cambria Math"/>
                <w:lang w:val="en-US"/>
              </w:rPr>
              <m:t>Z</m:t>
            </m:r>
          </m:e>
          <m:sub>
            <m:r>
              <m:rPr>
                <m:sty m:val="p"/>
              </m:rPr>
              <w:rPr>
                <w:rFonts w:ascii="Cambria Math" w:hAnsi="Cambria Math"/>
                <w:lang w:val="en-US"/>
              </w:rPr>
              <m:t>X1</m:t>
            </m:r>
          </m:sub>
        </m:sSub>
      </m:oMath>
      <w:r w:rsidR="000B5384" w:rsidRPr="000B5384">
        <w:rPr>
          <w:rFonts w:asciiTheme="majorHAnsi" w:hAnsiTheme="majorHAnsi"/>
          <w:bCs/>
          <w:lang w:val="en-US"/>
        </w:rPr>
        <w:t xml:space="preserve"> </w:t>
      </w:r>
    </w:p>
    <w:p w14:paraId="33AA23C0" w14:textId="3FC8DFDC" w:rsidR="000B5384" w:rsidRPr="000B5384" w:rsidRDefault="00000000" w:rsidP="000B5384">
      <w:pPr>
        <w:pStyle w:val="IEEEParagraph"/>
        <w:spacing w:line="23" w:lineRule="atLeast"/>
        <w:ind w:left="567" w:firstLine="360"/>
        <w:rPr>
          <w:rFonts w:asciiTheme="majorHAnsi" w:hAnsiTheme="majorHAnsi"/>
          <w:bCs/>
          <w:lang w:val="en-US"/>
        </w:rPr>
      </w:pPr>
      <m:oMath>
        <m:sSub>
          <m:sSubPr>
            <m:ctrlPr>
              <w:rPr>
                <w:rFonts w:ascii="Cambria Math" w:hAnsi="Cambria Math"/>
                <w:bCs/>
                <w:lang w:val="en-US"/>
              </w:rPr>
            </m:ctrlPr>
          </m:sSubPr>
          <m:e>
            <m:r>
              <m:rPr>
                <m:sty m:val="p"/>
              </m:rPr>
              <w:rPr>
                <w:rFonts w:ascii="Cambria Math" w:hAnsi="Cambria Math"/>
                <w:lang w:val="en-US"/>
              </w:rPr>
              <m:t>Z</m:t>
            </m:r>
          </m:e>
          <m:sub>
            <m:r>
              <m:rPr>
                <m:sty m:val="p"/>
              </m:rPr>
              <w:rPr>
                <w:rFonts w:ascii="Cambria Math" w:hAnsi="Cambria Math"/>
                <w:lang w:val="en-US"/>
              </w:rPr>
              <m:t>Y2</m:t>
            </m:r>
          </m:sub>
        </m:sSub>
        <m:r>
          <m:rPr>
            <m:sty m:val="p"/>
          </m:rPr>
          <w:rPr>
            <w:rFonts w:ascii="Cambria Math" w:hAnsi="Cambria Math"/>
            <w:lang w:val="en-US"/>
          </w:rPr>
          <m:t>=0,4452</m:t>
        </m:r>
        <m:sSub>
          <m:sSubPr>
            <m:ctrlPr>
              <w:rPr>
                <w:rFonts w:ascii="Cambria Math" w:hAnsi="Cambria Math"/>
                <w:bCs/>
                <w:lang w:val="en-US"/>
              </w:rPr>
            </m:ctrlPr>
          </m:sSubPr>
          <m:e>
            <m:r>
              <m:rPr>
                <m:sty m:val="p"/>
              </m:rPr>
              <w:rPr>
                <w:rFonts w:ascii="Cambria Math" w:hAnsi="Cambria Math"/>
                <w:lang w:val="en-US"/>
              </w:rPr>
              <m:t>Z</m:t>
            </m:r>
          </m:e>
          <m:sub>
            <m:r>
              <m:rPr>
                <m:sty m:val="p"/>
              </m:rPr>
              <w:rPr>
                <w:rFonts w:ascii="Cambria Math" w:hAnsi="Cambria Math"/>
                <w:lang w:val="en-US"/>
              </w:rPr>
              <m:t>X1</m:t>
            </m:r>
          </m:sub>
        </m:sSub>
        <m:r>
          <m:rPr>
            <m:sty m:val="p"/>
          </m:rPr>
          <w:rPr>
            <w:rFonts w:ascii="Cambria Math" w:hAnsi="Cambria Math"/>
            <w:lang w:val="en-US"/>
          </w:rPr>
          <m:t>+0,3939</m:t>
        </m:r>
        <m:sSub>
          <m:sSubPr>
            <m:ctrlPr>
              <w:rPr>
                <w:rFonts w:ascii="Cambria Math" w:hAnsi="Cambria Math"/>
                <w:bCs/>
                <w:lang w:val="en-US"/>
              </w:rPr>
            </m:ctrlPr>
          </m:sSubPr>
          <m:e>
            <m:r>
              <m:rPr>
                <m:sty m:val="p"/>
              </m:rPr>
              <w:rPr>
                <w:rFonts w:ascii="Cambria Math" w:hAnsi="Cambria Math"/>
                <w:lang w:val="en-US"/>
              </w:rPr>
              <m:t>Z</m:t>
            </m:r>
          </m:e>
          <m:sub>
            <m:r>
              <m:rPr>
                <m:sty m:val="p"/>
              </m:rPr>
              <w:rPr>
                <w:rFonts w:ascii="Cambria Math" w:hAnsi="Cambria Math"/>
                <w:lang w:val="en-US"/>
              </w:rPr>
              <m:t>Y1</m:t>
            </m:r>
          </m:sub>
        </m:sSub>
      </m:oMath>
      <w:r w:rsidR="000B5384" w:rsidRPr="000B5384">
        <w:rPr>
          <w:rFonts w:asciiTheme="majorHAnsi" w:hAnsiTheme="majorHAnsi"/>
          <w:bCs/>
          <w:lang w:val="en-US"/>
        </w:rPr>
        <w:t xml:space="preserve"> </w:t>
      </w:r>
    </w:p>
    <w:bookmarkEnd w:id="7"/>
    <w:p w14:paraId="212A431C" w14:textId="77777777" w:rsidR="000B5384" w:rsidRPr="000B5384" w:rsidRDefault="000B5384" w:rsidP="000B5384">
      <w:pPr>
        <w:pStyle w:val="IEEEParagraph"/>
        <w:spacing w:line="23" w:lineRule="atLeast"/>
        <w:ind w:left="567" w:firstLine="360"/>
        <w:rPr>
          <w:rFonts w:asciiTheme="majorHAnsi" w:hAnsiTheme="majorHAnsi"/>
          <w:bCs/>
          <w:lang w:val="en-US"/>
        </w:rPr>
      </w:pPr>
      <w:r w:rsidRPr="000B5384">
        <w:rPr>
          <w:rFonts w:asciiTheme="majorHAnsi" w:hAnsiTheme="majorHAnsi"/>
          <w:bCs/>
          <w:lang w:val="en-US"/>
        </w:rPr>
        <w:t>With diagrams and path coefficients as follows:</w:t>
      </w:r>
    </w:p>
    <w:p w14:paraId="6D5D5226" w14:textId="77777777" w:rsidR="000B5384" w:rsidRPr="000B5384" w:rsidRDefault="000B5384" w:rsidP="000B5384">
      <w:pPr>
        <w:pStyle w:val="IEEEParagraph"/>
        <w:spacing w:line="23" w:lineRule="atLeast"/>
        <w:ind w:left="567" w:firstLine="360"/>
        <w:rPr>
          <w:rFonts w:asciiTheme="majorHAnsi" w:hAnsiTheme="majorHAnsi"/>
          <w:bCs/>
          <w:lang w:val="en-GB"/>
        </w:rPr>
      </w:pPr>
    </w:p>
    <w:p w14:paraId="302578DC" w14:textId="77777777" w:rsidR="000B5384" w:rsidRPr="000B5384" w:rsidRDefault="000B5384" w:rsidP="0036327F">
      <w:pPr>
        <w:pStyle w:val="IEEEParagraph"/>
        <w:spacing w:line="23" w:lineRule="atLeast"/>
        <w:ind w:left="567" w:firstLine="360"/>
        <w:jc w:val="center"/>
        <w:rPr>
          <w:rFonts w:asciiTheme="majorHAnsi" w:hAnsiTheme="majorHAnsi"/>
          <w:bCs/>
          <w:lang w:val="en-US"/>
        </w:rPr>
      </w:pPr>
      <w:r w:rsidRPr="000B5384">
        <w:rPr>
          <w:rFonts w:asciiTheme="majorHAnsi" w:hAnsiTheme="majorHAnsi"/>
          <w:bCs/>
          <w:lang w:val="en"/>
        </w:rPr>
        <w:object w:dxaOrig="8077" w:dyaOrig="3961" w14:anchorId="185ED914">
          <v:shape id="_x0000_i1026" type="#_x0000_t75" style="width:338.4pt;height:168pt" o:ole="">
            <v:imagedata r:id="rId21" o:title=""/>
          </v:shape>
          <o:OLEObject Type="Embed" ProgID="Visio.Drawing.15" ShapeID="_x0000_i1026" DrawAspect="Content" ObjectID="_1756498063" r:id="rId22"/>
        </w:object>
      </w:r>
    </w:p>
    <w:p w14:paraId="289A6FE8" w14:textId="311AE3B8" w:rsidR="000B5384" w:rsidRPr="000B5384" w:rsidRDefault="000B5384" w:rsidP="0036327F">
      <w:pPr>
        <w:pStyle w:val="IEEEParagraph"/>
        <w:spacing w:line="23" w:lineRule="atLeast"/>
        <w:ind w:left="567" w:firstLine="360"/>
        <w:jc w:val="center"/>
        <w:rPr>
          <w:rFonts w:asciiTheme="majorHAnsi" w:hAnsiTheme="majorHAnsi"/>
          <w:bCs/>
          <w:lang w:val="en"/>
        </w:rPr>
      </w:pPr>
      <w:r w:rsidRPr="000B5384">
        <w:rPr>
          <w:rFonts w:asciiTheme="majorHAnsi" w:hAnsiTheme="majorHAnsi"/>
          <w:b/>
          <w:bCs/>
          <w:lang w:val="en"/>
        </w:rPr>
        <w:t xml:space="preserve">Figure </w:t>
      </w:r>
      <w:r w:rsidR="0036327F">
        <w:rPr>
          <w:rFonts w:asciiTheme="majorHAnsi" w:hAnsiTheme="majorHAnsi"/>
          <w:b/>
          <w:bCs/>
          <w:lang w:val="en"/>
        </w:rPr>
        <w:t>2</w:t>
      </w:r>
      <w:r w:rsidRPr="000B5384">
        <w:rPr>
          <w:rFonts w:asciiTheme="majorHAnsi" w:hAnsiTheme="majorHAnsi"/>
          <w:b/>
          <w:bCs/>
          <w:lang w:val="en"/>
        </w:rPr>
        <w:t xml:space="preserve">. </w:t>
      </w:r>
      <w:r w:rsidRPr="000B5384">
        <w:rPr>
          <w:rFonts w:asciiTheme="majorHAnsi" w:hAnsiTheme="majorHAnsi"/>
          <w:bCs/>
          <w:lang w:val="en"/>
        </w:rPr>
        <w:t>Path Diagram and Coefficient</w:t>
      </w:r>
    </w:p>
    <w:p w14:paraId="47C3E4E8" w14:textId="2FFFB6C7" w:rsidR="000B5384" w:rsidRPr="000B5384" w:rsidRDefault="000B5384" w:rsidP="00585E66">
      <w:pPr>
        <w:pStyle w:val="IEEEParagraph"/>
        <w:numPr>
          <w:ilvl w:val="0"/>
          <w:numId w:val="22"/>
        </w:numPr>
        <w:spacing w:line="23" w:lineRule="atLeast"/>
        <w:rPr>
          <w:rFonts w:asciiTheme="majorHAnsi" w:hAnsiTheme="majorHAnsi"/>
          <w:bCs/>
          <w:lang w:val="en-GB"/>
        </w:rPr>
      </w:pPr>
      <w:r w:rsidRPr="000B5384">
        <w:rPr>
          <w:rFonts w:asciiTheme="majorHAnsi" w:hAnsiTheme="majorHAnsi"/>
          <w:bCs/>
          <w:lang w:val="en-GB"/>
        </w:rPr>
        <w:t>Path Analysis Model Validity</w:t>
      </w:r>
    </w:p>
    <w:p w14:paraId="41317904" w14:textId="77777777" w:rsidR="000B5384" w:rsidRPr="000B5384" w:rsidRDefault="000B5384" w:rsidP="00585E66">
      <w:pPr>
        <w:pStyle w:val="IEEEParagraph"/>
        <w:spacing w:line="23" w:lineRule="atLeast"/>
        <w:ind w:left="360" w:firstLine="360"/>
        <w:rPr>
          <w:rFonts w:asciiTheme="majorHAnsi" w:hAnsiTheme="majorHAnsi"/>
          <w:lang w:val="en"/>
        </w:rPr>
      </w:pPr>
      <w:r w:rsidRPr="000B5384">
        <w:rPr>
          <w:rFonts w:asciiTheme="majorHAnsi" w:hAnsiTheme="majorHAnsi"/>
          <w:lang w:val="en"/>
        </w:rPr>
        <w:t>The validity of the model in path analysis can be known by looking at the total determination coefficient value. The total coefficient of determination is used to explain the diversity of data that can be explained by the model. Calculation of the total determination coefficient obtained from each model that is formed in the path analysis. The coefficient of determination for each model is obtained using the RStudio software. The results of the coefficient of determination can be seen in Table 4.</w:t>
      </w:r>
    </w:p>
    <w:p w14:paraId="21FC550A" w14:textId="77777777" w:rsidR="000B5384" w:rsidRPr="000B5384" w:rsidRDefault="000B5384" w:rsidP="00585E66">
      <w:pPr>
        <w:pStyle w:val="IEEEParagraph"/>
        <w:spacing w:line="23" w:lineRule="atLeast"/>
        <w:ind w:firstLine="360"/>
        <w:rPr>
          <w:rFonts w:asciiTheme="majorHAnsi" w:hAnsiTheme="majorHAnsi"/>
        </w:rPr>
      </w:pPr>
      <w:r w:rsidRPr="000B5384">
        <w:rPr>
          <w:rFonts w:asciiTheme="majorHAnsi" w:hAnsiTheme="majorHAnsi"/>
          <w:b/>
          <w:bCs/>
        </w:rPr>
        <w:t>Table 4.</w:t>
      </w:r>
      <w:r w:rsidRPr="000B5384">
        <w:rPr>
          <w:rFonts w:asciiTheme="majorHAnsi" w:hAnsiTheme="majorHAnsi"/>
        </w:rPr>
        <w:t xml:space="preserve"> </w:t>
      </w:r>
      <w:r w:rsidRPr="000B5384">
        <w:rPr>
          <w:rFonts w:asciiTheme="majorHAnsi" w:hAnsiTheme="majorHAnsi"/>
          <w:lang w:val="en"/>
        </w:rPr>
        <w:t>Coefficient of Determination</w:t>
      </w:r>
    </w:p>
    <w:tbl>
      <w:tblPr>
        <w:tblStyle w:val="TableGrid"/>
        <w:tblW w:w="9213" w:type="dxa"/>
        <w:tblInd w:w="421" w:type="dxa"/>
        <w:tblLook w:val="04A0" w:firstRow="1" w:lastRow="0" w:firstColumn="1" w:lastColumn="0" w:noHBand="0" w:noVBand="1"/>
      </w:tblPr>
      <w:tblGrid>
        <w:gridCol w:w="3685"/>
        <w:gridCol w:w="5528"/>
      </w:tblGrid>
      <w:tr w:rsidR="000B5384" w:rsidRPr="000B5384" w14:paraId="5BCA58F4" w14:textId="77777777" w:rsidTr="00585E66">
        <w:trPr>
          <w:trHeight w:val="20"/>
        </w:trPr>
        <w:tc>
          <w:tcPr>
            <w:tcW w:w="3685" w:type="dxa"/>
          </w:tcPr>
          <w:p w14:paraId="68571827" w14:textId="77777777" w:rsidR="000B5384" w:rsidRPr="000B5384" w:rsidRDefault="000B5384" w:rsidP="00585E66">
            <w:pPr>
              <w:pStyle w:val="IEEEParagraph"/>
              <w:spacing w:line="23" w:lineRule="atLeast"/>
              <w:ind w:firstLine="0"/>
              <w:jc w:val="center"/>
              <w:rPr>
                <w:rFonts w:asciiTheme="majorHAnsi" w:hAnsiTheme="majorHAnsi"/>
                <w:b/>
                <w:bCs/>
              </w:rPr>
            </w:pPr>
            <w:r w:rsidRPr="000B5384">
              <w:rPr>
                <w:rFonts w:asciiTheme="majorHAnsi" w:hAnsiTheme="majorHAnsi"/>
                <w:b/>
                <w:bCs/>
              </w:rPr>
              <w:t>Model</w:t>
            </w:r>
          </w:p>
        </w:tc>
        <w:tc>
          <w:tcPr>
            <w:tcW w:w="5528" w:type="dxa"/>
          </w:tcPr>
          <w:p w14:paraId="704680DC" w14:textId="77777777" w:rsidR="000B5384" w:rsidRPr="000B5384" w:rsidRDefault="000B5384" w:rsidP="00585E66">
            <w:pPr>
              <w:pStyle w:val="IEEEParagraph"/>
              <w:spacing w:line="23" w:lineRule="atLeast"/>
              <w:ind w:firstLine="0"/>
              <w:jc w:val="center"/>
              <w:rPr>
                <w:rFonts w:asciiTheme="majorHAnsi" w:hAnsiTheme="majorHAnsi"/>
                <w:b/>
                <w:bCs/>
              </w:rPr>
            </w:pPr>
            <w:r w:rsidRPr="000B5384">
              <w:rPr>
                <w:rFonts w:asciiTheme="majorHAnsi" w:hAnsiTheme="majorHAnsi"/>
                <w:b/>
                <w:bCs/>
              </w:rPr>
              <w:t xml:space="preserve">Coefficient of Determination (R </w:t>
            </w:r>
            <w:r w:rsidRPr="000B5384">
              <w:rPr>
                <w:rFonts w:asciiTheme="majorHAnsi" w:hAnsiTheme="majorHAnsi"/>
                <w:b/>
                <w:bCs/>
                <w:vertAlign w:val="superscript"/>
              </w:rPr>
              <w:t xml:space="preserve">2 </w:t>
            </w:r>
            <w:r w:rsidRPr="000B5384">
              <w:rPr>
                <w:rFonts w:asciiTheme="majorHAnsi" w:hAnsiTheme="majorHAnsi"/>
                <w:b/>
                <w:bCs/>
              </w:rPr>
              <w:t>)</w:t>
            </w:r>
          </w:p>
        </w:tc>
      </w:tr>
      <w:tr w:rsidR="000B5384" w:rsidRPr="000B5384" w14:paraId="639EA9EA" w14:textId="77777777" w:rsidTr="00585E66">
        <w:trPr>
          <w:trHeight w:val="20"/>
        </w:trPr>
        <w:tc>
          <w:tcPr>
            <w:tcW w:w="3685" w:type="dxa"/>
          </w:tcPr>
          <w:p w14:paraId="7CC36B2B"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1</w:t>
            </w:r>
          </w:p>
        </w:tc>
        <w:tc>
          <w:tcPr>
            <w:tcW w:w="5528" w:type="dxa"/>
          </w:tcPr>
          <w:p w14:paraId="6FF34B5A"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0.6123</w:t>
            </w:r>
          </w:p>
        </w:tc>
      </w:tr>
      <w:tr w:rsidR="000B5384" w:rsidRPr="000B5384" w14:paraId="485FD052" w14:textId="77777777" w:rsidTr="00585E66">
        <w:trPr>
          <w:trHeight w:val="20"/>
        </w:trPr>
        <w:tc>
          <w:tcPr>
            <w:tcW w:w="3685" w:type="dxa"/>
          </w:tcPr>
          <w:p w14:paraId="58E95757"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2</w:t>
            </w:r>
          </w:p>
        </w:tc>
        <w:tc>
          <w:tcPr>
            <w:tcW w:w="5528" w:type="dxa"/>
          </w:tcPr>
          <w:p w14:paraId="0AC87C93" w14:textId="77777777" w:rsidR="000B5384" w:rsidRPr="000B5384" w:rsidRDefault="000B5384" w:rsidP="00585E66">
            <w:pPr>
              <w:pStyle w:val="IEEEParagraph"/>
              <w:spacing w:line="23" w:lineRule="atLeast"/>
              <w:ind w:firstLine="0"/>
              <w:jc w:val="center"/>
              <w:rPr>
                <w:rFonts w:asciiTheme="majorHAnsi" w:hAnsiTheme="majorHAnsi"/>
              </w:rPr>
            </w:pPr>
            <w:r w:rsidRPr="000B5384">
              <w:rPr>
                <w:rFonts w:asciiTheme="majorHAnsi" w:hAnsiTheme="majorHAnsi"/>
              </w:rPr>
              <w:t>0.5537</w:t>
            </w:r>
          </w:p>
        </w:tc>
      </w:tr>
    </w:tbl>
    <w:p w14:paraId="1EC7A71E" w14:textId="77777777" w:rsidR="000B5384" w:rsidRPr="000B5384" w:rsidRDefault="000B5384" w:rsidP="000B5384">
      <w:pPr>
        <w:pStyle w:val="IEEEParagraph"/>
        <w:spacing w:line="23" w:lineRule="atLeast"/>
        <w:ind w:left="567" w:firstLine="360"/>
        <w:rPr>
          <w:rFonts w:asciiTheme="majorHAnsi" w:hAnsiTheme="majorHAnsi"/>
          <w:lang w:val="en"/>
        </w:rPr>
      </w:pPr>
      <w:r w:rsidRPr="000B5384">
        <w:rPr>
          <w:rFonts w:asciiTheme="majorHAnsi" w:hAnsiTheme="majorHAnsi"/>
          <w:lang w:val="en"/>
        </w:rPr>
        <w:t>Based on Table 4, the total determination coefficient is calculated as follows.</w:t>
      </w:r>
    </w:p>
    <w:p w14:paraId="6C62EEC1" w14:textId="77777777" w:rsidR="000B5384" w:rsidRPr="000B5384" w:rsidRDefault="000B5384" w:rsidP="000B5384">
      <w:pPr>
        <w:pStyle w:val="IEEEParagraph"/>
        <w:numPr>
          <w:ilvl w:val="0"/>
          <w:numId w:val="18"/>
        </w:numPr>
        <w:spacing w:line="23" w:lineRule="atLeast"/>
        <w:rPr>
          <w:rFonts w:asciiTheme="majorHAnsi" w:hAnsiTheme="majorHAnsi"/>
          <w:lang w:val="en"/>
        </w:rPr>
      </w:pPr>
      <w:r w:rsidRPr="000B5384">
        <w:rPr>
          <w:rFonts w:asciiTheme="majorHAnsi" w:hAnsiTheme="majorHAnsi"/>
          <w:lang w:val="en"/>
        </w:rPr>
        <w:t>Model 1</w:t>
      </w:r>
    </w:p>
    <w:p w14:paraId="2A6E5F8B" w14:textId="74A337A1" w:rsidR="000B5384" w:rsidRPr="000B5384" w:rsidRDefault="00000000" w:rsidP="000B5384">
      <w:pPr>
        <w:pStyle w:val="IEEEParagraph"/>
        <w:spacing w:line="23" w:lineRule="atLeast"/>
        <w:ind w:left="567" w:firstLine="360"/>
        <w:rPr>
          <w:rFonts w:asciiTheme="majorHAnsi" w:hAnsiTheme="majorHAnsi"/>
          <w:lang w:val="en"/>
        </w:rPr>
      </w:pPr>
      <m:oMath>
        <m:sSubSup>
          <m:sSubSupPr>
            <m:ctrlPr>
              <w:rPr>
                <w:rFonts w:ascii="Cambria Math" w:hAnsi="Cambria Math"/>
                <w:lang w:val="en"/>
              </w:rPr>
            </m:ctrlPr>
          </m:sSubSupPr>
          <m:e>
            <m:r>
              <m:rPr>
                <m:sty m:val="p"/>
              </m:rPr>
              <w:rPr>
                <w:rFonts w:ascii="Cambria Math" w:hAnsi="Cambria Math"/>
                <w:lang w:val="en"/>
              </w:rPr>
              <m:t>R</m:t>
            </m:r>
          </m:e>
          <m:sub>
            <m:r>
              <m:rPr>
                <m:sty m:val="p"/>
              </m:rPr>
              <w:rPr>
                <w:rFonts w:ascii="Cambria Math" w:hAnsi="Cambria Math"/>
                <w:lang w:val="en"/>
              </w:rPr>
              <m:t>1</m:t>
            </m:r>
          </m:sub>
          <m:sup>
            <m:r>
              <m:rPr>
                <m:sty m:val="p"/>
              </m:rPr>
              <w:rPr>
                <w:rFonts w:ascii="Cambria Math" w:hAnsi="Cambria Math"/>
                <w:lang w:val="en"/>
              </w:rPr>
              <m:t>2</m:t>
            </m:r>
          </m:sup>
        </m:sSubSup>
        <m:r>
          <m:rPr>
            <m:sty m:val="p"/>
          </m:rPr>
          <w:rPr>
            <w:rFonts w:ascii="Cambria Math" w:hAnsi="Cambria Math"/>
            <w:lang w:val="en"/>
          </w:rPr>
          <m:t>=0,6123</m:t>
        </m:r>
      </m:oMath>
      <w:r w:rsidR="000B5384" w:rsidRPr="000B5384">
        <w:rPr>
          <w:rFonts w:asciiTheme="majorHAnsi" w:hAnsiTheme="majorHAnsi"/>
          <w:lang w:val="en"/>
        </w:rPr>
        <w:t xml:space="preserve"> </w:t>
      </w:r>
    </w:p>
    <w:p w14:paraId="67543408" w14:textId="45F5AD78" w:rsidR="000B5384" w:rsidRPr="000B5384" w:rsidRDefault="00000000" w:rsidP="000B5384">
      <w:pPr>
        <w:pStyle w:val="IEEEParagraph"/>
        <w:spacing w:line="23" w:lineRule="atLeast"/>
        <w:ind w:left="567" w:firstLine="360"/>
        <w:rPr>
          <w:rFonts w:asciiTheme="majorHAnsi" w:hAnsiTheme="majorHAnsi"/>
          <w:lang w:val="en"/>
        </w:rPr>
      </w:pPr>
      <m:oMath>
        <m:sSub>
          <m:sSubPr>
            <m:ctrlPr>
              <w:rPr>
                <w:rFonts w:ascii="Cambria Math" w:hAnsi="Cambria Math"/>
                <w:lang w:val="en"/>
              </w:rPr>
            </m:ctrlPr>
          </m:sSubPr>
          <m:e>
            <m:r>
              <m:rPr>
                <m:sty m:val="p"/>
              </m:rPr>
              <w:rPr>
                <w:rFonts w:ascii="Cambria Math" w:hAnsi="Cambria Math"/>
                <w:lang w:val="en"/>
              </w:rPr>
              <m:t>P</m:t>
            </m:r>
          </m:e>
          <m:sub>
            <m:r>
              <m:rPr>
                <m:sty m:val="p"/>
              </m:rPr>
              <w:rPr>
                <w:rFonts w:ascii="Cambria Math" w:hAnsi="Cambria Math"/>
                <w:lang w:val="en"/>
              </w:rPr>
              <m:t>e1</m:t>
            </m:r>
          </m:sub>
        </m:sSub>
        <m:r>
          <m:rPr>
            <m:sty m:val="p"/>
          </m:rPr>
          <w:rPr>
            <w:rFonts w:ascii="Cambria Math" w:hAnsi="Cambria Math"/>
            <w:lang w:val="en"/>
          </w:rPr>
          <m:t>=</m:t>
        </m:r>
        <m:rad>
          <m:radPr>
            <m:degHide m:val="1"/>
            <m:ctrlPr>
              <w:rPr>
                <w:rFonts w:ascii="Cambria Math" w:hAnsi="Cambria Math"/>
                <w:lang w:val="en"/>
              </w:rPr>
            </m:ctrlPr>
          </m:radPr>
          <m:deg/>
          <m:e>
            <m:r>
              <m:rPr>
                <m:sty m:val="p"/>
              </m:rPr>
              <w:rPr>
                <w:rFonts w:ascii="Cambria Math" w:hAnsi="Cambria Math"/>
                <w:lang w:val="en"/>
              </w:rPr>
              <m:t>1-</m:t>
            </m:r>
            <m:sSubSup>
              <m:sSubSupPr>
                <m:ctrlPr>
                  <w:rPr>
                    <w:rFonts w:ascii="Cambria Math" w:hAnsi="Cambria Math"/>
                    <w:lang w:val="en"/>
                  </w:rPr>
                </m:ctrlPr>
              </m:sSubSupPr>
              <m:e>
                <m:r>
                  <m:rPr>
                    <m:sty m:val="p"/>
                  </m:rPr>
                  <w:rPr>
                    <w:rFonts w:ascii="Cambria Math" w:hAnsi="Cambria Math"/>
                    <w:lang w:val="en"/>
                  </w:rPr>
                  <m:t>R</m:t>
                </m:r>
              </m:e>
              <m:sub>
                <m:r>
                  <m:rPr>
                    <m:sty m:val="p"/>
                  </m:rPr>
                  <w:rPr>
                    <w:rFonts w:ascii="Cambria Math" w:hAnsi="Cambria Math"/>
                    <w:lang w:val="en"/>
                  </w:rPr>
                  <m:t>1</m:t>
                </m:r>
              </m:sub>
              <m:sup>
                <m:r>
                  <m:rPr>
                    <m:sty m:val="p"/>
                  </m:rPr>
                  <w:rPr>
                    <w:rFonts w:ascii="Cambria Math" w:hAnsi="Cambria Math"/>
                    <w:lang w:val="en"/>
                  </w:rPr>
                  <m:t>2</m:t>
                </m:r>
              </m:sup>
            </m:sSubSup>
          </m:e>
        </m:rad>
        <m:r>
          <m:rPr>
            <m:sty m:val="p"/>
          </m:rPr>
          <w:rPr>
            <w:rFonts w:ascii="Cambria Math" w:hAnsi="Cambria Math"/>
            <w:lang w:val="en"/>
          </w:rPr>
          <m:t>=0,6226</m:t>
        </m:r>
      </m:oMath>
      <w:r w:rsidR="000B5384" w:rsidRPr="000B5384">
        <w:rPr>
          <w:rFonts w:asciiTheme="majorHAnsi" w:hAnsiTheme="majorHAnsi"/>
          <w:lang w:val="en"/>
        </w:rPr>
        <w:t xml:space="preserve"> </w:t>
      </w:r>
    </w:p>
    <w:p w14:paraId="245CFD43" w14:textId="77777777" w:rsidR="000B5384" w:rsidRPr="000B5384" w:rsidRDefault="000B5384" w:rsidP="000B5384">
      <w:pPr>
        <w:pStyle w:val="IEEEParagraph"/>
        <w:numPr>
          <w:ilvl w:val="0"/>
          <w:numId w:val="18"/>
        </w:numPr>
        <w:spacing w:line="23" w:lineRule="atLeast"/>
        <w:rPr>
          <w:rFonts w:asciiTheme="majorHAnsi" w:hAnsiTheme="majorHAnsi"/>
          <w:lang w:val="en"/>
        </w:rPr>
      </w:pPr>
      <w:r w:rsidRPr="000B5384">
        <w:rPr>
          <w:rFonts w:asciiTheme="majorHAnsi" w:hAnsiTheme="majorHAnsi"/>
          <w:lang w:val="en"/>
        </w:rPr>
        <w:t>Model 2</w:t>
      </w:r>
    </w:p>
    <w:p w14:paraId="1E6CAB77" w14:textId="0B6085F2" w:rsidR="000B5384" w:rsidRPr="000B5384" w:rsidRDefault="00000000" w:rsidP="000B5384">
      <w:pPr>
        <w:pStyle w:val="IEEEParagraph"/>
        <w:spacing w:line="23" w:lineRule="atLeast"/>
        <w:ind w:left="567" w:firstLine="360"/>
        <w:rPr>
          <w:rFonts w:asciiTheme="majorHAnsi" w:hAnsiTheme="majorHAnsi"/>
          <w:lang w:val="en"/>
        </w:rPr>
      </w:pPr>
      <m:oMath>
        <m:sSubSup>
          <m:sSubSupPr>
            <m:ctrlPr>
              <w:rPr>
                <w:rFonts w:ascii="Cambria Math" w:hAnsi="Cambria Math"/>
                <w:lang w:val="en"/>
              </w:rPr>
            </m:ctrlPr>
          </m:sSubSupPr>
          <m:e>
            <m:r>
              <m:rPr>
                <m:sty m:val="p"/>
              </m:rPr>
              <w:rPr>
                <w:rFonts w:ascii="Cambria Math" w:hAnsi="Cambria Math"/>
                <w:lang w:val="en"/>
              </w:rPr>
              <m:t>R</m:t>
            </m:r>
          </m:e>
          <m:sub>
            <m:r>
              <m:rPr>
                <m:sty m:val="p"/>
              </m:rPr>
              <w:rPr>
                <w:rFonts w:ascii="Cambria Math" w:hAnsi="Cambria Math"/>
                <w:lang w:val="en"/>
              </w:rPr>
              <m:t>1</m:t>
            </m:r>
          </m:sub>
          <m:sup>
            <m:r>
              <m:rPr>
                <m:sty m:val="p"/>
              </m:rPr>
              <w:rPr>
                <w:rFonts w:ascii="Cambria Math" w:hAnsi="Cambria Math"/>
                <w:lang w:val="en"/>
              </w:rPr>
              <m:t>2</m:t>
            </m:r>
          </m:sup>
        </m:sSubSup>
        <m:r>
          <m:rPr>
            <m:sty m:val="p"/>
          </m:rPr>
          <w:rPr>
            <w:rFonts w:ascii="Cambria Math" w:hAnsi="Cambria Math"/>
            <w:lang w:val="en"/>
          </w:rPr>
          <m:t>=0,5537</m:t>
        </m:r>
      </m:oMath>
      <w:r w:rsidR="000B5384" w:rsidRPr="000B5384">
        <w:rPr>
          <w:rFonts w:asciiTheme="majorHAnsi" w:hAnsiTheme="majorHAnsi"/>
          <w:lang w:val="en"/>
        </w:rPr>
        <w:t xml:space="preserve"> </w:t>
      </w:r>
    </w:p>
    <w:p w14:paraId="49FAA994" w14:textId="1609D1F7" w:rsidR="000B5384" w:rsidRPr="000B5384" w:rsidRDefault="00000000" w:rsidP="000B5384">
      <w:pPr>
        <w:pStyle w:val="IEEEParagraph"/>
        <w:spacing w:line="23" w:lineRule="atLeast"/>
        <w:ind w:left="567" w:firstLine="360"/>
        <w:rPr>
          <w:rFonts w:asciiTheme="majorHAnsi" w:hAnsiTheme="majorHAnsi"/>
          <w:lang w:val="en"/>
        </w:rPr>
      </w:pPr>
      <m:oMath>
        <m:sSub>
          <m:sSubPr>
            <m:ctrlPr>
              <w:rPr>
                <w:rFonts w:ascii="Cambria Math" w:hAnsi="Cambria Math"/>
                <w:lang w:val="en"/>
              </w:rPr>
            </m:ctrlPr>
          </m:sSubPr>
          <m:e>
            <m:r>
              <m:rPr>
                <m:sty m:val="p"/>
              </m:rPr>
              <w:rPr>
                <w:rFonts w:ascii="Cambria Math" w:hAnsi="Cambria Math"/>
                <w:lang w:val="en"/>
              </w:rPr>
              <m:t>P</m:t>
            </m:r>
          </m:e>
          <m:sub>
            <m:r>
              <m:rPr>
                <m:sty m:val="p"/>
              </m:rPr>
              <w:rPr>
                <w:rFonts w:ascii="Cambria Math" w:hAnsi="Cambria Math"/>
                <w:lang w:val="en"/>
              </w:rPr>
              <m:t>e2</m:t>
            </m:r>
          </m:sub>
        </m:sSub>
        <m:r>
          <m:rPr>
            <m:sty m:val="p"/>
          </m:rPr>
          <w:rPr>
            <w:rFonts w:ascii="Cambria Math" w:hAnsi="Cambria Math"/>
            <w:lang w:val="en"/>
          </w:rPr>
          <m:t>=</m:t>
        </m:r>
        <m:rad>
          <m:radPr>
            <m:degHide m:val="1"/>
            <m:ctrlPr>
              <w:rPr>
                <w:rFonts w:ascii="Cambria Math" w:hAnsi="Cambria Math"/>
                <w:lang w:val="en"/>
              </w:rPr>
            </m:ctrlPr>
          </m:radPr>
          <m:deg/>
          <m:e>
            <m:r>
              <m:rPr>
                <m:sty m:val="p"/>
              </m:rPr>
              <w:rPr>
                <w:rFonts w:ascii="Cambria Math" w:hAnsi="Cambria Math"/>
                <w:lang w:val="en"/>
              </w:rPr>
              <m:t>1-</m:t>
            </m:r>
            <m:sSubSup>
              <m:sSubSupPr>
                <m:ctrlPr>
                  <w:rPr>
                    <w:rFonts w:ascii="Cambria Math" w:hAnsi="Cambria Math"/>
                    <w:lang w:val="en"/>
                  </w:rPr>
                </m:ctrlPr>
              </m:sSubSupPr>
              <m:e>
                <m:r>
                  <m:rPr>
                    <m:sty m:val="p"/>
                  </m:rPr>
                  <w:rPr>
                    <w:rFonts w:ascii="Cambria Math" w:hAnsi="Cambria Math"/>
                    <w:lang w:val="en"/>
                  </w:rPr>
                  <m:t>R</m:t>
                </m:r>
              </m:e>
              <m:sub>
                <m:r>
                  <m:rPr>
                    <m:sty m:val="p"/>
                  </m:rPr>
                  <w:rPr>
                    <w:rFonts w:ascii="Cambria Math" w:hAnsi="Cambria Math"/>
                    <w:lang w:val="en"/>
                  </w:rPr>
                  <m:t>2</m:t>
                </m:r>
              </m:sub>
              <m:sup>
                <m:r>
                  <m:rPr>
                    <m:sty m:val="p"/>
                  </m:rPr>
                  <w:rPr>
                    <w:rFonts w:ascii="Cambria Math" w:hAnsi="Cambria Math"/>
                    <w:lang w:val="en"/>
                  </w:rPr>
                  <m:t>2</m:t>
                </m:r>
              </m:sup>
            </m:sSubSup>
          </m:e>
        </m:rad>
        <m:r>
          <m:rPr>
            <m:sty m:val="p"/>
          </m:rPr>
          <w:rPr>
            <w:rFonts w:ascii="Cambria Math" w:hAnsi="Cambria Math"/>
            <w:lang w:val="en"/>
          </w:rPr>
          <m:t>=0,6680</m:t>
        </m:r>
      </m:oMath>
      <w:r w:rsidR="000B5384" w:rsidRPr="000B5384">
        <w:rPr>
          <w:rFonts w:asciiTheme="majorHAnsi" w:hAnsiTheme="majorHAnsi"/>
          <w:lang w:val="en"/>
        </w:rPr>
        <w:t xml:space="preserve"> </w:t>
      </w:r>
    </w:p>
    <w:p w14:paraId="30487932" w14:textId="77777777" w:rsidR="000B5384" w:rsidRPr="000B5384" w:rsidRDefault="000B5384" w:rsidP="000B5384">
      <w:pPr>
        <w:pStyle w:val="IEEEParagraph"/>
        <w:spacing w:line="23" w:lineRule="atLeast"/>
        <w:ind w:left="567" w:firstLine="360"/>
        <w:rPr>
          <w:rFonts w:asciiTheme="majorHAnsi" w:hAnsiTheme="majorHAnsi"/>
          <w:lang w:val="en"/>
        </w:rPr>
      </w:pPr>
      <w:r w:rsidRPr="000B5384">
        <w:rPr>
          <w:rFonts w:asciiTheme="majorHAnsi" w:hAnsiTheme="majorHAnsi"/>
          <w:lang w:val="en"/>
        </w:rPr>
        <w:t>The total determination coefficient of model 1 and model 2 is as follows.</w:t>
      </w:r>
    </w:p>
    <w:p w14:paraId="675E3240" w14:textId="579BB885" w:rsidR="000B5384" w:rsidRPr="000B5384" w:rsidRDefault="00000000" w:rsidP="000B5384">
      <w:pPr>
        <w:pStyle w:val="IEEEParagraph"/>
        <w:spacing w:line="23" w:lineRule="atLeast"/>
        <w:ind w:left="567" w:firstLine="360"/>
        <w:rPr>
          <w:rFonts w:asciiTheme="majorHAnsi" w:hAnsiTheme="majorHAnsi"/>
          <w:lang w:val="en"/>
        </w:rPr>
      </w:pPr>
      <m:oMath>
        <m:sSubSup>
          <m:sSubSupPr>
            <m:ctrlPr>
              <w:rPr>
                <w:rFonts w:ascii="Cambria Math" w:hAnsi="Cambria Math"/>
                <w:lang w:val="en"/>
              </w:rPr>
            </m:ctrlPr>
          </m:sSubSupPr>
          <m:e>
            <m:r>
              <m:rPr>
                <m:sty m:val="p"/>
              </m:rPr>
              <w:rPr>
                <w:rFonts w:ascii="Cambria Math" w:hAnsi="Cambria Math"/>
                <w:lang w:val="en"/>
              </w:rPr>
              <m:t>R</m:t>
            </m:r>
          </m:e>
          <m:sub>
            <m:r>
              <m:rPr>
                <m:sty m:val="p"/>
              </m:rPr>
              <w:rPr>
                <w:rFonts w:ascii="Cambria Math" w:hAnsi="Cambria Math"/>
                <w:lang w:val="en"/>
              </w:rPr>
              <m:t>t</m:t>
            </m:r>
          </m:sub>
          <m:sup>
            <m:r>
              <m:rPr>
                <m:sty m:val="p"/>
              </m:rPr>
              <w:rPr>
                <w:rFonts w:ascii="Cambria Math" w:hAnsi="Cambria Math"/>
                <w:lang w:val="en"/>
              </w:rPr>
              <m:t>2</m:t>
            </m:r>
          </m:sup>
        </m:sSubSup>
        <m:r>
          <m:rPr>
            <m:sty m:val="p"/>
          </m:rPr>
          <w:rPr>
            <w:rFonts w:ascii="Cambria Math" w:hAnsi="Cambria Math"/>
            <w:lang w:val="en"/>
          </w:rPr>
          <m:t>=1-</m:t>
        </m:r>
        <m:sSubSup>
          <m:sSubSupPr>
            <m:ctrlPr>
              <w:rPr>
                <w:rFonts w:ascii="Cambria Math" w:hAnsi="Cambria Math"/>
                <w:lang w:val="en"/>
              </w:rPr>
            </m:ctrlPr>
          </m:sSubSupPr>
          <m:e>
            <m:r>
              <m:rPr>
                <m:sty m:val="p"/>
              </m:rPr>
              <w:rPr>
                <w:rFonts w:ascii="Cambria Math" w:hAnsi="Cambria Math"/>
                <w:lang w:val="en"/>
              </w:rPr>
              <m:t>P</m:t>
            </m:r>
          </m:e>
          <m:sub>
            <m:r>
              <m:rPr>
                <m:sty m:val="p"/>
              </m:rPr>
              <w:rPr>
                <w:rFonts w:ascii="Cambria Math" w:hAnsi="Cambria Math"/>
                <w:lang w:val="en"/>
              </w:rPr>
              <m:t>e1</m:t>
            </m:r>
          </m:sub>
          <m:sup>
            <m:r>
              <m:rPr>
                <m:sty m:val="p"/>
              </m:rPr>
              <w:rPr>
                <w:rFonts w:ascii="Cambria Math" w:hAnsi="Cambria Math"/>
                <w:lang w:val="en"/>
              </w:rPr>
              <m:t>2</m:t>
            </m:r>
          </m:sup>
        </m:sSubSup>
        <m:sSubSup>
          <m:sSubSupPr>
            <m:ctrlPr>
              <w:rPr>
                <w:rFonts w:ascii="Cambria Math" w:hAnsi="Cambria Math"/>
                <w:lang w:val="en"/>
              </w:rPr>
            </m:ctrlPr>
          </m:sSubSupPr>
          <m:e>
            <m:r>
              <m:rPr>
                <m:sty m:val="p"/>
              </m:rPr>
              <w:rPr>
                <w:rFonts w:ascii="Cambria Math" w:hAnsi="Cambria Math"/>
                <w:lang w:val="en"/>
              </w:rPr>
              <m:t>P</m:t>
            </m:r>
          </m:e>
          <m:sub>
            <m:r>
              <m:rPr>
                <m:sty m:val="p"/>
              </m:rPr>
              <w:rPr>
                <w:rFonts w:ascii="Cambria Math" w:hAnsi="Cambria Math"/>
                <w:lang w:val="en"/>
              </w:rPr>
              <m:t>e2</m:t>
            </m:r>
          </m:sub>
          <m:sup>
            <m:r>
              <m:rPr>
                <m:sty m:val="p"/>
              </m:rPr>
              <w:rPr>
                <w:rFonts w:ascii="Cambria Math" w:hAnsi="Cambria Math"/>
                <w:lang w:val="en"/>
              </w:rPr>
              <m:t>2</m:t>
            </m:r>
          </m:sup>
        </m:sSubSup>
      </m:oMath>
      <w:r w:rsidR="000B5384" w:rsidRPr="000B5384">
        <w:rPr>
          <w:rFonts w:asciiTheme="majorHAnsi" w:hAnsiTheme="majorHAnsi"/>
          <w:lang w:val="en"/>
        </w:rPr>
        <w:t xml:space="preserve"> </w:t>
      </w:r>
    </w:p>
    <w:p w14:paraId="23BABF35" w14:textId="5BAF013C" w:rsidR="000B5384" w:rsidRPr="000B5384" w:rsidRDefault="00000000" w:rsidP="000B5384">
      <w:pPr>
        <w:pStyle w:val="IEEEParagraph"/>
        <w:spacing w:line="23" w:lineRule="atLeast"/>
        <w:ind w:left="567" w:firstLine="360"/>
        <w:rPr>
          <w:rFonts w:asciiTheme="majorHAnsi" w:hAnsiTheme="majorHAnsi"/>
          <w:lang w:val="en"/>
        </w:rPr>
      </w:pPr>
      <m:oMath>
        <m:sSubSup>
          <m:sSubSupPr>
            <m:ctrlPr>
              <w:rPr>
                <w:rFonts w:ascii="Cambria Math" w:hAnsi="Cambria Math"/>
                <w:lang w:val="en"/>
              </w:rPr>
            </m:ctrlPr>
          </m:sSubSupPr>
          <m:e>
            <m:r>
              <m:rPr>
                <m:sty m:val="p"/>
              </m:rPr>
              <w:rPr>
                <w:rFonts w:ascii="Cambria Math" w:hAnsi="Cambria Math"/>
                <w:lang w:val="en"/>
              </w:rPr>
              <m:t>R</m:t>
            </m:r>
          </m:e>
          <m:sub>
            <m:r>
              <m:rPr>
                <m:sty m:val="p"/>
              </m:rPr>
              <w:rPr>
                <w:rFonts w:ascii="Cambria Math" w:hAnsi="Cambria Math"/>
                <w:lang w:val="en"/>
              </w:rPr>
              <m:t>t</m:t>
            </m:r>
          </m:sub>
          <m:sup>
            <m:r>
              <m:rPr>
                <m:sty m:val="p"/>
              </m:rPr>
              <w:rPr>
                <w:rFonts w:ascii="Cambria Math" w:hAnsi="Cambria Math"/>
                <w:lang w:val="en"/>
              </w:rPr>
              <m:t>2</m:t>
            </m:r>
          </m:sup>
        </m:sSubSup>
        <m:r>
          <m:rPr>
            <m:sty m:val="p"/>
          </m:rPr>
          <w:rPr>
            <w:rFonts w:ascii="Cambria Math" w:hAnsi="Cambria Math"/>
            <w:lang w:val="en"/>
          </w:rPr>
          <m:t>=1-(</m:t>
        </m:r>
        <m:sSup>
          <m:sSupPr>
            <m:ctrlPr>
              <w:rPr>
                <w:rFonts w:ascii="Cambria Math" w:hAnsi="Cambria Math"/>
                <w:lang w:val="en"/>
              </w:rPr>
            </m:ctrlPr>
          </m:sSupPr>
          <m:e>
            <m:d>
              <m:dPr>
                <m:ctrlPr>
                  <w:rPr>
                    <w:rFonts w:ascii="Cambria Math" w:hAnsi="Cambria Math"/>
                    <w:lang w:val="en"/>
                  </w:rPr>
                </m:ctrlPr>
              </m:dPr>
              <m:e>
                <m:r>
                  <m:rPr>
                    <m:sty m:val="p"/>
                  </m:rPr>
                  <w:rPr>
                    <w:rFonts w:ascii="Cambria Math" w:hAnsi="Cambria Math"/>
                    <w:lang w:val="en"/>
                  </w:rPr>
                  <m:t>0,6226</m:t>
                </m:r>
              </m:e>
            </m:d>
          </m:e>
          <m:sup>
            <m:r>
              <m:rPr>
                <m:sty m:val="p"/>
              </m:rPr>
              <w:rPr>
                <w:rFonts w:ascii="Cambria Math" w:hAnsi="Cambria Math"/>
                <w:lang w:val="en"/>
              </w:rPr>
              <m:t>2</m:t>
            </m:r>
          </m:sup>
        </m:sSup>
        <m:r>
          <m:rPr>
            <m:sty m:val="p"/>
          </m:rPr>
          <w:rPr>
            <w:rFonts w:ascii="Cambria Math" w:hAnsi="Cambria Math"/>
            <w:lang w:val="en"/>
          </w:rPr>
          <m:t>×</m:t>
        </m:r>
        <m:sSup>
          <m:sSupPr>
            <m:ctrlPr>
              <w:rPr>
                <w:rFonts w:ascii="Cambria Math" w:hAnsi="Cambria Math"/>
                <w:lang w:val="en"/>
              </w:rPr>
            </m:ctrlPr>
          </m:sSupPr>
          <m:e>
            <m:d>
              <m:dPr>
                <m:ctrlPr>
                  <w:rPr>
                    <w:rFonts w:ascii="Cambria Math" w:hAnsi="Cambria Math"/>
                    <w:lang w:val="en"/>
                  </w:rPr>
                </m:ctrlPr>
              </m:dPr>
              <m:e>
                <m:r>
                  <m:rPr>
                    <m:sty m:val="p"/>
                  </m:rPr>
                  <w:rPr>
                    <w:rFonts w:ascii="Cambria Math" w:hAnsi="Cambria Math"/>
                    <w:lang w:val="en"/>
                  </w:rPr>
                  <m:t>0,6680</m:t>
                </m:r>
              </m:e>
            </m:d>
          </m:e>
          <m:sup>
            <m:r>
              <m:rPr>
                <m:sty m:val="p"/>
              </m:rPr>
              <w:rPr>
                <w:rFonts w:ascii="Cambria Math" w:hAnsi="Cambria Math"/>
                <w:lang w:val="en"/>
              </w:rPr>
              <m:t>2</m:t>
            </m:r>
          </m:sup>
        </m:sSup>
        <m:r>
          <m:rPr>
            <m:sty m:val="p"/>
          </m:rPr>
          <w:rPr>
            <w:rFonts w:ascii="Cambria Math" w:hAnsi="Cambria Math"/>
            <w:lang w:val="en"/>
          </w:rPr>
          <m:t>)</m:t>
        </m:r>
      </m:oMath>
      <w:r w:rsidR="000B5384" w:rsidRPr="000B5384">
        <w:rPr>
          <w:rFonts w:asciiTheme="majorHAnsi" w:hAnsiTheme="majorHAnsi"/>
          <w:lang w:val="en"/>
        </w:rPr>
        <w:t xml:space="preserve"> </w:t>
      </w:r>
    </w:p>
    <w:p w14:paraId="4E4614B1" w14:textId="5BD01EB9" w:rsidR="000B5384" w:rsidRPr="000B5384" w:rsidRDefault="00000000" w:rsidP="000B5384">
      <w:pPr>
        <w:pStyle w:val="IEEEParagraph"/>
        <w:spacing w:line="23" w:lineRule="atLeast"/>
        <w:ind w:left="567" w:firstLine="360"/>
        <w:rPr>
          <w:rFonts w:asciiTheme="majorHAnsi" w:hAnsiTheme="majorHAnsi"/>
          <w:lang w:val="en"/>
        </w:rPr>
      </w:pPr>
      <m:oMath>
        <m:sSubSup>
          <m:sSubSupPr>
            <m:ctrlPr>
              <w:rPr>
                <w:rFonts w:ascii="Cambria Math" w:hAnsi="Cambria Math"/>
                <w:lang w:val="en"/>
              </w:rPr>
            </m:ctrlPr>
          </m:sSubSupPr>
          <m:e>
            <m:r>
              <m:rPr>
                <m:sty m:val="p"/>
              </m:rPr>
              <w:rPr>
                <w:rFonts w:ascii="Cambria Math" w:hAnsi="Cambria Math"/>
                <w:lang w:val="en"/>
              </w:rPr>
              <m:t>R</m:t>
            </m:r>
          </m:e>
          <m:sub>
            <m:r>
              <m:rPr>
                <m:sty m:val="p"/>
              </m:rPr>
              <w:rPr>
                <w:rFonts w:ascii="Cambria Math" w:hAnsi="Cambria Math"/>
                <w:lang w:val="en"/>
              </w:rPr>
              <m:t>t</m:t>
            </m:r>
          </m:sub>
          <m:sup>
            <m:r>
              <m:rPr>
                <m:sty m:val="p"/>
              </m:rPr>
              <w:rPr>
                <w:rFonts w:ascii="Cambria Math" w:hAnsi="Cambria Math"/>
                <w:lang w:val="en"/>
              </w:rPr>
              <m:t>2</m:t>
            </m:r>
          </m:sup>
        </m:sSubSup>
        <m:r>
          <m:rPr>
            <m:sty m:val="p"/>
          </m:rPr>
          <w:rPr>
            <w:rFonts w:ascii="Cambria Math" w:hAnsi="Cambria Math"/>
            <w:lang w:val="en"/>
          </w:rPr>
          <m:t>=0,8040</m:t>
        </m:r>
      </m:oMath>
      <w:r w:rsidR="000B5384" w:rsidRPr="000B5384">
        <w:rPr>
          <w:rFonts w:asciiTheme="majorHAnsi" w:hAnsiTheme="majorHAnsi"/>
          <w:lang w:val="en"/>
        </w:rPr>
        <w:t xml:space="preserve"> </w:t>
      </w:r>
    </w:p>
    <w:p w14:paraId="7194AC3B" w14:textId="77777777" w:rsidR="000B5384" w:rsidRDefault="000B5384" w:rsidP="000B5384">
      <w:pPr>
        <w:pStyle w:val="IEEEParagraph"/>
        <w:spacing w:line="23" w:lineRule="atLeast"/>
        <w:ind w:left="567" w:firstLine="360"/>
        <w:rPr>
          <w:rFonts w:asciiTheme="majorHAnsi" w:hAnsiTheme="majorHAnsi"/>
          <w:lang w:val="en"/>
        </w:rPr>
      </w:pPr>
      <w:r w:rsidRPr="000B5384">
        <w:rPr>
          <w:rFonts w:asciiTheme="majorHAnsi" w:hAnsiTheme="majorHAnsi"/>
          <w:lang w:val="en"/>
        </w:rPr>
        <w:t>The total determination coefficient value of 0.8040 explains that 80.40% of the data diversity can be explained by the research model, while 19.6% of the data diversity is explained by other variables outside the model.</w:t>
      </w:r>
    </w:p>
    <w:p w14:paraId="39718F4F" w14:textId="77777777" w:rsidR="001C1A36" w:rsidRDefault="001C1A36" w:rsidP="000B5384">
      <w:pPr>
        <w:pStyle w:val="IEEEParagraph"/>
        <w:spacing w:line="23" w:lineRule="atLeast"/>
        <w:ind w:left="567" w:firstLine="360"/>
        <w:rPr>
          <w:rFonts w:asciiTheme="majorHAnsi" w:hAnsiTheme="majorHAnsi"/>
          <w:lang w:val="en"/>
        </w:rPr>
      </w:pPr>
    </w:p>
    <w:p w14:paraId="5484FC8F" w14:textId="77777777" w:rsidR="00E5430A" w:rsidRPr="00E5430A" w:rsidRDefault="00E5430A" w:rsidP="00E5430A">
      <w:pPr>
        <w:pStyle w:val="IEEEFigure"/>
        <w:numPr>
          <w:ilvl w:val="0"/>
          <w:numId w:val="21"/>
        </w:numPr>
        <w:spacing w:line="23" w:lineRule="atLeast"/>
        <w:ind w:left="385" w:hanging="357"/>
        <w:jc w:val="left"/>
        <w:rPr>
          <w:rFonts w:asciiTheme="majorHAnsi" w:hAnsiTheme="majorHAnsi"/>
          <w:b/>
          <w:lang w:val="en"/>
        </w:rPr>
      </w:pPr>
      <w:r w:rsidRPr="00E5430A">
        <w:rPr>
          <w:rFonts w:asciiTheme="majorHAnsi" w:hAnsiTheme="majorHAnsi"/>
          <w:b/>
          <w:lang w:val="en-US"/>
        </w:rPr>
        <w:t>Discussion</w:t>
      </w:r>
    </w:p>
    <w:p w14:paraId="5DE040AD" w14:textId="77777777" w:rsidR="0036327F" w:rsidRDefault="000B5384" w:rsidP="0036327F">
      <w:pPr>
        <w:pStyle w:val="IEEEParagraph"/>
        <w:spacing w:line="23" w:lineRule="atLeast"/>
        <w:ind w:firstLine="360"/>
        <w:rPr>
          <w:rFonts w:asciiTheme="majorHAnsi" w:hAnsiTheme="majorHAnsi"/>
          <w:bCs/>
          <w:lang w:val="en"/>
        </w:rPr>
      </w:pPr>
      <w:r w:rsidRPr="000B5384">
        <w:rPr>
          <w:rFonts w:asciiTheme="majorHAnsi" w:hAnsiTheme="majorHAnsi"/>
          <w:lang w:val="en"/>
        </w:rPr>
        <w:t>The results showed that the ability to pay mortgages variable, the credit term indicator is the indicator which best characterizes the ability to pay mortgages variable compared to other indicators. This means that the credit term indicator is the most capable indicator to represent the variable of the ability to pay mortgages. The longer the credit period, the lower the monthly installments that must be paid by the customer. This can help ease the burden of monthly payments and give customers more time to repay loans. The longer the credit term, the higher the amount of interest to be paid, so that the overall cost of the loan will increase. Therefore, before taking credit for a certain period of time, it is important to consider the customer's financial capabilities so that they can pay installments consistently and on time.</w:t>
      </w:r>
    </w:p>
    <w:p w14:paraId="0C342606" w14:textId="16308162" w:rsidR="000B5384" w:rsidRDefault="000B5384" w:rsidP="0036327F">
      <w:pPr>
        <w:pStyle w:val="IEEEParagraph"/>
        <w:spacing w:line="23" w:lineRule="atLeast"/>
        <w:ind w:firstLine="360"/>
        <w:rPr>
          <w:rFonts w:asciiTheme="majorHAnsi" w:hAnsiTheme="majorHAnsi"/>
          <w:lang w:val="en"/>
        </w:rPr>
      </w:pPr>
      <w:r w:rsidRPr="000B5384">
        <w:rPr>
          <w:rFonts w:asciiTheme="majorHAnsi" w:hAnsiTheme="majorHAnsi"/>
          <w:lang w:val="en"/>
        </w:rPr>
        <w:t>Based on the research results, the variable ability to pay mortgages has a significant effect on timely payments, which is mediated by the fear of paying late. The ability to pay shows the extent to which the customer has the financial capacity to pay installments according to the agreement. If the customer has a good paying ability, that is, has sufficient income or cash flow to cover credit payments on schedule, this helps ensure that customers can pay debts consistently and don't miss the payments. On the other hand, if customers have problems paying on time, for example, they often miss payments or experience repeated delays, this could have a negative impact on their financial credibility. In some cases, this may lead to additional penalties or fees, and may even result in default, which may negatively affect the ability to obtain credit in the future. Therefore, it is important for customers to have good paying ability and be responsible for maintaining discipline in paying credit installments on time.</w:t>
      </w:r>
    </w:p>
    <w:p w14:paraId="4C137297" w14:textId="77777777" w:rsidR="0036327F" w:rsidRPr="000B5384" w:rsidRDefault="0036327F" w:rsidP="0036327F">
      <w:pPr>
        <w:pStyle w:val="IEEEParagraph"/>
        <w:spacing w:line="23" w:lineRule="atLeast"/>
        <w:ind w:firstLine="360"/>
        <w:rPr>
          <w:rFonts w:asciiTheme="majorHAnsi" w:hAnsiTheme="majorHAnsi"/>
          <w:bCs/>
          <w:lang w:val="en"/>
        </w:rPr>
      </w:pPr>
    </w:p>
    <w:p w14:paraId="47A35BAB" w14:textId="57A80BB1" w:rsidR="000B5384" w:rsidRPr="000B5384" w:rsidRDefault="0068563A" w:rsidP="0068563A">
      <w:pPr>
        <w:pStyle w:val="IEEEHeading1"/>
        <w:numPr>
          <w:ilvl w:val="0"/>
          <w:numId w:val="11"/>
        </w:numPr>
        <w:spacing w:before="0" w:after="0" w:line="23" w:lineRule="atLeast"/>
        <w:jc w:val="left"/>
        <w:rPr>
          <w:rFonts w:asciiTheme="majorHAnsi" w:hAnsiTheme="majorHAnsi"/>
          <w:b/>
          <w:bCs/>
          <w:sz w:val="24"/>
          <w:lang w:val="en"/>
        </w:rPr>
      </w:pPr>
      <w:r w:rsidRPr="0068563A">
        <w:rPr>
          <w:rFonts w:asciiTheme="majorHAnsi" w:hAnsiTheme="majorHAnsi"/>
          <w:b/>
          <w:bCs/>
          <w:sz w:val="24"/>
          <w:lang w:val="en"/>
        </w:rPr>
        <w:t>CONCLUSSION</w:t>
      </w:r>
    </w:p>
    <w:p w14:paraId="61007E65" w14:textId="77777777" w:rsidR="000B5384" w:rsidRPr="000B5384" w:rsidRDefault="000B5384" w:rsidP="0036327F">
      <w:pPr>
        <w:pStyle w:val="IEEEParagraph"/>
        <w:spacing w:line="23" w:lineRule="atLeast"/>
        <w:ind w:firstLine="360"/>
        <w:rPr>
          <w:rFonts w:asciiTheme="majorHAnsi" w:hAnsiTheme="majorHAnsi"/>
          <w:lang w:val="en"/>
        </w:rPr>
      </w:pPr>
      <w:r w:rsidRPr="000B5384">
        <w:rPr>
          <w:rFonts w:asciiTheme="majorHAnsi" w:hAnsiTheme="majorHAnsi"/>
          <w:lang w:val="en"/>
        </w:rPr>
        <w:t>Based on the results of the analysis it can be concluded that:</w:t>
      </w:r>
    </w:p>
    <w:p w14:paraId="6AFDC946" w14:textId="77777777" w:rsidR="000B5384" w:rsidRPr="000B5384" w:rsidRDefault="000B5384" w:rsidP="000B5384">
      <w:pPr>
        <w:pStyle w:val="IEEEParagraph"/>
        <w:numPr>
          <w:ilvl w:val="0"/>
          <w:numId w:val="19"/>
        </w:numPr>
        <w:spacing w:line="23" w:lineRule="atLeast"/>
        <w:rPr>
          <w:rFonts w:asciiTheme="majorHAnsi" w:hAnsiTheme="majorHAnsi"/>
          <w:lang w:val="en"/>
        </w:rPr>
      </w:pPr>
      <w:r w:rsidRPr="000B5384">
        <w:rPr>
          <w:rFonts w:asciiTheme="majorHAnsi" w:hAnsiTheme="majorHAnsi"/>
          <w:lang w:val="en"/>
        </w:rPr>
        <w:t>Nonlinear principal component analysis was used to obtain latent variables with indicators on a non-metric scale and it was found that the credit term indicator was the indicator that best characterized the ability to pay mortgages compared to other indicators. The results showed that the eleven variables formed by PC1 or X1 were able to store diversity or information by 74.8%, while 25.20% of diversity or other information was not stored (wasted).</w:t>
      </w:r>
    </w:p>
    <w:p w14:paraId="251F6171" w14:textId="77777777" w:rsidR="000B5384" w:rsidRPr="000B5384" w:rsidRDefault="000B5384" w:rsidP="000B5384">
      <w:pPr>
        <w:pStyle w:val="IEEEParagraph"/>
        <w:numPr>
          <w:ilvl w:val="0"/>
          <w:numId w:val="19"/>
        </w:numPr>
        <w:spacing w:line="23" w:lineRule="atLeast"/>
        <w:rPr>
          <w:rFonts w:asciiTheme="majorHAnsi" w:hAnsiTheme="majorHAnsi"/>
          <w:lang w:val="en"/>
        </w:rPr>
      </w:pPr>
      <w:r w:rsidRPr="000B5384">
        <w:rPr>
          <w:rFonts w:asciiTheme="majorHAnsi" w:hAnsiTheme="majorHAnsi"/>
          <w:lang w:val="en"/>
        </w:rPr>
        <w:t>Based on the results of the path analysis, it can be concluded that the ability to pay mortgages has a significant effect on timely payments, which is mediated by fear of paying. With a total coefficient of determination of 0.8040, it explains that 80.40% of the data diversity can be explained by the research model, while 19.6% of the data diversity is explained by other variables outside the model. And the path analysis model is obtained as follows:</w:t>
      </w:r>
    </w:p>
    <w:p w14:paraId="3FE9EBD1" w14:textId="4B4CBFE9" w:rsidR="000B5384" w:rsidRPr="000B5384" w:rsidRDefault="00000000" w:rsidP="000B5384">
      <w:pPr>
        <w:pStyle w:val="IEEEParagraph"/>
        <w:spacing w:line="23" w:lineRule="atLeast"/>
        <w:ind w:left="567" w:firstLine="360"/>
        <w:rPr>
          <w:rFonts w:asciiTheme="majorHAnsi" w:hAnsiTheme="majorHAnsi"/>
          <w:bCs/>
          <w:lang w:val="en-US"/>
        </w:rPr>
      </w:pPr>
      <m:oMath>
        <m:sSub>
          <m:sSubPr>
            <m:ctrlPr>
              <w:rPr>
                <w:rFonts w:ascii="Cambria Math" w:hAnsi="Cambria Math"/>
                <w:bCs/>
                <w:lang w:val="en-US"/>
              </w:rPr>
            </m:ctrlPr>
          </m:sSubPr>
          <m:e>
            <m:r>
              <m:rPr>
                <m:sty m:val="p"/>
              </m:rPr>
              <w:rPr>
                <w:rFonts w:ascii="Cambria Math" w:hAnsi="Cambria Math"/>
                <w:lang w:val="en-US"/>
              </w:rPr>
              <m:t>Z</m:t>
            </m:r>
          </m:e>
          <m:sub>
            <m:r>
              <m:rPr>
                <m:sty m:val="p"/>
              </m:rPr>
              <w:rPr>
                <w:rFonts w:ascii="Cambria Math" w:hAnsi="Cambria Math"/>
                <w:lang w:val="en-US"/>
              </w:rPr>
              <m:t>Y1</m:t>
            </m:r>
          </m:sub>
        </m:sSub>
        <m:r>
          <m:rPr>
            <m:sty m:val="p"/>
          </m:rPr>
          <w:rPr>
            <w:rFonts w:ascii="Cambria Math" w:hAnsi="Cambria Math"/>
            <w:lang w:val="en-US"/>
          </w:rPr>
          <m:t>=0,4452</m:t>
        </m:r>
        <m:sSub>
          <m:sSubPr>
            <m:ctrlPr>
              <w:rPr>
                <w:rFonts w:ascii="Cambria Math" w:hAnsi="Cambria Math"/>
                <w:bCs/>
                <w:lang w:val="en-US"/>
              </w:rPr>
            </m:ctrlPr>
          </m:sSubPr>
          <m:e>
            <m:r>
              <m:rPr>
                <m:sty m:val="p"/>
              </m:rPr>
              <w:rPr>
                <w:rFonts w:ascii="Cambria Math" w:hAnsi="Cambria Math"/>
                <w:lang w:val="en-US"/>
              </w:rPr>
              <m:t>Z</m:t>
            </m:r>
          </m:e>
          <m:sub>
            <m:r>
              <m:rPr>
                <m:sty m:val="p"/>
              </m:rPr>
              <w:rPr>
                <w:rFonts w:ascii="Cambria Math" w:hAnsi="Cambria Math"/>
                <w:lang w:val="en-US"/>
              </w:rPr>
              <m:t>X1</m:t>
            </m:r>
          </m:sub>
        </m:sSub>
      </m:oMath>
      <w:r w:rsidR="000B5384" w:rsidRPr="000B5384">
        <w:rPr>
          <w:rFonts w:asciiTheme="majorHAnsi" w:hAnsiTheme="majorHAnsi"/>
          <w:bCs/>
          <w:lang w:val="en-US"/>
        </w:rPr>
        <w:t xml:space="preserve"> </w:t>
      </w:r>
    </w:p>
    <w:p w14:paraId="0C087A82" w14:textId="08CB84D9" w:rsidR="000B5384" w:rsidRPr="000B5384" w:rsidRDefault="00000000" w:rsidP="000B5384">
      <w:pPr>
        <w:pStyle w:val="IEEEParagraph"/>
        <w:spacing w:line="23" w:lineRule="atLeast"/>
        <w:ind w:left="567" w:firstLine="360"/>
        <w:rPr>
          <w:rFonts w:asciiTheme="majorHAnsi" w:hAnsiTheme="majorHAnsi"/>
          <w:lang w:val="en"/>
        </w:rPr>
      </w:pPr>
      <m:oMath>
        <m:sSub>
          <m:sSubPr>
            <m:ctrlPr>
              <w:rPr>
                <w:rFonts w:ascii="Cambria Math" w:hAnsi="Cambria Math"/>
                <w:bCs/>
                <w:lang w:val="en-US"/>
              </w:rPr>
            </m:ctrlPr>
          </m:sSubPr>
          <m:e>
            <m:r>
              <m:rPr>
                <m:sty m:val="p"/>
              </m:rPr>
              <w:rPr>
                <w:rFonts w:ascii="Cambria Math" w:hAnsi="Cambria Math"/>
                <w:lang w:val="en-US"/>
              </w:rPr>
              <m:t>Z</m:t>
            </m:r>
          </m:e>
          <m:sub>
            <m:r>
              <m:rPr>
                <m:sty m:val="p"/>
              </m:rPr>
              <w:rPr>
                <w:rFonts w:ascii="Cambria Math" w:hAnsi="Cambria Math"/>
                <w:lang w:val="en-US"/>
              </w:rPr>
              <m:t>Y2</m:t>
            </m:r>
          </m:sub>
        </m:sSub>
        <m:r>
          <m:rPr>
            <m:sty m:val="p"/>
          </m:rPr>
          <w:rPr>
            <w:rFonts w:ascii="Cambria Math" w:hAnsi="Cambria Math"/>
            <w:lang w:val="en-US"/>
          </w:rPr>
          <m:t>=0,4452</m:t>
        </m:r>
        <m:sSub>
          <m:sSubPr>
            <m:ctrlPr>
              <w:rPr>
                <w:rFonts w:ascii="Cambria Math" w:hAnsi="Cambria Math"/>
                <w:bCs/>
                <w:lang w:val="en-US"/>
              </w:rPr>
            </m:ctrlPr>
          </m:sSubPr>
          <m:e>
            <m:r>
              <m:rPr>
                <m:sty m:val="p"/>
              </m:rPr>
              <w:rPr>
                <w:rFonts w:ascii="Cambria Math" w:hAnsi="Cambria Math"/>
                <w:lang w:val="en-US"/>
              </w:rPr>
              <m:t>Z</m:t>
            </m:r>
          </m:e>
          <m:sub>
            <m:r>
              <m:rPr>
                <m:sty m:val="p"/>
              </m:rPr>
              <w:rPr>
                <w:rFonts w:ascii="Cambria Math" w:hAnsi="Cambria Math"/>
                <w:lang w:val="en-US"/>
              </w:rPr>
              <m:t>X1</m:t>
            </m:r>
          </m:sub>
        </m:sSub>
        <m:r>
          <m:rPr>
            <m:sty m:val="p"/>
          </m:rPr>
          <w:rPr>
            <w:rFonts w:ascii="Cambria Math" w:hAnsi="Cambria Math"/>
            <w:lang w:val="en-US"/>
          </w:rPr>
          <m:t>+0,3939</m:t>
        </m:r>
        <m:sSub>
          <m:sSubPr>
            <m:ctrlPr>
              <w:rPr>
                <w:rFonts w:ascii="Cambria Math" w:hAnsi="Cambria Math"/>
                <w:bCs/>
                <w:lang w:val="en-US"/>
              </w:rPr>
            </m:ctrlPr>
          </m:sSubPr>
          <m:e>
            <m:r>
              <m:rPr>
                <m:sty m:val="p"/>
              </m:rPr>
              <w:rPr>
                <w:rFonts w:ascii="Cambria Math" w:hAnsi="Cambria Math"/>
                <w:lang w:val="en-US"/>
              </w:rPr>
              <m:t>Z</m:t>
            </m:r>
          </m:e>
          <m:sub>
            <m:r>
              <m:rPr>
                <m:sty m:val="p"/>
              </m:rPr>
              <w:rPr>
                <w:rFonts w:ascii="Cambria Math" w:hAnsi="Cambria Math"/>
                <w:lang w:val="en-US"/>
              </w:rPr>
              <m:t>Y1</m:t>
            </m:r>
          </m:sub>
        </m:sSub>
      </m:oMath>
      <w:r w:rsidR="000B5384" w:rsidRPr="000B5384">
        <w:rPr>
          <w:rFonts w:asciiTheme="majorHAnsi" w:hAnsiTheme="majorHAnsi"/>
          <w:bCs/>
          <w:lang w:val="en-US"/>
        </w:rPr>
        <w:t xml:space="preserve"> </w:t>
      </w:r>
    </w:p>
    <w:p w14:paraId="3280C5BB" w14:textId="442391DF" w:rsidR="00633178" w:rsidRPr="0036327F" w:rsidRDefault="000B5384" w:rsidP="0036327F">
      <w:pPr>
        <w:pStyle w:val="IEEEParagraph"/>
        <w:spacing w:line="23" w:lineRule="atLeast"/>
        <w:ind w:left="567" w:firstLine="360"/>
        <w:rPr>
          <w:rFonts w:asciiTheme="majorHAnsi" w:hAnsiTheme="majorHAnsi"/>
        </w:rPr>
      </w:pPr>
      <w:r w:rsidRPr="000B5384">
        <w:rPr>
          <w:rFonts w:asciiTheme="majorHAnsi" w:hAnsiTheme="majorHAnsi"/>
          <w:lang w:val="en"/>
        </w:rPr>
        <w:br w:type="page"/>
      </w:r>
    </w:p>
    <w:p w14:paraId="112E7546" w14:textId="77777777" w:rsidR="003950A4" w:rsidRPr="00E77E85" w:rsidRDefault="009C30E3" w:rsidP="00E77E85">
      <w:pPr>
        <w:pStyle w:val="IEEEHeading1"/>
        <w:numPr>
          <w:ilvl w:val="0"/>
          <w:numId w:val="0"/>
        </w:numPr>
        <w:spacing w:before="0" w:after="0" w:line="23" w:lineRule="atLeast"/>
        <w:jc w:val="left"/>
        <w:rPr>
          <w:rFonts w:asciiTheme="majorHAnsi" w:hAnsiTheme="majorHAnsi"/>
          <w:b/>
          <w:sz w:val="24"/>
          <w:lang w:val="en-US"/>
        </w:rPr>
      </w:pPr>
      <w:r w:rsidRPr="00E77E85">
        <w:rPr>
          <w:rFonts w:asciiTheme="majorHAnsi" w:hAnsiTheme="majorHAnsi"/>
          <w:b/>
          <w:sz w:val="24"/>
          <w:lang w:val="en-US"/>
        </w:rPr>
        <w:lastRenderedPageBreak/>
        <w:t>ACKNOWLEDGEMENT</w:t>
      </w:r>
    </w:p>
    <w:p w14:paraId="262DC579" w14:textId="591C5E91" w:rsidR="00A7477B" w:rsidRDefault="00A7477B" w:rsidP="00A7477B">
      <w:pPr>
        <w:pStyle w:val="IEEEParagraph"/>
        <w:spacing w:line="23" w:lineRule="atLeast"/>
        <w:ind w:firstLine="0"/>
        <w:rPr>
          <w:rFonts w:asciiTheme="majorHAnsi" w:hAnsiTheme="majorHAnsi"/>
          <w:lang w:val="en"/>
        </w:rPr>
      </w:pPr>
      <w:r w:rsidRPr="00A7477B">
        <w:rPr>
          <w:rFonts w:asciiTheme="majorHAnsi" w:hAnsiTheme="majorHAnsi"/>
          <w:lang w:val="en"/>
        </w:rPr>
        <w:t>This research did not receive any specific grant from funding agencies in the public, commercial, or not-for-profit sectors. The authors would like to thank the editors and anonymous reviewers for their comments that help improve the quality of this work.</w:t>
      </w:r>
    </w:p>
    <w:p w14:paraId="4B40A01D" w14:textId="77777777" w:rsidR="00A7477B" w:rsidRPr="00E77E85" w:rsidRDefault="00A7477B" w:rsidP="00A7477B">
      <w:pPr>
        <w:pStyle w:val="IEEEParagraph"/>
        <w:spacing w:line="23" w:lineRule="atLeast"/>
        <w:ind w:firstLine="0"/>
        <w:rPr>
          <w:rFonts w:asciiTheme="majorHAnsi" w:hAnsiTheme="majorHAnsi"/>
          <w:lang w:val="sv-SE"/>
        </w:rPr>
      </w:pPr>
    </w:p>
    <w:p w14:paraId="7544EBA1" w14:textId="77777777" w:rsidR="001928FB" w:rsidRDefault="009C30E3" w:rsidP="00E77E85">
      <w:pPr>
        <w:pStyle w:val="IEEEHeading1"/>
        <w:numPr>
          <w:ilvl w:val="0"/>
          <w:numId w:val="0"/>
        </w:numPr>
        <w:spacing w:before="0" w:after="0" w:line="23" w:lineRule="atLeast"/>
        <w:jc w:val="left"/>
        <w:rPr>
          <w:rFonts w:asciiTheme="majorHAnsi" w:hAnsiTheme="majorHAnsi"/>
          <w:b/>
          <w:sz w:val="22"/>
          <w:szCs w:val="22"/>
          <w:lang w:val="en-US"/>
        </w:rPr>
      </w:pPr>
      <w:r w:rsidRPr="0068563A">
        <w:rPr>
          <w:rFonts w:asciiTheme="majorHAnsi" w:hAnsiTheme="majorHAnsi"/>
          <w:b/>
          <w:sz w:val="22"/>
          <w:szCs w:val="22"/>
          <w:lang w:val="en-US"/>
        </w:rPr>
        <w:t>REFERENCES</w:t>
      </w:r>
    </w:p>
    <w:bookmarkStart w:id="8" w:name="_Hlk144331058"/>
    <w:p w14:paraId="5B9E1DF5" w14:textId="0E09FA3A" w:rsidR="00292DA7" w:rsidRPr="00292DA7" w:rsidRDefault="008121A3" w:rsidP="00234EF2">
      <w:pPr>
        <w:widowControl w:val="0"/>
        <w:autoSpaceDE w:val="0"/>
        <w:autoSpaceDN w:val="0"/>
        <w:adjustRightInd w:val="0"/>
        <w:ind w:left="480" w:hanging="480"/>
        <w:jc w:val="both"/>
        <w:rPr>
          <w:noProof/>
          <w:sz w:val="22"/>
        </w:rPr>
      </w:pPr>
      <w:r>
        <w:rPr>
          <w:sz w:val="22"/>
          <w:szCs w:val="22"/>
          <w:lang w:val="en-US"/>
        </w:rPr>
        <w:fldChar w:fldCharType="begin" w:fldLock="1"/>
      </w:r>
      <w:r>
        <w:rPr>
          <w:sz w:val="22"/>
          <w:szCs w:val="22"/>
          <w:lang w:val="en-US"/>
        </w:rPr>
        <w:instrText xml:space="preserve">ADDIN Mendeley Bibliography CSL_BIBLIOGRAPHY </w:instrText>
      </w:r>
      <w:r>
        <w:rPr>
          <w:sz w:val="22"/>
          <w:szCs w:val="22"/>
          <w:lang w:val="en-US"/>
        </w:rPr>
        <w:fldChar w:fldCharType="separate"/>
      </w:r>
      <w:r w:rsidR="00292DA7" w:rsidRPr="00292DA7">
        <w:rPr>
          <w:noProof/>
          <w:sz w:val="22"/>
        </w:rPr>
        <w:t xml:space="preserve">Astutik, S., Solimun, &amp; Darmanto. (2018). </w:t>
      </w:r>
      <w:r w:rsidR="00292DA7" w:rsidRPr="00292DA7">
        <w:rPr>
          <w:i/>
          <w:iCs/>
          <w:noProof/>
          <w:sz w:val="22"/>
        </w:rPr>
        <w:t>Multivariate Analysis: Theory and Application with SAS</w:t>
      </w:r>
      <w:r w:rsidR="00292DA7" w:rsidRPr="00292DA7">
        <w:rPr>
          <w:noProof/>
          <w:sz w:val="22"/>
        </w:rPr>
        <w:t>. Brawijaya Press University.</w:t>
      </w:r>
    </w:p>
    <w:p w14:paraId="5BF0168B"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Budiono, D. (2016). </w:t>
      </w:r>
      <w:r w:rsidRPr="00292DA7">
        <w:rPr>
          <w:i/>
          <w:iCs/>
          <w:noProof/>
          <w:sz w:val="22"/>
        </w:rPr>
        <w:t>The behavior of corporate taxpayers in fulfilling tax obligations: Humanistic theory perspective</w:t>
      </w:r>
      <w:r w:rsidRPr="00292DA7">
        <w:rPr>
          <w:noProof/>
          <w:sz w:val="22"/>
        </w:rPr>
        <w:t>. FEBSOS.</w:t>
      </w:r>
    </w:p>
    <w:p w14:paraId="249DCAD5"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Chen, B., Yang, J., Jeon, B., &amp; Zhang, X. (2017). Kernel quaternion principal component analysis and its application in RGB-D object recognition. </w:t>
      </w:r>
      <w:r w:rsidRPr="00292DA7">
        <w:rPr>
          <w:i/>
          <w:iCs/>
          <w:noProof/>
          <w:sz w:val="22"/>
        </w:rPr>
        <w:t>Neurocomputing</w:t>
      </w:r>
      <w:r w:rsidRPr="00292DA7">
        <w:rPr>
          <w:noProof/>
          <w:sz w:val="22"/>
        </w:rPr>
        <w:t xml:space="preserve">, </w:t>
      </w:r>
      <w:r w:rsidRPr="00292DA7">
        <w:rPr>
          <w:i/>
          <w:iCs/>
          <w:noProof/>
          <w:sz w:val="22"/>
        </w:rPr>
        <w:t>266</w:t>
      </w:r>
      <w:r w:rsidRPr="00292DA7">
        <w:rPr>
          <w:noProof/>
          <w:sz w:val="22"/>
        </w:rPr>
        <w:t>, 293–303. https://doi.org/10.1016/j.neucom.2017.05.047</w:t>
      </w:r>
    </w:p>
    <w:p w14:paraId="547B1C47"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David, C. C., &amp; Jacobs, D. J. (2014). Principal component analysis: a method for determining the essential dynamics of proteins. </w:t>
      </w:r>
      <w:r w:rsidRPr="00292DA7">
        <w:rPr>
          <w:i/>
          <w:iCs/>
          <w:noProof/>
          <w:sz w:val="22"/>
        </w:rPr>
        <w:t>Protein Dynamics: Methods and Protocols</w:t>
      </w:r>
      <w:r w:rsidRPr="00292DA7">
        <w:rPr>
          <w:noProof/>
          <w:sz w:val="22"/>
        </w:rPr>
        <w:t>, 193–226. https://doi.org/10.1007/978-1-62703-658-0_11</w:t>
      </w:r>
    </w:p>
    <w:p w14:paraId="11F8B3E6"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Efendi, E. C. L., Fernandes, A. A. R., &amp; Mitakda, M. B. T. (2021). Modeling of Path Nonparametric Truncated Spline Linear, Quadratic, and Cubic in Model on Time Paying Bank Credit. </w:t>
      </w:r>
      <w:r w:rsidRPr="00292DA7">
        <w:rPr>
          <w:i/>
          <w:iCs/>
          <w:noProof/>
          <w:sz w:val="22"/>
        </w:rPr>
        <w:t>WSEAS Transactions on International Journal of Electrical Engineering and Computer Science,</w:t>
      </w:r>
      <w:r w:rsidRPr="00292DA7">
        <w:rPr>
          <w:noProof/>
          <w:sz w:val="22"/>
        </w:rPr>
        <w:t xml:space="preserve"> </w:t>
      </w:r>
      <w:r w:rsidRPr="00292DA7">
        <w:rPr>
          <w:i/>
          <w:iCs/>
          <w:noProof/>
          <w:sz w:val="22"/>
        </w:rPr>
        <w:t>3</w:t>
      </w:r>
      <w:r w:rsidRPr="00292DA7">
        <w:rPr>
          <w:noProof/>
          <w:sz w:val="22"/>
        </w:rPr>
        <w:t>, 52–60.</w:t>
      </w:r>
    </w:p>
    <w:p w14:paraId="0D1A4BCF"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Fernandes, A. A. R., Budiantara, I. N., Otok, B. W., &amp; Suhartono. (2014). Reproducing Kernel Hilbert space for penalized regression multi-predictors: Case in longitudinal data. </w:t>
      </w:r>
      <w:r w:rsidRPr="00292DA7">
        <w:rPr>
          <w:i/>
          <w:iCs/>
          <w:noProof/>
          <w:sz w:val="22"/>
        </w:rPr>
        <w:t>International Journal of Mathematical Analysis</w:t>
      </w:r>
      <w:r w:rsidRPr="00292DA7">
        <w:rPr>
          <w:noProof/>
          <w:sz w:val="22"/>
        </w:rPr>
        <w:t xml:space="preserve">, </w:t>
      </w:r>
      <w:r w:rsidRPr="00292DA7">
        <w:rPr>
          <w:i/>
          <w:iCs/>
          <w:noProof/>
          <w:sz w:val="22"/>
        </w:rPr>
        <w:t>8</w:t>
      </w:r>
      <w:r w:rsidRPr="00292DA7">
        <w:rPr>
          <w:noProof/>
          <w:sz w:val="22"/>
        </w:rPr>
        <w:t>(40), 1951–1961.</w:t>
      </w:r>
    </w:p>
    <w:p w14:paraId="44DB0217"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Fernandes, A. A. R., Darmanto, Astuti, A. B., Solimun, Amaliana, L., Nurjannah, Yanti, I., Arisoesilaningsih, E., &amp; Isaskar, R. (2019). Smoothing Spline Nonparametric Path: Application for Green Product and Green Marketing Strategy towards Green Product Purchasing Intention. </w:t>
      </w:r>
      <w:r w:rsidRPr="00292DA7">
        <w:rPr>
          <w:i/>
          <w:iCs/>
          <w:noProof/>
          <w:sz w:val="22"/>
        </w:rPr>
        <w:t>IOP Conference Series: Earth and Environmental Science</w:t>
      </w:r>
      <w:r w:rsidRPr="00292DA7">
        <w:rPr>
          <w:noProof/>
          <w:sz w:val="22"/>
        </w:rPr>
        <w:t xml:space="preserve">, </w:t>
      </w:r>
      <w:r w:rsidRPr="00292DA7">
        <w:rPr>
          <w:i/>
          <w:iCs/>
          <w:noProof/>
          <w:sz w:val="22"/>
        </w:rPr>
        <w:t>239</w:t>
      </w:r>
      <w:r w:rsidRPr="00292DA7">
        <w:rPr>
          <w:noProof/>
          <w:sz w:val="22"/>
        </w:rPr>
        <w:t>(1). https://doi.org/10.1088/1755-1315/239/1/012018</w:t>
      </w:r>
    </w:p>
    <w:p w14:paraId="20EC078C"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Fernandes, A. A. R., Hutahayan, B., Solimun, Arisoesilaningsih, E., Yanti, I., Astuti, A. B., Nurjannah, &amp; Amaliana, L. (2019). Comparison of Curve Estimation of the Smoothing Spline Nonparametric Function Path Based on PLS and PWLS in Various Levels of Heteroscedasticity. </w:t>
      </w:r>
      <w:r w:rsidRPr="00292DA7">
        <w:rPr>
          <w:i/>
          <w:iCs/>
          <w:noProof/>
          <w:sz w:val="22"/>
        </w:rPr>
        <w:t>IOP Conference Series: Materials Science and Engineering</w:t>
      </w:r>
      <w:r w:rsidRPr="00292DA7">
        <w:rPr>
          <w:noProof/>
          <w:sz w:val="22"/>
        </w:rPr>
        <w:t xml:space="preserve">, </w:t>
      </w:r>
      <w:r w:rsidRPr="00292DA7">
        <w:rPr>
          <w:i/>
          <w:iCs/>
          <w:noProof/>
          <w:sz w:val="22"/>
        </w:rPr>
        <w:t>546</w:t>
      </w:r>
      <w:r w:rsidRPr="00292DA7">
        <w:rPr>
          <w:noProof/>
          <w:sz w:val="22"/>
        </w:rPr>
        <w:t>(5). https://doi.org/10.1088/1757-899X/546/5/052024</w:t>
      </w:r>
    </w:p>
    <w:p w14:paraId="19EA3B83"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Fernandes, A. A. R., &amp; Solimun. (2017). Moderating effects orientation and innovation strategy on the effect of uncertainty on the performance of the business environment. </w:t>
      </w:r>
      <w:r w:rsidRPr="00292DA7">
        <w:rPr>
          <w:i/>
          <w:iCs/>
          <w:noProof/>
          <w:sz w:val="22"/>
        </w:rPr>
        <w:t>International Journal of Law and Management</w:t>
      </w:r>
      <w:r w:rsidRPr="00292DA7">
        <w:rPr>
          <w:noProof/>
          <w:sz w:val="22"/>
        </w:rPr>
        <w:t xml:space="preserve">, </w:t>
      </w:r>
      <w:r w:rsidRPr="00292DA7">
        <w:rPr>
          <w:i/>
          <w:iCs/>
          <w:noProof/>
          <w:sz w:val="22"/>
        </w:rPr>
        <w:t>59</w:t>
      </w:r>
      <w:r w:rsidRPr="00292DA7">
        <w:rPr>
          <w:noProof/>
          <w:sz w:val="22"/>
        </w:rPr>
        <w:t>(6), 1211–1219.</w:t>
      </w:r>
    </w:p>
    <w:p w14:paraId="49F9C62A"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Hang, J., Zhang, J., &amp; Chen, M. (2016). Application of multi-class fuzzy support vector machine classifier for fault diagnosis of wind turbine. </w:t>
      </w:r>
      <w:r w:rsidRPr="00292DA7">
        <w:rPr>
          <w:i/>
          <w:iCs/>
          <w:noProof/>
          <w:sz w:val="22"/>
        </w:rPr>
        <w:t>Fuzzy Sets and Systems</w:t>
      </w:r>
      <w:r w:rsidRPr="00292DA7">
        <w:rPr>
          <w:noProof/>
          <w:sz w:val="22"/>
        </w:rPr>
        <w:t xml:space="preserve">, </w:t>
      </w:r>
      <w:r w:rsidRPr="00292DA7">
        <w:rPr>
          <w:i/>
          <w:iCs/>
          <w:noProof/>
          <w:sz w:val="22"/>
        </w:rPr>
        <w:t>297</w:t>
      </w:r>
      <w:r w:rsidRPr="00292DA7">
        <w:rPr>
          <w:noProof/>
          <w:sz w:val="22"/>
        </w:rPr>
        <w:t>, 128–140. https://doi.org/https://doi.org/10.1016/j.fss.2015.07.005</w:t>
      </w:r>
    </w:p>
    <w:p w14:paraId="0E340E3B"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Hayati, I. K. (2016). Analysis of Quality of Worklife (Qwl) Implementation Against Job Satisfaction and Commitment of the Employees. </w:t>
      </w:r>
      <w:r w:rsidRPr="00292DA7">
        <w:rPr>
          <w:i/>
          <w:iCs/>
          <w:noProof/>
          <w:sz w:val="22"/>
        </w:rPr>
        <w:t>The Management Journal of Binaniaga</w:t>
      </w:r>
      <w:r w:rsidRPr="00292DA7">
        <w:rPr>
          <w:noProof/>
          <w:sz w:val="22"/>
        </w:rPr>
        <w:t xml:space="preserve">, </w:t>
      </w:r>
      <w:r w:rsidRPr="00292DA7">
        <w:rPr>
          <w:i/>
          <w:iCs/>
          <w:noProof/>
          <w:sz w:val="22"/>
        </w:rPr>
        <w:t>1</w:t>
      </w:r>
      <w:r w:rsidRPr="00292DA7">
        <w:rPr>
          <w:noProof/>
          <w:sz w:val="22"/>
        </w:rPr>
        <w:t>(01), 9–18.</w:t>
      </w:r>
    </w:p>
    <w:p w14:paraId="7E12A028"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James, G., Witten, D., Hastie, T., &amp; Tibshirani, R. (2013). </w:t>
      </w:r>
      <w:r w:rsidRPr="00292DA7">
        <w:rPr>
          <w:i/>
          <w:iCs/>
          <w:noProof/>
          <w:sz w:val="22"/>
        </w:rPr>
        <w:t>An Introduction to Statistical Learning</w:t>
      </w:r>
      <w:r w:rsidRPr="00292DA7">
        <w:rPr>
          <w:noProof/>
          <w:sz w:val="22"/>
        </w:rPr>
        <w:t>. Springer.</w:t>
      </w:r>
    </w:p>
    <w:p w14:paraId="2B971D9C"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Kock, N. (2016). Advantages of nonlinear over segmentation analyses in path models. </w:t>
      </w:r>
      <w:r w:rsidRPr="00292DA7">
        <w:rPr>
          <w:i/>
          <w:iCs/>
          <w:noProof/>
          <w:sz w:val="22"/>
        </w:rPr>
        <w:t>International Journal of E-Collaboration (Ijec)</w:t>
      </w:r>
      <w:r w:rsidRPr="00292DA7">
        <w:rPr>
          <w:noProof/>
          <w:sz w:val="22"/>
        </w:rPr>
        <w:t xml:space="preserve">, </w:t>
      </w:r>
      <w:r w:rsidRPr="00292DA7">
        <w:rPr>
          <w:i/>
          <w:iCs/>
          <w:noProof/>
          <w:sz w:val="22"/>
        </w:rPr>
        <w:t>12</w:t>
      </w:r>
      <w:r w:rsidRPr="00292DA7">
        <w:rPr>
          <w:noProof/>
          <w:sz w:val="22"/>
        </w:rPr>
        <w:t>(4), 1–6.</w:t>
      </w:r>
    </w:p>
    <w:p w14:paraId="5F57C5E8"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O’Rourke, N., Psych, R., &amp; Hatcher, L. (2013). </w:t>
      </w:r>
      <w:r w:rsidRPr="00292DA7">
        <w:rPr>
          <w:i/>
          <w:iCs/>
          <w:noProof/>
          <w:sz w:val="22"/>
        </w:rPr>
        <w:t>A step-by-step approach to using SAS for factor analysis and structural equation modeling</w:t>
      </w:r>
      <w:r w:rsidRPr="00292DA7">
        <w:rPr>
          <w:noProof/>
          <w:sz w:val="22"/>
        </w:rPr>
        <w:t>. Sas Institute.</w:t>
      </w:r>
    </w:p>
    <w:p w14:paraId="45504620"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Solimun, &amp; Fernandes, A. A. R. (2017). </w:t>
      </w:r>
      <w:r w:rsidRPr="00292DA7">
        <w:rPr>
          <w:i/>
          <w:iCs/>
          <w:noProof/>
          <w:sz w:val="22"/>
        </w:rPr>
        <w:t>Investigation of the mediating variable: What is necessary? (case study in management research)</w:t>
      </w:r>
      <w:r w:rsidRPr="00292DA7">
        <w:rPr>
          <w:noProof/>
          <w:sz w:val="22"/>
        </w:rPr>
        <w:t xml:space="preserve">. </w:t>
      </w:r>
      <w:r w:rsidRPr="00292DA7">
        <w:rPr>
          <w:i/>
          <w:iCs/>
          <w:noProof/>
          <w:sz w:val="22"/>
        </w:rPr>
        <w:t>59</w:t>
      </w:r>
      <w:r w:rsidRPr="00292DA7">
        <w:rPr>
          <w:noProof/>
          <w:sz w:val="22"/>
        </w:rPr>
        <w:t>(6), 1059–1067. https://doi.org/https://doi.org/10.1108/IJLMA-09-20 16 -0077</w:t>
      </w:r>
    </w:p>
    <w:p w14:paraId="339F023B"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Solimun, Fernandes, A. A. R., &amp; Nurjannah. (2017). </w:t>
      </w:r>
      <w:r w:rsidRPr="00292DA7">
        <w:rPr>
          <w:i/>
          <w:iCs/>
          <w:noProof/>
          <w:sz w:val="22"/>
        </w:rPr>
        <w:t>Multivariate Statistical Method Structural Equation Modeling (SEM) WarpPLS Approach</w:t>
      </w:r>
      <w:r w:rsidRPr="00292DA7">
        <w:rPr>
          <w:noProof/>
          <w:sz w:val="22"/>
        </w:rPr>
        <w:t>. UB Press.</w:t>
      </w:r>
    </w:p>
    <w:p w14:paraId="76256BA5"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Sumardi, S., &amp; Fernandes, A. A. R. (2018). The mediating effect of service quality and organizational commitment on the effect of management process alignment on higher education performance in Makassar, Indonesia. </w:t>
      </w:r>
      <w:r w:rsidRPr="00292DA7">
        <w:rPr>
          <w:i/>
          <w:iCs/>
          <w:noProof/>
          <w:sz w:val="22"/>
        </w:rPr>
        <w:t>Journal of Organizational Change Management</w:t>
      </w:r>
      <w:r w:rsidRPr="00292DA7">
        <w:rPr>
          <w:noProof/>
          <w:sz w:val="22"/>
        </w:rPr>
        <w:t xml:space="preserve">, </w:t>
      </w:r>
      <w:r w:rsidRPr="00292DA7">
        <w:rPr>
          <w:i/>
          <w:iCs/>
          <w:noProof/>
          <w:sz w:val="22"/>
        </w:rPr>
        <w:t>31</w:t>
      </w:r>
      <w:r w:rsidRPr="00292DA7">
        <w:rPr>
          <w:noProof/>
          <w:sz w:val="22"/>
        </w:rPr>
        <w:t>(2), 410–425.</w:t>
      </w:r>
    </w:p>
    <w:p w14:paraId="149F8D75"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Vegelius, J., &amp; Jin, S. (2021). A semiparametric approach for structural equation modeling with ordinal data. Structural Equation Modeling. </w:t>
      </w:r>
      <w:r w:rsidRPr="00292DA7">
        <w:rPr>
          <w:i/>
          <w:iCs/>
          <w:noProof/>
          <w:sz w:val="22"/>
        </w:rPr>
        <w:t>A Multidisciplinary Journal</w:t>
      </w:r>
      <w:r w:rsidRPr="00292DA7">
        <w:rPr>
          <w:noProof/>
          <w:sz w:val="22"/>
        </w:rPr>
        <w:t xml:space="preserve">, </w:t>
      </w:r>
      <w:r w:rsidRPr="00292DA7">
        <w:rPr>
          <w:i/>
          <w:iCs/>
          <w:noProof/>
          <w:sz w:val="22"/>
        </w:rPr>
        <w:t>28</w:t>
      </w:r>
      <w:r w:rsidRPr="00292DA7">
        <w:rPr>
          <w:noProof/>
          <w:sz w:val="22"/>
        </w:rPr>
        <w:t>(4), 497–505.</w:t>
      </w:r>
    </w:p>
    <w:p w14:paraId="4802865D"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t xml:space="preserve">Yu, H., Khan, F., &amp; Ikram, G. (2015). An alternative formulation of PCA for process monitoring using distance correlation. </w:t>
      </w:r>
      <w:r w:rsidRPr="00292DA7">
        <w:rPr>
          <w:i/>
          <w:iCs/>
          <w:noProof/>
          <w:sz w:val="22"/>
        </w:rPr>
        <w:t>Industrial &amp; Engineering Chemistry Research</w:t>
      </w:r>
      <w:r w:rsidRPr="00292DA7">
        <w:rPr>
          <w:noProof/>
          <w:sz w:val="22"/>
        </w:rPr>
        <w:t xml:space="preserve">, </w:t>
      </w:r>
      <w:r w:rsidRPr="00292DA7">
        <w:rPr>
          <w:i/>
          <w:iCs/>
          <w:noProof/>
          <w:sz w:val="22"/>
        </w:rPr>
        <w:t>55</w:t>
      </w:r>
      <w:r w:rsidRPr="00292DA7">
        <w:rPr>
          <w:noProof/>
          <w:sz w:val="22"/>
        </w:rPr>
        <w:t>(3), 656–669.</w:t>
      </w:r>
    </w:p>
    <w:p w14:paraId="23E974DB" w14:textId="77777777" w:rsidR="00292DA7" w:rsidRPr="00292DA7" w:rsidRDefault="00292DA7" w:rsidP="00234EF2">
      <w:pPr>
        <w:widowControl w:val="0"/>
        <w:autoSpaceDE w:val="0"/>
        <w:autoSpaceDN w:val="0"/>
        <w:adjustRightInd w:val="0"/>
        <w:ind w:left="480" w:hanging="480"/>
        <w:jc w:val="both"/>
        <w:rPr>
          <w:noProof/>
          <w:sz w:val="22"/>
        </w:rPr>
      </w:pPr>
      <w:r w:rsidRPr="00292DA7">
        <w:rPr>
          <w:noProof/>
          <w:sz w:val="22"/>
        </w:rPr>
        <w:lastRenderedPageBreak/>
        <w:t xml:space="preserve">Zhang, Z., &amp; Pan, P. (2019). A hybrid intrusion detection method based on improved fuzzy C-means and support vector machine. </w:t>
      </w:r>
      <w:r w:rsidRPr="00292DA7">
        <w:rPr>
          <w:i/>
          <w:iCs/>
          <w:noProof/>
          <w:sz w:val="22"/>
        </w:rPr>
        <w:t>A Hybrid Intrusion Detection Method Based on Improved Fuzzy C-Means and Support Vector Machine.</w:t>
      </w:r>
    </w:p>
    <w:p w14:paraId="4CBAD4CB" w14:textId="55A74B8B" w:rsidR="00BB13C6" w:rsidRPr="0068563A" w:rsidRDefault="008121A3" w:rsidP="00234EF2">
      <w:pPr>
        <w:widowControl w:val="0"/>
        <w:autoSpaceDE w:val="0"/>
        <w:autoSpaceDN w:val="0"/>
        <w:adjustRightInd w:val="0"/>
        <w:ind w:left="480" w:hanging="480"/>
        <w:jc w:val="both"/>
        <w:rPr>
          <w:sz w:val="22"/>
          <w:szCs w:val="22"/>
          <w:lang w:val="en-US"/>
        </w:rPr>
      </w:pPr>
      <w:r>
        <w:rPr>
          <w:sz w:val="22"/>
          <w:szCs w:val="22"/>
          <w:lang w:val="en-US"/>
        </w:rPr>
        <w:fldChar w:fldCharType="end"/>
      </w:r>
      <w:bookmarkEnd w:id="8"/>
    </w:p>
    <w:sectPr w:rsidR="00BB13C6" w:rsidRPr="0068563A" w:rsidSect="00AD3C84">
      <w:type w:val="continuous"/>
      <w:pgSz w:w="11906" w:h="16838" w:code="9"/>
      <w:pgMar w:top="1134" w:right="1134" w:bottom="1134" w:left="1134" w:header="851"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AA2F" w14:textId="77777777" w:rsidR="003401D4" w:rsidRDefault="003401D4" w:rsidP="00A1414F">
      <w:r>
        <w:separator/>
      </w:r>
    </w:p>
  </w:endnote>
  <w:endnote w:type="continuationSeparator" w:id="0">
    <w:p w14:paraId="69924DD1" w14:textId="77777777" w:rsidR="003401D4" w:rsidRDefault="003401D4"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0824"/>
      <w:docPartObj>
        <w:docPartGallery w:val="Page Numbers (Bottom of Page)"/>
        <w:docPartUnique/>
      </w:docPartObj>
    </w:sdtPr>
    <w:sdtContent>
      <w:p w14:paraId="7F175D1E" w14:textId="77777777" w:rsidR="00427112" w:rsidRDefault="00427112" w:rsidP="00427112">
        <w:pPr>
          <w:pStyle w:val="Footer"/>
          <w:jc w:val="center"/>
        </w:pPr>
      </w:p>
      <w:p w14:paraId="3E5C4E8C" w14:textId="77777777" w:rsidR="00F22C0B" w:rsidRDefault="00842B65" w:rsidP="00427112">
        <w:pPr>
          <w:pStyle w:val="Footer"/>
          <w:jc w:val="center"/>
        </w:pPr>
        <w:r>
          <w:fldChar w:fldCharType="begin"/>
        </w:r>
        <w:r>
          <w:instrText xml:space="preserve"> PAGE   \* MERGEFORMAT </w:instrText>
        </w:r>
        <w:r>
          <w:fldChar w:fldCharType="separate"/>
        </w:r>
        <w:r w:rsidR="00844FA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5C77" w14:textId="77777777" w:rsidR="003401D4" w:rsidRDefault="003401D4" w:rsidP="00A1414F">
      <w:r>
        <w:separator/>
      </w:r>
    </w:p>
  </w:footnote>
  <w:footnote w:type="continuationSeparator" w:id="0">
    <w:p w14:paraId="0EC304B6" w14:textId="77777777" w:rsidR="003401D4" w:rsidRDefault="003401D4"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9C85" w14:textId="77777777" w:rsidR="0000069A" w:rsidRDefault="00515557" w:rsidP="008168FA">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006079BE"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3D74B8">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r w:rsidR="0063726A">
      <w:rPr>
        <w:rFonts w:ascii="Century Gothic" w:hAnsi="Century Gothic"/>
        <w:b/>
        <w:sz w:val="20"/>
        <w:szCs w:val="20"/>
      </w:rPr>
      <w:t>JTAM (</w:t>
    </w:r>
    <w:r w:rsidR="0063726A" w:rsidRPr="001903E1">
      <w:rPr>
        <w:rFonts w:ascii="Century Gothic" w:hAnsi="Century Gothic"/>
        <w:b/>
        <w:sz w:val="20"/>
        <w:szCs w:val="20"/>
      </w:rPr>
      <w:t>Jurnal Teori dan Aplikasi Matematika</w:t>
    </w:r>
    <w:r w:rsidR="0063726A">
      <w:rPr>
        <w:rFonts w:ascii="Century Gothic" w:hAnsi="Century Gothic"/>
        <w:b/>
        <w:sz w:val="20"/>
        <w:szCs w:val="20"/>
      </w:rPr>
      <w:t>)</w:t>
    </w:r>
    <w:r w:rsidR="0077568E" w:rsidRPr="001903E1">
      <w:rPr>
        <w:rFonts w:ascii="Century Gothic" w:hAnsi="Century Gothic"/>
        <w:b/>
        <w:sz w:val="20"/>
        <w:szCs w:val="20"/>
      </w:rPr>
      <w:t xml:space="preserve"> </w:t>
    </w:r>
    <w:r w:rsidR="0077568E">
      <w:rPr>
        <w:rFonts w:ascii="Century Gothic" w:hAnsi="Century Gothic"/>
        <w:b/>
        <w:sz w:val="20"/>
        <w:szCs w:val="20"/>
      </w:rPr>
      <w:t xml:space="preserve">| </w:t>
    </w:r>
    <w:r w:rsidR="00E20C19" w:rsidRPr="0077568E">
      <w:rPr>
        <w:rFonts w:ascii="Century Gothic" w:hAnsi="Century Gothic"/>
        <w:i/>
        <w:sz w:val="20"/>
        <w:szCs w:val="20"/>
        <w:lang w:val="id-ID"/>
      </w:rPr>
      <w:t>Vol.</w:t>
    </w:r>
    <w:r w:rsidR="00A12127" w:rsidRPr="0077568E">
      <w:rPr>
        <w:rFonts w:ascii="Century Gothic" w:hAnsi="Century Gothic"/>
        <w:i/>
        <w:sz w:val="20"/>
        <w:szCs w:val="20"/>
        <w:lang w:val="en-US"/>
      </w:rPr>
      <w:t xml:space="preserve"> </w:t>
    </w:r>
    <w:r w:rsidR="00707835" w:rsidRPr="0077568E">
      <w:rPr>
        <w:rFonts w:ascii="Century Gothic" w:hAnsi="Century Gothic"/>
        <w:i/>
        <w:sz w:val="20"/>
        <w:szCs w:val="20"/>
        <w:lang w:val="en-US"/>
      </w:rPr>
      <w:t>X</w:t>
    </w:r>
    <w:r w:rsidR="00E20C19" w:rsidRPr="0077568E">
      <w:rPr>
        <w:rFonts w:ascii="Century Gothic" w:hAnsi="Century Gothic"/>
        <w:i/>
        <w:sz w:val="20"/>
        <w:szCs w:val="20"/>
        <w:lang w:val="id-ID"/>
      </w:rPr>
      <w:t>, No.</w:t>
    </w:r>
    <w:r w:rsidR="00332EA4" w:rsidRPr="0077568E">
      <w:rPr>
        <w:rFonts w:ascii="Century Gothic" w:hAnsi="Century Gothic"/>
        <w:i/>
        <w:sz w:val="20"/>
        <w:szCs w:val="20"/>
        <w:lang w:val="en-US"/>
      </w:rPr>
      <w:t xml:space="preserve"> </w:t>
    </w:r>
    <w:r w:rsidR="00707835" w:rsidRPr="0077568E">
      <w:rPr>
        <w:rFonts w:ascii="Century Gothic" w:hAnsi="Century Gothic"/>
        <w:i/>
        <w:sz w:val="20"/>
        <w:szCs w:val="20"/>
        <w:lang w:val="en-US"/>
      </w:rPr>
      <w:t>X</w:t>
    </w:r>
    <w:r w:rsidR="00E20C19" w:rsidRPr="0077568E">
      <w:rPr>
        <w:rFonts w:ascii="Century Gothic" w:hAnsi="Century Gothic"/>
        <w:i/>
        <w:sz w:val="20"/>
        <w:szCs w:val="20"/>
        <w:lang w:val="id-ID"/>
      </w:rPr>
      <w:t xml:space="preserve">, </w:t>
    </w:r>
    <w:r w:rsidR="00707835" w:rsidRPr="0077568E">
      <w:rPr>
        <w:rFonts w:ascii="Century Gothic" w:hAnsi="Century Gothic"/>
        <w:i/>
        <w:sz w:val="20"/>
        <w:szCs w:val="20"/>
        <w:lang w:val="en-US"/>
      </w:rPr>
      <w:t>Month</w:t>
    </w:r>
    <w:r w:rsidR="00332EA4" w:rsidRPr="0077568E">
      <w:rPr>
        <w:rFonts w:ascii="Century Gothic" w:hAnsi="Century Gothic"/>
        <w:i/>
        <w:sz w:val="20"/>
        <w:szCs w:val="20"/>
        <w:lang w:val="en-US"/>
      </w:rPr>
      <w:t xml:space="preserve"> </w:t>
    </w:r>
    <w:r w:rsidR="00707835" w:rsidRPr="0077568E">
      <w:rPr>
        <w:rFonts w:ascii="Century Gothic" w:hAnsi="Century Gothic"/>
        <w:i/>
        <w:sz w:val="20"/>
        <w:szCs w:val="20"/>
        <w:lang w:val="en-US"/>
      </w:rPr>
      <w:t>20XX</w:t>
    </w:r>
    <w:r w:rsidR="0000069A" w:rsidRPr="0077568E">
      <w:rPr>
        <w:rFonts w:ascii="Century Gothic" w:hAnsi="Century Gothic"/>
        <w:i/>
        <w:sz w:val="20"/>
        <w:szCs w:val="20"/>
        <w:lang w:val="id-ID"/>
      </w:rPr>
      <w:t xml:space="preserve">, </w:t>
    </w:r>
    <w:r w:rsidR="009B0A53" w:rsidRPr="0077568E">
      <w:rPr>
        <w:rFonts w:ascii="Century Gothic" w:hAnsi="Century Gothic"/>
        <w:i/>
        <w:sz w:val="20"/>
        <w:szCs w:val="20"/>
        <w:lang w:val="en-US"/>
      </w:rPr>
      <w:t>pp.</w:t>
    </w:r>
    <w:r w:rsidR="0000069A" w:rsidRPr="0077568E">
      <w:rPr>
        <w:rFonts w:ascii="Century Gothic" w:hAnsi="Century Gothic"/>
        <w:i/>
        <w:sz w:val="20"/>
        <w:szCs w:val="20"/>
        <w:lang w:val="en-US"/>
      </w:rPr>
      <w:t xml:space="preserve"> </w:t>
    </w:r>
    <w:r w:rsidR="00A12127" w:rsidRPr="0077568E">
      <w:rPr>
        <w:rFonts w:ascii="Century Gothic" w:hAnsi="Century Gothic"/>
        <w:i/>
        <w:sz w:val="20"/>
        <w:szCs w:val="20"/>
        <w:lang w:val="en-US"/>
      </w:rPr>
      <w:t>XX-YY</w:t>
    </w:r>
    <w:r w:rsidR="008168FA" w:rsidRPr="0077568E">
      <w:rPr>
        <w:rFonts w:ascii="Century Gothic" w:hAnsi="Century Gothic"/>
        <w:i/>
        <w:sz w:val="20"/>
        <w:szCs w:val="20"/>
        <w:lang w:val="en-US"/>
      </w:rPr>
      <w:tab/>
    </w:r>
  </w:p>
  <w:p w14:paraId="33BD97F9" w14:textId="77777777" w:rsidR="00782C3F" w:rsidRPr="0077568E" w:rsidRDefault="00782C3F" w:rsidP="008168FA">
    <w:pPr>
      <w:pStyle w:val="Header"/>
      <w:tabs>
        <w:tab w:val="clear" w:pos="4680"/>
        <w:tab w:val="clear" w:pos="9360"/>
        <w:tab w:val="center" w:pos="5102"/>
      </w:tabs>
      <w:rPr>
        <w:rFonts w:ascii="Century Gothic" w:hAnsi="Century Gothic"/>
        <w:i/>
        <w:sz w:val="20"/>
        <w:szCs w:val="20"/>
        <w:lang w:val="en-US"/>
      </w:rPr>
    </w:pPr>
  </w:p>
  <w:p w14:paraId="0B7BF677" w14:textId="77777777" w:rsidR="008168FA" w:rsidRPr="00427112" w:rsidRDefault="008168FA" w:rsidP="008168FA">
    <w:pPr>
      <w:pStyle w:val="Header"/>
      <w:tabs>
        <w:tab w:val="clear" w:pos="4680"/>
        <w:tab w:val="clear" w:pos="9360"/>
        <w:tab w:val="center" w:pos="5102"/>
      </w:tabs>
      <w:rPr>
        <w:rFonts w:ascii="Century Gothic" w:hAnsi="Century Gothic"/>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EB33" w14:textId="77777777"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D47EA8">
      <w:rPr>
        <w:i/>
        <w:sz w:val="20"/>
        <w:szCs w:val="20"/>
        <w:lang w:val="en-US"/>
      </w:rPr>
      <w:t>Corresponding Authors</w:t>
    </w:r>
    <w:r w:rsidRPr="001A1D29">
      <w:rPr>
        <w:i/>
        <w:sz w:val="20"/>
        <w:szCs w:val="20"/>
        <w:lang w:val="id-ID"/>
      </w:rPr>
      <w:t xml:space="preserve">, </w:t>
    </w:r>
    <w:r w:rsidR="00D47EA8">
      <w:rPr>
        <w:i/>
        <w:sz w:val="20"/>
        <w:szCs w:val="20"/>
        <w:lang w:val="en-US"/>
      </w:rPr>
      <w:t>Title in</w:t>
    </w:r>
    <w:r w:rsidRPr="001A1D29">
      <w:rPr>
        <w:i/>
        <w:sz w:val="20"/>
        <w:szCs w:val="20"/>
        <w:lang w:val="id-ID"/>
      </w:rPr>
      <w:t xml:space="preserve"> </w:t>
    </w:r>
    <w:r w:rsidR="00AD3C84">
      <w:rPr>
        <w:i/>
        <w:sz w:val="20"/>
        <w:szCs w:val="20"/>
        <w:lang w:val="en-US"/>
      </w:rPr>
      <w:t>5</w:t>
    </w:r>
    <w:r w:rsidRPr="001A1D29">
      <w:rPr>
        <w:i/>
        <w:sz w:val="20"/>
        <w:szCs w:val="20"/>
        <w:lang w:val="id-ID"/>
      </w:rPr>
      <w:t xml:space="preserve"> </w:t>
    </w:r>
    <w:r w:rsidR="00D47EA8">
      <w:rPr>
        <w:i/>
        <w:sz w:val="20"/>
        <w:szCs w:val="20"/>
        <w:lang w:val="en-US"/>
      </w:rPr>
      <w:t>Words</w:t>
    </w:r>
    <w:r w:rsidRPr="001A1D29">
      <w:rPr>
        <w:i/>
        <w:sz w:val="20"/>
        <w:szCs w:val="20"/>
        <w:lang w:val="id-ID"/>
      </w:rPr>
      <w:t>...</w:t>
    </w:r>
    <w:r w:rsidR="00397E48">
      <w:rPr>
        <w:i/>
        <w:sz w:val="20"/>
        <w:szCs w:val="20"/>
        <w:lang w:val="en-US"/>
      </w:rPr>
      <w:t xml:space="preserve">    </w:t>
    </w:r>
    <w:r w:rsidR="00842B65" w:rsidRPr="001A1D29">
      <w:rPr>
        <w:sz w:val="20"/>
        <w:szCs w:val="20"/>
      </w:rPr>
      <w:fldChar w:fldCharType="begin"/>
    </w:r>
    <w:r w:rsidR="00842B65" w:rsidRPr="001A1D29">
      <w:rPr>
        <w:sz w:val="20"/>
        <w:szCs w:val="20"/>
      </w:rPr>
      <w:instrText xml:space="preserve"> PAGE   \* MERGEFORMAT </w:instrText>
    </w:r>
    <w:r w:rsidR="00842B65" w:rsidRPr="001A1D29">
      <w:rPr>
        <w:sz w:val="20"/>
        <w:szCs w:val="20"/>
      </w:rPr>
      <w:fldChar w:fldCharType="separate"/>
    </w:r>
    <w:r w:rsidR="003D74B8">
      <w:rPr>
        <w:noProof/>
        <w:sz w:val="20"/>
        <w:szCs w:val="20"/>
      </w:rPr>
      <w:t>3</w:t>
    </w:r>
    <w:r w:rsidR="00842B65" w:rsidRPr="001A1D29">
      <w:rPr>
        <w:noProof/>
        <w:sz w:val="20"/>
        <w:szCs w:val="20"/>
      </w:rPr>
      <w:fldChar w:fldCharType="end"/>
    </w:r>
  </w:p>
  <w:p w14:paraId="545AADF0" w14:textId="77777777" w:rsidR="00782C3F" w:rsidRDefault="00782C3F" w:rsidP="00E20C19">
    <w:pPr>
      <w:pStyle w:val="Header"/>
      <w:jc w:val="right"/>
      <w:rPr>
        <w:noProof/>
        <w:sz w:val="20"/>
        <w:szCs w:val="20"/>
      </w:rPr>
    </w:pPr>
  </w:p>
  <w:p w14:paraId="35CFA2AF" w14:textId="77777777"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AE16" w14:textId="2151C446" w:rsidR="00BF4618" w:rsidRPr="008168FA" w:rsidRDefault="000328BB" w:rsidP="008168FA">
    <w:pPr>
      <w:pStyle w:val="Header"/>
      <w:tabs>
        <w:tab w:val="clear" w:pos="4680"/>
        <w:tab w:val="clear" w:pos="9360"/>
        <w:tab w:val="left" w:pos="2650"/>
      </w:tabs>
    </w:pPr>
    <w:r>
      <w:rPr>
        <w:noProof/>
        <w:lang w:val="en-US" w:eastAsia="en-US"/>
      </w:rPr>
      <mc:AlternateContent>
        <mc:Choice Requires="wps">
          <w:drawing>
            <wp:anchor distT="0" distB="0" distL="114300" distR="114300" simplePos="0" relativeHeight="251657728" behindDoc="1" locked="0" layoutInCell="1" allowOverlap="1" wp14:anchorId="55A64F6F" wp14:editId="5474D665">
              <wp:simplePos x="0" y="0"/>
              <wp:positionH relativeFrom="column">
                <wp:posOffset>637540</wp:posOffset>
              </wp:positionH>
              <wp:positionV relativeFrom="paragraph">
                <wp:posOffset>-43180</wp:posOffset>
              </wp:positionV>
              <wp:extent cx="2793365" cy="751205"/>
              <wp:effectExtent l="0" t="0" r="6985" b="0"/>
              <wp:wrapNone/>
              <wp:docPr id="19610611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51205"/>
                      </a:xfrm>
                      <a:prstGeom prst="rect">
                        <a:avLst/>
                      </a:prstGeom>
                      <a:solidFill>
                        <a:srgbClr val="FFFFFF">
                          <a:alpha val="0"/>
                        </a:srgbClr>
                      </a:solidFill>
                      <a:ln w="0">
                        <a:solidFill>
                          <a:schemeClr val="bg1">
                            <a:lumMod val="100000"/>
                            <a:lumOff val="0"/>
                          </a:schemeClr>
                        </a:solidFill>
                        <a:miter lim="800000"/>
                        <a:headEnd/>
                        <a:tailEnd/>
                      </a:ln>
                    </wps:spPr>
                    <wps:txbx>
                      <w:txbxContent>
                        <w:p w14:paraId="0C4C02FA" w14:textId="77777777" w:rsidR="008168FA" w:rsidRPr="008118E5" w:rsidRDefault="0063726A"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5B1AF514" w14:textId="77777777" w:rsidR="008168FA" w:rsidRDefault="00000000" w:rsidP="008168FA">
                          <w:pPr>
                            <w:jc w:val="both"/>
                            <w:rPr>
                              <w:rFonts w:ascii="Century" w:hAnsi="Century"/>
                              <w:sz w:val="20"/>
                            </w:rPr>
                          </w:pPr>
                          <w:hyperlink r:id="rId1" w:history="1">
                            <w:r w:rsidR="008168FA" w:rsidRPr="008118E5">
                              <w:rPr>
                                <w:rStyle w:val="Hyperlink"/>
                                <w:rFonts w:ascii="Century" w:hAnsi="Century"/>
                                <w:sz w:val="20"/>
                              </w:rPr>
                              <w:t>http://journal.ummat.ac.id/index.php/jtam</w:t>
                            </w:r>
                          </w:hyperlink>
                        </w:p>
                        <w:p w14:paraId="3438EC50" w14:textId="77777777" w:rsidR="008168FA" w:rsidRPr="008118E5" w:rsidRDefault="008168FA" w:rsidP="008168FA">
                          <w:pPr>
                            <w:jc w:val="both"/>
                            <w:rPr>
                              <w:rFonts w:ascii="Century" w:hAnsi="Century"/>
                              <w:sz w:val="2"/>
                              <w:szCs w:val="16"/>
                            </w:rPr>
                          </w:pPr>
                        </w:p>
                        <w:p w14:paraId="06CE900F" w14:textId="77777777" w:rsidR="008168FA" w:rsidRPr="008118E5" w:rsidRDefault="008168FA"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3D793E81" w14:textId="77777777" w:rsidR="008168FA" w:rsidRDefault="008168FA"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w:t>
                          </w:r>
                          <w:r w:rsidR="00A06680">
                            <w:rPr>
                              <w:rFonts w:ascii="Century Gothic" w:hAnsi="Century Gothic"/>
                              <w:sz w:val="18"/>
                              <w:szCs w:val="16"/>
                            </w:rPr>
                            <w:t>X</w:t>
                          </w:r>
                          <w:r w:rsidRPr="008118E5">
                            <w:rPr>
                              <w:rFonts w:ascii="Century Gothic" w:hAnsi="Century Gothic"/>
                              <w:sz w:val="18"/>
                              <w:szCs w:val="16"/>
                            </w:rPr>
                            <w:t>, No.</w:t>
                          </w:r>
                          <w:r>
                            <w:rPr>
                              <w:rFonts w:ascii="Century Gothic" w:hAnsi="Century Gothic"/>
                              <w:sz w:val="18"/>
                              <w:szCs w:val="16"/>
                            </w:rPr>
                            <w:t xml:space="preserve"> </w:t>
                          </w:r>
                          <w:r w:rsidR="00A06680">
                            <w:rPr>
                              <w:rFonts w:ascii="Century Gothic" w:hAnsi="Century Gothic"/>
                              <w:sz w:val="18"/>
                              <w:szCs w:val="16"/>
                            </w:rPr>
                            <w:t>Y</w:t>
                          </w:r>
                          <w:r w:rsidRPr="008118E5">
                            <w:rPr>
                              <w:rFonts w:ascii="Century Gothic" w:hAnsi="Century Gothic"/>
                              <w:sz w:val="18"/>
                              <w:szCs w:val="16"/>
                            </w:rPr>
                            <w:t xml:space="preserve">, </w:t>
                          </w:r>
                          <w:r w:rsidR="00A06680">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64F6F" id="_x0000_t202" coordsize="21600,21600" o:spt="202" path="m,l,21600r21600,l21600,xe">
              <v:stroke joinstyle="miter"/>
              <v:path gradientshapeok="t" o:connecttype="rect"/>
            </v:shapetype>
            <v:shape id="Text Box 7" o:spid="_x0000_s1026" type="#_x0000_t202" style="position:absolute;margin-left:50.2pt;margin-top:-3.4pt;width:219.95pt;height: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" strokecolor="white [3212]" strokeweight="0">
              <v:fill opacity="0"/>
              <v:textbox>
                <w:txbxContent>
                  <w:p w14:paraId="0C4C02FA" w14:textId="77777777" w:rsidR="008168FA" w:rsidRPr="008118E5" w:rsidRDefault="0063726A"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5B1AF514" w14:textId="77777777" w:rsidR="008168FA" w:rsidRDefault="00000000" w:rsidP="008168FA">
                    <w:pPr>
                      <w:jc w:val="both"/>
                      <w:rPr>
                        <w:rFonts w:ascii="Century" w:hAnsi="Century"/>
                        <w:sz w:val="20"/>
                      </w:rPr>
                    </w:pPr>
                    <w:hyperlink r:id="rId2" w:history="1">
                      <w:r w:rsidR="008168FA" w:rsidRPr="008118E5">
                        <w:rPr>
                          <w:rStyle w:val="Hyperlink"/>
                          <w:rFonts w:ascii="Century" w:hAnsi="Century"/>
                          <w:sz w:val="20"/>
                        </w:rPr>
                        <w:t>http://journal.ummat.ac.id/index.php/jtam</w:t>
                      </w:r>
                    </w:hyperlink>
                  </w:p>
                  <w:p w14:paraId="3438EC50" w14:textId="77777777" w:rsidR="008168FA" w:rsidRPr="008118E5" w:rsidRDefault="008168FA" w:rsidP="008168FA">
                    <w:pPr>
                      <w:jc w:val="both"/>
                      <w:rPr>
                        <w:rFonts w:ascii="Century" w:hAnsi="Century"/>
                        <w:sz w:val="2"/>
                        <w:szCs w:val="16"/>
                      </w:rPr>
                    </w:pPr>
                  </w:p>
                  <w:p w14:paraId="06CE900F" w14:textId="77777777" w:rsidR="008168FA" w:rsidRPr="008118E5" w:rsidRDefault="008168FA"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3D793E81" w14:textId="77777777" w:rsidR="008168FA" w:rsidRDefault="008168FA"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w:t>
                    </w:r>
                    <w:r w:rsidR="00A06680">
                      <w:rPr>
                        <w:rFonts w:ascii="Century Gothic" w:hAnsi="Century Gothic"/>
                        <w:sz w:val="18"/>
                        <w:szCs w:val="16"/>
                      </w:rPr>
                      <w:t>X</w:t>
                    </w:r>
                    <w:r w:rsidRPr="008118E5">
                      <w:rPr>
                        <w:rFonts w:ascii="Century Gothic" w:hAnsi="Century Gothic"/>
                        <w:sz w:val="18"/>
                        <w:szCs w:val="16"/>
                      </w:rPr>
                      <w:t>, No.</w:t>
                    </w:r>
                    <w:r>
                      <w:rPr>
                        <w:rFonts w:ascii="Century Gothic" w:hAnsi="Century Gothic"/>
                        <w:sz w:val="18"/>
                        <w:szCs w:val="16"/>
                      </w:rPr>
                      <w:t xml:space="preserve"> </w:t>
                    </w:r>
                    <w:r w:rsidR="00A06680">
                      <w:rPr>
                        <w:rFonts w:ascii="Century Gothic" w:hAnsi="Century Gothic"/>
                        <w:sz w:val="18"/>
                        <w:szCs w:val="16"/>
                      </w:rPr>
                      <w:t>Y</w:t>
                    </w:r>
                    <w:r w:rsidRPr="008118E5">
                      <w:rPr>
                        <w:rFonts w:ascii="Century Gothic" w:hAnsi="Century Gothic"/>
                        <w:sz w:val="18"/>
                        <w:szCs w:val="16"/>
                      </w:rPr>
                      <w:t xml:space="preserve">, </w:t>
                    </w:r>
                    <w:r w:rsidR="00A06680">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v:textbox>
            </v:shape>
          </w:pict>
        </mc:Fallback>
      </mc:AlternateContent>
    </w:r>
    <w:r w:rsidR="00BA655F">
      <w:rPr>
        <w:noProof/>
        <w:lang w:val="en-US" w:eastAsia="en-US"/>
      </w:rPr>
      <w:drawing>
        <wp:inline distT="0" distB="0" distL="0" distR="0" wp14:anchorId="68424BDC" wp14:editId="52651E66">
          <wp:extent cx="688312" cy="648822"/>
          <wp:effectExtent l="0" t="0" r="0" b="0"/>
          <wp:docPr id="4" name="Picture 4" descr="C:\Users\WINDOWS 7\Pictures\Logo JTAM\JTAMIndeksasi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Logo JTAM\JTAMIndeksasi copy - Cop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9790" cy="650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737C9D"/>
    <w:multiLevelType w:val="hybridMultilevel"/>
    <w:tmpl w:val="AEFCA272"/>
    <w:lvl w:ilvl="0" w:tplc="62C6CF3C">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6D6D28"/>
    <w:multiLevelType w:val="hybridMultilevel"/>
    <w:tmpl w:val="F0EAD99C"/>
    <w:lvl w:ilvl="0" w:tplc="7C74E2DA">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FB26DE"/>
    <w:multiLevelType w:val="hybridMultilevel"/>
    <w:tmpl w:val="86362740"/>
    <w:lvl w:ilvl="0" w:tplc="A492EE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A0E172B"/>
    <w:multiLevelType w:val="hybridMultilevel"/>
    <w:tmpl w:val="F6F4717A"/>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B928F2"/>
    <w:multiLevelType w:val="hybridMultilevel"/>
    <w:tmpl w:val="0FC66F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43A72BD"/>
    <w:multiLevelType w:val="hybridMultilevel"/>
    <w:tmpl w:val="29E80C6A"/>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7A773DB"/>
    <w:multiLevelType w:val="hybridMultilevel"/>
    <w:tmpl w:val="BE50AAA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6" w15:restartNumberingAfterBreak="0">
    <w:nsid w:val="6F23703A"/>
    <w:multiLevelType w:val="hybridMultilevel"/>
    <w:tmpl w:val="EE18B65A"/>
    <w:lvl w:ilvl="0" w:tplc="0C0C676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D63461"/>
    <w:multiLevelType w:val="hybridMultilevel"/>
    <w:tmpl w:val="8A987F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9" w15:restartNumberingAfterBreak="0">
    <w:nsid w:val="7619727A"/>
    <w:multiLevelType w:val="hybridMultilevel"/>
    <w:tmpl w:val="FB5A4954"/>
    <w:lvl w:ilvl="0" w:tplc="A492EE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90789662">
    <w:abstractNumId w:val="11"/>
  </w:num>
  <w:num w:numId="2" w16cid:durableId="1600599034">
    <w:abstractNumId w:val="14"/>
  </w:num>
  <w:num w:numId="3" w16cid:durableId="1215893390">
    <w:abstractNumId w:val="11"/>
  </w:num>
  <w:num w:numId="4" w16cid:durableId="1138575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294468">
    <w:abstractNumId w:val="10"/>
  </w:num>
  <w:num w:numId="6" w16cid:durableId="924151611">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sz w:val="21"/>
          <w:szCs w:val="21"/>
        </w:rPr>
      </w:lvl>
    </w:lvlOverride>
    <w:lvlOverride w:ilvl="4">
      <w:lvl w:ilvl="4">
        <w:start w:val="1"/>
        <w:numFmt w:val="lowerLetter"/>
        <w:lvlText w:val="%5."/>
        <w:lvlJc w:val="left"/>
        <w:pPr>
          <w:tabs>
            <w:tab w:val="num" w:pos="786"/>
          </w:tabs>
          <w:ind w:left="786" w:hanging="360"/>
        </w:pPr>
        <w:rPr>
          <w:rFonts w:asciiTheme="majorHAnsi" w:hAnsiTheme="majorHAnsi" w:hint="default"/>
          <w:sz w:val="21"/>
          <w:szCs w:val="21"/>
        </w:rPr>
      </w:lvl>
    </w:lvlOverride>
  </w:num>
  <w:num w:numId="7" w16cid:durableId="459618239">
    <w:abstractNumId w:val="0"/>
  </w:num>
  <w:num w:numId="8" w16cid:durableId="492524911">
    <w:abstractNumId w:val="5"/>
  </w:num>
  <w:num w:numId="9" w16cid:durableId="196503563">
    <w:abstractNumId w:val="18"/>
  </w:num>
  <w:num w:numId="10" w16cid:durableId="1805780662">
    <w:abstractNumId w:val="6"/>
  </w:num>
  <w:num w:numId="11" w16cid:durableId="1706715146">
    <w:abstractNumId w:val="8"/>
  </w:num>
  <w:num w:numId="12" w16cid:durableId="571814098">
    <w:abstractNumId w:val="15"/>
    <w:lvlOverride w:ilvl="0">
      <w:startOverride w:val="1"/>
    </w:lvlOverride>
  </w:num>
  <w:num w:numId="13" w16cid:durableId="1302878958">
    <w:abstractNumId w:val="0"/>
  </w:num>
  <w:num w:numId="14" w16cid:durableId="350643532">
    <w:abstractNumId w:val="16"/>
  </w:num>
  <w:num w:numId="15" w16cid:durableId="810752137">
    <w:abstractNumId w:val="2"/>
  </w:num>
  <w:num w:numId="16" w16cid:durableId="402411626">
    <w:abstractNumId w:val="17"/>
  </w:num>
  <w:num w:numId="17" w16cid:durableId="1173716079">
    <w:abstractNumId w:val="3"/>
  </w:num>
  <w:num w:numId="18" w16cid:durableId="242300592">
    <w:abstractNumId w:val="19"/>
  </w:num>
  <w:num w:numId="19" w16cid:durableId="1238904045">
    <w:abstractNumId w:val="1"/>
  </w:num>
  <w:num w:numId="20" w16cid:durableId="1092778571">
    <w:abstractNumId w:val="12"/>
  </w:num>
  <w:num w:numId="21" w16cid:durableId="874774755">
    <w:abstractNumId w:val="4"/>
  </w:num>
  <w:num w:numId="22" w16cid:durableId="874929399">
    <w:abstractNumId w:val="9"/>
  </w:num>
  <w:num w:numId="23" w16cid:durableId="1949920472">
    <w:abstractNumId w:val="13"/>
  </w:num>
  <w:num w:numId="24" w16cid:durableId="1011563832">
    <w:abstractNumId w:val="0"/>
  </w:num>
  <w:num w:numId="25" w16cid:durableId="604270028">
    <w:abstractNumId w:val="0"/>
  </w:num>
  <w:num w:numId="26" w16cid:durableId="1215854933">
    <w:abstractNumId w:val="0"/>
  </w:num>
  <w:num w:numId="27" w16cid:durableId="9162089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69C7"/>
    <w:rsid w:val="00010EDF"/>
    <w:rsid w:val="00017719"/>
    <w:rsid w:val="00020A6F"/>
    <w:rsid w:val="000227C5"/>
    <w:rsid w:val="00027F1D"/>
    <w:rsid w:val="000328BB"/>
    <w:rsid w:val="0003296C"/>
    <w:rsid w:val="00033553"/>
    <w:rsid w:val="0004578F"/>
    <w:rsid w:val="00053481"/>
    <w:rsid w:val="00054421"/>
    <w:rsid w:val="00056CE7"/>
    <w:rsid w:val="00062122"/>
    <w:rsid w:val="00062E46"/>
    <w:rsid w:val="00066CB7"/>
    <w:rsid w:val="0006703C"/>
    <w:rsid w:val="00074AC8"/>
    <w:rsid w:val="00081408"/>
    <w:rsid w:val="00081EBE"/>
    <w:rsid w:val="00082A45"/>
    <w:rsid w:val="0008577D"/>
    <w:rsid w:val="00086EDC"/>
    <w:rsid w:val="00093581"/>
    <w:rsid w:val="000A6695"/>
    <w:rsid w:val="000B36A3"/>
    <w:rsid w:val="000B4A2C"/>
    <w:rsid w:val="000B5384"/>
    <w:rsid w:val="000C013C"/>
    <w:rsid w:val="000D4841"/>
    <w:rsid w:val="000D67E4"/>
    <w:rsid w:val="000E3F84"/>
    <w:rsid w:val="000E478F"/>
    <w:rsid w:val="000E4F95"/>
    <w:rsid w:val="00103C8B"/>
    <w:rsid w:val="00103E04"/>
    <w:rsid w:val="00104C9F"/>
    <w:rsid w:val="001056DF"/>
    <w:rsid w:val="00112208"/>
    <w:rsid w:val="00114025"/>
    <w:rsid w:val="00115691"/>
    <w:rsid w:val="001160D2"/>
    <w:rsid w:val="001218D3"/>
    <w:rsid w:val="00125158"/>
    <w:rsid w:val="00131344"/>
    <w:rsid w:val="001348A5"/>
    <w:rsid w:val="00134D5B"/>
    <w:rsid w:val="0013730E"/>
    <w:rsid w:val="00140C4C"/>
    <w:rsid w:val="00140FB9"/>
    <w:rsid w:val="00146992"/>
    <w:rsid w:val="0015135B"/>
    <w:rsid w:val="00151B8E"/>
    <w:rsid w:val="00153C49"/>
    <w:rsid w:val="00167757"/>
    <w:rsid w:val="001747C8"/>
    <w:rsid w:val="00177ADC"/>
    <w:rsid w:val="00182CE2"/>
    <w:rsid w:val="001928FB"/>
    <w:rsid w:val="00192BC7"/>
    <w:rsid w:val="001A1D29"/>
    <w:rsid w:val="001A50EA"/>
    <w:rsid w:val="001A6E68"/>
    <w:rsid w:val="001B52EF"/>
    <w:rsid w:val="001C0608"/>
    <w:rsid w:val="001C1A36"/>
    <w:rsid w:val="001D04EB"/>
    <w:rsid w:val="001D34BD"/>
    <w:rsid w:val="001F16CD"/>
    <w:rsid w:val="001F47D2"/>
    <w:rsid w:val="00201427"/>
    <w:rsid w:val="00202141"/>
    <w:rsid w:val="002202B7"/>
    <w:rsid w:val="0022285A"/>
    <w:rsid w:val="00224C61"/>
    <w:rsid w:val="00226AB3"/>
    <w:rsid w:val="00230E61"/>
    <w:rsid w:val="00234EF2"/>
    <w:rsid w:val="0025798B"/>
    <w:rsid w:val="0026094F"/>
    <w:rsid w:val="00271242"/>
    <w:rsid w:val="002718C7"/>
    <w:rsid w:val="0027227B"/>
    <w:rsid w:val="0027288E"/>
    <w:rsid w:val="00273AC7"/>
    <w:rsid w:val="00273D2C"/>
    <w:rsid w:val="00275BFA"/>
    <w:rsid w:val="00285ECD"/>
    <w:rsid w:val="0028667D"/>
    <w:rsid w:val="00290E1B"/>
    <w:rsid w:val="00291B17"/>
    <w:rsid w:val="00292DA7"/>
    <w:rsid w:val="00292EFC"/>
    <w:rsid w:val="002A2FD6"/>
    <w:rsid w:val="002A312B"/>
    <w:rsid w:val="002A6742"/>
    <w:rsid w:val="002A73DB"/>
    <w:rsid w:val="002B09BC"/>
    <w:rsid w:val="002C1A7F"/>
    <w:rsid w:val="002C270E"/>
    <w:rsid w:val="002C4239"/>
    <w:rsid w:val="002C559D"/>
    <w:rsid w:val="002C67F8"/>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66F9"/>
    <w:rsid w:val="003401D4"/>
    <w:rsid w:val="00353F69"/>
    <w:rsid w:val="00355B72"/>
    <w:rsid w:val="00360589"/>
    <w:rsid w:val="00360C6A"/>
    <w:rsid w:val="00360D09"/>
    <w:rsid w:val="0036327F"/>
    <w:rsid w:val="00366B29"/>
    <w:rsid w:val="003717D0"/>
    <w:rsid w:val="00382E62"/>
    <w:rsid w:val="003851A8"/>
    <w:rsid w:val="00394DC4"/>
    <w:rsid w:val="003950A4"/>
    <w:rsid w:val="00397E48"/>
    <w:rsid w:val="003B548A"/>
    <w:rsid w:val="003C2005"/>
    <w:rsid w:val="003C3088"/>
    <w:rsid w:val="003C3E37"/>
    <w:rsid w:val="003C7209"/>
    <w:rsid w:val="003D138F"/>
    <w:rsid w:val="003D3E2E"/>
    <w:rsid w:val="003D4C64"/>
    <w:rsid w:val="003D74B8"/>
    <w:rsid w:val="003E3577"/>
    <w:rsid w:val="003F3A61"/>
    <w:rsid w:val="00400DC7"/>
    <w:rsid w:val="00403498"/>
    <w:rsid w:val="00410A5D"/>
    <w:rsid w:val="00414909"/>
    <w:rsid w:val="004202C3"/>
    <w:rsid w:val="004211FE"/>
    <w:rsid w:val="004216B1"/>
    <w:rsid w:val="00425A6A"/>
    <w:rsid w:val="00426FBB"/>
    <w:rsid w:val="00427112"/>
    <w:rsid w:val="004337B8"/>
    <w:rsid w:val="00437CE1"/>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6A8C"/>
    <w:rsid w:val="004D6BC3"/>
    <w:rsid w:val="004D7355"/>
    <w:rsid w:val="004E1BD8"/>
    <w:rsid w:val="004E452A"/>
    <w:rsid w:val="004E4FE6"/>
    <w:rsid w:val="004E78E3"/>
    <w:rsid w:val="004F5EA9"/>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5769"/>
    <w:rsid w:val="00585E66"/>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4A93"/>
    <w:rsid w:val="005F6DC3"/>
    <w:rsid w:val="006017FD"/>
    <w:rsid w:val="00601A8E"/>
    <w:rsid w:val="00602488"/>
    <w:rsid w:val="006079BE"/>
    <w:rsid w:val="00613D44"/>
    <w:rsid w:val="0062033E"/>
    <w:rsid w:val="00624482"/>
    <w:rsid w:val="00630921"/>
    <w:rsid w:val="00633178"/>
    <w:rsid w:val="006343E3"/>
    <w:rsid w:val="0063726A"/>
    <w:rsid w:val="006411AE"/>
    <w:rsid w:val="00643796"/>
    <w:rsid w:val="0064799C"/>
    <w:rsid w:val="00654156"/>
    <w:rsid w:val="00657AE5"/>
    <w:rsid w:val="00666AA3"/>
    <w:rsid w:val="00683A5B"/>
    <w:rsid w:val="0068563A"/>
    <w:rsid w:val="00694D34"/>
    <w:rsid w:val="00695864"/>
    <w:rsid w:val="00696EA3"/>
    <w:rsid w:val="006977E6"/>
    <w:rsid w:val="006A3AE1"/>
    <w:rsid w:val="006A4145"/>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69BE"/>
    <w:rsid w:val="00707835"/>
    <w:rsid w:val="00711BD2"/>
    <w:rsid w:val="00711FEB"/>
    <w:rsid w:val="00721E2E"/>
    <w:rsid w:val="007227F5"/>
    <w:rsid w:val="00724B17"/>
    <w:rsid w:val="0072566E"/>
    <w:rsid w:val="00733156"/>
    <w:rsid w:val="00733E74"/>
    <w:rsid w:val="0074085C"/>
    <w:rsid w:val="00745C86"/>
    <w:rsid w:val="00764603"/>
    <w:rsid w:val="0076604D"/>
    <w:rsid w:val="0077568E"/>
    <w:rsid w:val="00781DBA"/>
    <w:rsid w:val="00782C3F"/>
    <w:rsid w:val="00784428"/>
    <w:rsid w:val="007855B5"/>
    <w:rsid w:val="0078621C"/>
    <w:rsid w:val="00790909"/>
    <w:rsid w:val="0079301B"/>
    <w:rsid w:val="007A77C6"/>
    <w:rsid w:val="007B2A36"/>
    <w:rsid w:val="007B34E6"/>
    <w:rsid w:val="007B5A07"/>
    <w:rsid w:val="007B668E"/>
    <w:rsid w:val="007C7D51"/>
    <w:rsid w:val="007D3E71"/>
    <w:rsid w:val="007E132A"/>
    <w:rsid w:val="007E34AA"/>
    <w:rsid w:val="007E5D6A"/>
    <w:rsid w:val="007E645D"/>
    <w:rsid w:val="007F7260"/>
    <w:rsid w:val="007F75CA"/>
    <w:rsid w:val="00800F6C"/>
    <w:rsid w:val="008121A3"/>
    <w:rsid w:val="008133DF"/>
    <w:rsid w:val="00815DBA"/>
    <w:rsid w:val="008168FA"/>
    <w:rsid w:val="00816EA9"/>
    <w:rsid w:val="00820A91"/>
    <w:rsid w:val="00821E08"/>
    <w:rsid w:val="008230F3"/>
    <w:rsid w:val="00825A13"/>
    <w:rsid w:val="00834154"/>
    <w:rsid w:val="00834EFD"/>
    <w:rsid w:val="00841914"/>
    <w:rsid w:val="00841AD1"/>
    <w:rsid w:val="00842567"/>
    <w:rsid w:val="00842B65"/>
    <w:rsid w:val="00844B24"/>
    <w:rsid w:val="00844FAE"/>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D2AFA"/>
    <w:rsid w:val="008E0EBD"/>
    <w:rsid w:val="008E2316"/>
    <w:rsid w:val="008E5277"/>
    <w:rsid w:val="008E5996"/>
    <w:rsid w:val="008E6328"/>
    <w:rsid w:val="008F1272"/>
    <w:rsid w:val="00901AE1"/>
    <w:rsid w:val="00901EFD"/>
    <w:rsid w:val="00904754"/>
    <w:rsid w:val="00905356"/>
    <w:rsid w:val="00905A49"/>
    <w:rsid w:val="00914E29"/>
    <w:rsid w:val="009205B4"/>
    <w:rsid w:val="009223D5"/>
    <w:rsid w:val="00922923"/>
    <w:rsid w:val="00932F60"/>
    <w:rsid w:val="00937F31"/>
    <w:rsid w:val="009408BA"/>
    <w:rsid w:val="00946DC6"/>
    <w:rsid w:val="009507C0"/>
    <w:rsid w:val="00950B8E"/>
    <w:rsid w:val="009537A7"/>
    <w:rsid w:val="009550E8"/>
    <w:rsid w:val="00955B59"/>
    <w:rsid w:val="009570BE"/>
    <w:rsid w:val="00962C93"/>
    <w:rsid w:val="00962FAF"/>
    <w:rsid w:val="009671E5"/>
    <w:rsid w:val="00971BB3"/>
    <w:rsid w:val="00971EBF"/>
    <w:rsid w:val="00977D12"/>
    <w:rsid w:val="00985DB4"/>
    <w:rsid w:val="00991EED"/>
    <w:rsid w:val="00992262"/>
    <w:rsid w:val="009926BC"/>
    <w:rsid w:val="00993DEB"/>
    <w:rsid w:val="00997F50"/>
    <w:rsid w:val="009A09C7"/>
    <w:rsid w:val="009A4319"/>
    <w:rsid w:val="009A6C3F"/>
    <w:rsid w:val="009A6E9C"/>
    <w:rsid w:val="009B0A53"/>
    <w:rsid w:val="009B73F2"/>
    <w:rsid w:val="009C12BD"/>
    <w:rsid w:val="009C30E3"/>
    <w:rsid w:val="009C50FE"/>
    <w:rsid w:val="009D2660"/>
    <w:rsid w:val="009D34EA"/>
    <w:rsid w:val="009D3C51"/>
    <w:rsid w:val="009E11EB"/>
    <w:rsid w:val="00A03A12"/>
    <w:rsid w:val="00A03E75"/>
    <w:rsid w:val="00A04DC8"/>
    <w:rsid w:val="00A06680"/>
    <w:rsid w:val="00A11080"/>
    <w:rsid w:val="00A12127"/>
    <w:rsid w:val="00A1414F"/>
    <w:rsid w:val="00A17E60"/>
    <w:rsid w:val="00A20D66"/>
    <w:rsid w:val="00A22FE0"/>
    <w:rsid w:val="00A37654"/>
    <w:rsid w:val="00A4337B"/>
    <w:rsid w:val="00A45FCE"/>
    <w:rsid w:val="00A64A36"/>
    <w:rsid w:val="00A7266B"/>
    <w:rsid w:val="00A7477B"/>
    <w:rsid w:val="00A75671"/>
    <w:rsid w:val="00A773CC"/>
    <w:rsid w:val="00A87305"/>
    <w:rsid w:val="00A9318B"/>
    <w:rsid w:val="00A94AC1"/>
    <w:rsid w:val="00A95B87"/>
    <w:rsid w:val="00A9735F"/>
    <w:rsid w:val="00AA5A8D"/>
    <w:rsid w:val="00AB18B7"/>
    <w:rsid w:val="00AB2575"/>
    <w:rsid w:val="00AC157F"/>
    <w:rsid w:val="00AD2BAB"/>
    <w:rsid w:val="00AD335D"/>
    <w:rsid w:val="00AD3C84"/>
    <w:rsid w:val="00AE1477"/>
    <w:rsid w:val="00AF200C"/>
    <w:rsid w:val="00AF792B"/>
    <w:rsid w:val="00B00190"/>
    <w:rsid w:val="00B0294E"/>
    <w:rsid w:val="00B10F2B"/>
    <w:rsid w:val="00B13C1A"/>
    <w:rsid w:val="00B23EE2"/>
    <w:rsid w:val="00B24C52"/>
    <w:rsid w:val="00B333DE"/>
    <w:rsid w:val="00B3521D"/>
    <w:rsid w:val="00B55D5E"/>
    <w:rsid w:val="00B56B16"/>
    <w:rsid w:val="00B717BA"/>
    <w:rsid w:val="00B735B0"/>
    <w:rsid w:val="00B75787"/>
    <w:rsid w:val="00B81E91"/>
    <w:rsid w:val="00B867D4"/>
    <w:rsid w:val="00B91814"/>
    <w:rsid w:val="00B92B81"/>
    <w:rsid w:val="00B94516"/>
    <w:rsid w:val="00BA183C"/>
    <w:rsid w:val="00BA655F"/>
    <w:rsid w:val="00BA665D"/>
    <w:rsid w:val="00BA7955"/>
    <w:rsid w:val="00BB13C6"/>
    <w:rsid w:val="00BB2855"/>
    <w:rsid w:val="00BB3407"/>
    <w:rsid w:val="00BB738A"/>
    <w:rsid w:val="00BC57FF"/>
    <w:rsid w:val="00BC6B25"/>
    <w:rsid w:val="00BC7909"/>
    <w:rsid w:val="00BD19C1"/>
    <w:rsid w:val="00BD25B8"/>
    <w:rsid w:val="00BD34C2"/>
    <w:rsid w:val="00BE3C75"/>
    <w:rsid w:val="00BF097D"/>
    <w:rsid w:val="00BF1228"/>
    <w:rsid w:val="00BF4618"/>
    <w:rsid w:val="00C0011E"/>
    <w:rsid w:val="00C012E1"/>
    <w:rsid w:val="00C029BD"/>
    <w:rsid w:val="00C06BB4"/>
    <w:rsid w:val="00C10D20"/>
    <w:rsid w:val="00C12AC4"/>
    <w:rsid w:val="00C12E0C"/>
    <w:rsid w:val="00C14968"/>
    <w:rsid w:val="00C21916"/>
    <w:rsid w:val="00C225A0"/>
    <w:rsid w:val="00C2650B"/>
    <w:rsid w:val="00C32E48"/>
    <w:rsid w:val="00C457CA"/>
    <w:rsid w:val="00C500EF"/>
    <w:rsid w:val="00C50BA0"/>
    <w:rsid w:val="00C52304"/>
    <w:rsid w:val="00C57349"/>
    <w:rsid w:val="00C57FB7"/>
    <w:rsid w:val="00C62CEB"/>
    <w:rsid w:val="00C65F3F"/>
    <w:rsid w:val="00C72414"/>
    <w:rsid w:val="00C8667B"/>
    <w:rsid w:val="00C86750"/>
    <w:rsid w:val="00C91EF5"/>
    <w:rsid w:val="00C9234E"/>
    <w:rsid w:val="00C93BB2"/>
    <w:rsid w:val="00C94402"/>
    <w:rsid w:val="00C9683E"/>
    <w:rsid w:val="00CA2A24"/>
    <w:rsid w:val="00CA4CE3"/>
    <w:rsid w:val="00CB1354"/>
    <w:rsid w:val="00CB19D8"/>
    <w:rsid w:val="00CB60BA"/>
    <w:rsid w:val="00CB65CB"/>
    <w:rsid w:val="00CC75C0"/>
    <w:rsid w:val="00CD23EF"/>
    <w:rsid w:val="00CD4F3F"/>
    <w:rsid w:val="00CE34BC"/>
    <w:rsid w:val="00CE562B"/>
    <w:rsid w:val="00CE6869"/>
    <w:rsid w:val="00CF75F6"/>
    <w:rsid w:val="00D05BEA"/>
    <w:rsid w:val="00D150AD"/>
    <w:rsid w:val="00D17D7F"/>
    <w:rsid w:val="00D2480A"/>
    <w:rsid w:val="00D30F2D"/>
    <w:rsid w:val="00D311F8"/>
    <w:rsid w:val="00D36B52"/>
    <w:rsid w:val="00D3708C"/>
    <w:rsid w:val="00D377C8"/>
    <w:rsid w:val="00D37FE2"/>
    <w:rsid w:val="00D41274"/>
    <w:rsid w:val="00D43BF3"/>
    <w:rsid w:val="00D47EA8"/>
    <w:rsid w:val="00D5746B"/>
    <w:rsid w:val="00D60CD8"/>
    <w:rsid w:val="00D677E9"/>
    <w:rsid w:val="00D767BB"/>
    <w:rsid w:val="00D8752A"/>
    <w:rsid w:val="00D92681"/>
    <w:rsid w:val="00D939B0"/>
    <w:rsid w:val="00D958E2"/>
    <w:rsid w:val="00DB16E0"/>
    <w:rsid w:val="00DB2DF9"/>
    <w:rsid w:val="00DB383B"/>
    <w:rsid w:val="00DB7E63"/>
    <w:rsid w:val="00DC2055"/>
    <w:rsid w:val="00DD1227"/>
    <w:rsid w:val="00DD16DC"/>
    <w:rsid w:val="00DD71E8"/>
    <w:rsid w:val="00DD7F83"/>
    <w:rsid w:val="00DE335E"/>
    <w:rsid w:val="00DF1B93"/>
    <w:rsid w:val="00DF68F5"/>
    <w:rsid w:val="00DF6A46"/>
    <w:rsid w:val="00DF7CA2"/>
    <w:rsid w:val="00E0641E"/>
    <w:rsid w:val="00E06664"/>
    <w:rsid w:val="00E11080"/>
    <w:rsid w:val="00E135B9"/>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3721"/>
    <w:rsid w:val="00E5430A"/>
    <w:rsid w:val="00E6457D"/>
    <w:rsid w:val="00E65018"/>
    <w:rsid w:val="00E678CD"/>
    <w:rsid w:val="00E70EE3"/>
    <w:rsid w:val="00E72D69"/>
    <w:rsid w:val="00E7529B"/>
    <w:rsid w:val="00E77E85"/>
    <w:rsid w:val="00E8787B"/>
    <w:rsid w:val="00E94339"/>
    <w:rsid w:val="00E97563"/>
    <w:rsid w:val="00EA1FF5"/>
    <w:rsid w:val="00EA4FC8"/>
    <w:rsid w:val="00EB0B63"/>
    <w:rsid w:val="00EB2163"/>
    <w:rsid w:val="00EC1C35"/>
    <w:rsid w:val="00EC265C"/>
    <w:rsid w:val="00EC2DD7"/>
    <w:rsid w:val="00EC65B7"/>
    <w:rsid w:val="00ED25B0"/>
    <w:rsid w:val="00ED61CB"/>
    <w:rsid w:val="00ED711E"/>
    <w:rsid w:val="00EE4353"/>
    <w:rsid w:val="00EF2488"/>
    <w:rsid w:val="00EF290B"/>
    <w:rsid w:val="00EF3452"/>
    <w:rsid w:val="00EF61AD"/>
    <w:rsid w:val="00F062D8"/>
    <w:rsid w:val="00F06A72"/>
    <w:rsid w:val="00F06C6A"/>
    <w:rsid w:val="00F1242E"/>
    <w:rsid w:val="00F136F0"/>
    <w:rsid w:val="00F20BBB"/>
    <w:rsid w:val="00F20DCD"/>
    <w:rsid w:val="00F22C0B"/>
    <w:rsid w:val="00F24F69"/>
    <w:rsid w:val="00F34AE2"/>
    <w:rsid w:val="00F359FA"/>
    <w:rsid w:val="00F41BED"/>
    <w:rsid w:val="00F4307A"/>
    <w:rsid w:val="00F4394A"/>
    <w:rsid w:val="00F43BD8"/>
    <w:rsid w:val="00F52807"/>
    <w:rsid w:val="00F55879"/>
    <w:rsid w:val="00F562F3"/>
    <w:rsid w:val="00F57140"/>
    <w:rsid w:val="00F66CC2"/>
    <w:rsid w:val="00F67BC3"/>
    <w:rsid w:val="00F73EC9"/>
    <w:rsid w:val="00F74B89"/>
    <w:rsid w:val="00F75133"/>
    <w:rsid w:val="00F80742"/>
    <w:rsid w:val="00F85074"/>
    <w:rsid w:val="00F870D3"/>
    <w:rsid w:val="00F91E80"/>
    <w:rsid w:val="00F93767"/>
    <w:rsid w:val="00F946C8"/>
    <w:rsid w:val="00FA30B6"/>
    <w:rsid w:val="00FA3899"/>
    <w:rsid w:val="00FA4909"/>
    <w:rsid w:val="00FA4CF1"/>
    <w:rsid w:val="00FA5A26"/>
    <w:rsid w:val="00FA6751"/>
    <w:rsid w:val="00FA7575"/>
    <w:rsid w:val="00FB1048"/>
    <w:rsid w:val="00FB3938"/>
    <w:rsid w:val="00FB62C4"/>
    <w:rsid w:val="00FB7701"/>
    <w:rsid w:val="00FC2DF1"/>
    <w:rsid w:val="00FD0B66"/>
    <w:rsid w:val="00FD156A"/>
    <w:rsid w:val="00FD15E7"/>
    <w:rsid w:val="00FD1AC5"/>
    <w:rsid w:val="00FD1FFD"/>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556A29"/>
  <w15:docId w15:val="{CE089228-A76F-423F-BC06-9E5D7525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A0"/>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Strong">
    <w:name w:val="Strong"/>
    <w:basedOn w:val="DefaultParagraphFont"/>
    <w:uiPriority w:val="22"/>
    <w:qFormat/>
    <w:rsid w:val="00ED711E"/>
    <w:rPr>
      <w:b/>
      <w:bCs/>
    </w:rPr>
  </w:style>
  <w:style w:type="character" w:styleId="FollowedHyperlink">
    <w:name w:val="FollowedHyperlink"/>
    <w:basedOn w:val="DefaultParagraphFont"/>
    <w:uiPriority w:val="99"/>
    <w:semiHidden/>
    <w:unhideWhenUsed/>
    <w:rsid w:val="00FD1FFD"/>
    <w:rPr>
      <w:color w:val="800080" w:themeColor="followedHyperlink"/>
      <w:u w:val="single"/>
    </w:rPr>
  </w:style>
  <w:style w:type="character" w:styleId="UnresolvedMention">
    <w:name w:val="Unresolved Mention"/>
    <w:basedOn w:val="DefaultParagraphFont"/>
    <w:uiPriority w:val="99"/>
    <w:semiHidden/>
    <w:unhideWhenUsed/>
    <w:rsid w:val="00C2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nduhardianti@student.ub.ac.id1"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31764/jtam.vXiY.ZZZ"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nj_anna@ub.ac.id"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solimun@ub.ac.id2" TargetMode="External"/><Relationship Id="rId14" Type="http://schemas.openxmlformats.org/officeDocument/2006/relationships/footer" Target="footer1.xml"/><Relationship Id="rId22" Type="http://schemas.openxmlformats.org/officeDocument/2006/relationships/package" Target="embeddings/Microsoft_Visio_Drawing1.vsdx"/></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journal.ummat.ac.id/index.php/jtam" TargetMode="External"/><Relationship Id="rId1" Type="http://schemas.openxmlformats.org/officeDocument/2006/relationships/hyperlink" Target="http://journal.ummat.ac.id/index.php/j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7DAE8E8-9386-4460-BA7A-6D07B7B2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9</Pages>
  <Words>6782</Words>
  <Characters>38658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PT UAS</cp:lastModifiedBy>
  <cp:revision>6</cp:revision>
  <cp:lastPrinted>2017-04-18T03:46:00Z</cp:lastPrinted>
  <dcterms:created xsi:type="dcterms:W3CDTF">2023-08-30T16:52:00Z</dcterms:created>
  <dcterms:modified xsi:type="dcterms:W3CDTF">2023-09-17T16:19:00Z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c5d84bb0-64ac-3e77-a657-b3b647e4c2a6</vt:lpwstr>
  </property>
</Properties>
</file>