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0EE2A" w14:textId="77777777"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bookmarkStart w:id="0" w:name="_GoBack"/>
      <w:bookmarkEnd w:id="0"/>
    </w:p>
    <w:p w14:paraId="5B9D6F90" w14:textId="0D1476DA" w:rsidR="00D41274" w:rsidRPr="00B316D9" w:rsidRDefault="00B316D9" w:rsidP="00780330">
      <w:pPr>
        <w:pStyle w:val="IEEETitle"/>
        <w:tabs>
          <w:tab w:val="left" w:pos="1014"/>
          <w:tab w:val="center" w:pos="5017"/>
        </w:tabs>
        <w:spacing w:after="240"/>
        <w:rPr>
          <w:rFonts w:ascii="Century" w:hAnsi="Century"/>
          <w:b/>
          <w:sz w:val="34"/>
          <w:szCs w:val="34"/>
          <w:lang w:val="en-US"/>
        </w:rPr>
      </w:pPr>
      <w:r>
        <w:rPr>
          <w:rStyle w:val="shorttext"/>
          <w:rFonts w:ascii="Century" w:hAnsi="Century"/>
          <w:b/>
          <w:sz w:val="34"/>
          <w:szCs w:val="34"/>
          <w:shd w:val="clear" w:color="auto" w:fill="FFFFFF"/>
          <w:lang w:val="en-US"/>
        </w:rPr>
        <w:t>Inquiry Co</w:t>
      </w:r>
      <w:r w:rsidR="006937CC">
        <w:rPr>
          <w:rStyle w:val="shorttext"/>
          <w:rFonts w:ascii="Century" w:hAnsi="Century"/>
          <w:b/>
          <w:sz w:val="34"/>
          <w:szCs w:val="34"/>
          <w:shd w:val="clear" w:color="auto" w:fill="FFFFFF"/>
          <w:lang w:val="en-US"/>
        </w:rPr>
        <w:t>-O</w:t>
      </w:r>
      <w:r>
        <w:rPr>
          <w:rStyle w:val="shorttext"/>
          <w:rFonts w:ascii="Century" w:hAnsi="Century"/>
          <w:b/>
          <w:sz w:val="34"/>
          <w:szCs w:val="34"/>
          <w:shd w:val="clear" w:color="auto" w:fill="FFFFFF"/>
          <w:lang w:val="en-US"/>
        </w:rPr>
        <w:t xml:space="preserve">peration Model: </w:t>
      </w:r>
      <w:r w:rsidR="000D536C">
        <w:rPr>
          <w:rStyle w:val="shorttext"/>
          <w:rFonts w:ascii="Century" w:hAnsi="Century"/>
          <w:b/>
          <w:sz w:val="34"/>
          <w:szCs w:val="34"/>
          <w:shd w:val="clear" w:color="auto" w:fill="FFFFFF"/>
          <w:lang w:val="en-US"/>
        </w:rPr>
        <w:t>A</w:t>
      </w:r>
      <w:r>
        <w:rPr>
          <w:rStyle w:val="shorttext"/>
          <w:rFonts w:ascii="Century" w:hAnsi="Century"/>
          <w:b/>
          <w:sz w:val="34"/>
          <w:szCs w:val="34"/>
          <w:shd w:val="clear" w:color="auto" w:fill="FFFFFF"/>
          <w:lang w:val="en-US"/>
        </w:rPr>
        <w:t>n Effort to Enhance Students</w:t>
      </w:r>
      <w:r w:rsidR="007F60D4">
        <w:rPr>
          <w:rStyle w:val="shorttext"/>
          <w:rFonts w:ascii="Century" w:hAnsi="Century"/>
          <w:b/>
          <w:sz w:val="34"/>
          <w:szCs w:val="34"/>
          <w:shd w:val="clear" w:color="auto" w:fill="FFFFFF"/>
          <w:lang w:val="en-US"/>
        </w:rPr>
        <w:t>’</w:t>
      </w:r>
      <w:r>
        <w:rPr>
          <w:rStyle w:val="shorttext"/>
          <w:rFonts w:ascii="Century" w:hAnsi="Century"/>
          <w:b/>
          <w:sz w:val="34"/>
          <w:szCs w:val="34"/>
          <w:shd w:val="clear" w:color="auto" w:fill="FFFFFF"/>
          <w:lang w:val="en-US"/>
        </w:rPr>
        <w:t xml:space="preserve"> Mathematical Literacy Proficiency</w:t>
      </w:r>
    </w:p>
    <w:p w14:paraId="41CDCAE5" w14:textId="77777777" w:rsidR="005B3934" w:rsidRPr="00B3521D" w:rsidRDefault="00EF1DE7" w:rsidP="005B3934">
      <w:pPr>
        <w:jc w:val="center"/>
        <w:rPr>
          <w:rFonts w:ascii="Century Gothic" w:hAnsi="Century Gothic"/>
          <w:b/>
          <w:bCs/>
          <w:sz w:val="22"/>
          <w:szCs w:val="22"/>
        </w:rPr>
      </w:pPr>
      <w:r>
        <w:rPr>
          <w:rFonts w:ascii="Century" w:hAnsi="Century"/>
          <w:b/>
          <w:bCs/>
          <w:sz w:val="22"/>
          <w:szCs w:val="22"/>
          <w:lang w:val="en-US"/>
        </w:rPr>
        <w:t>Putri Nur Malasari</w:t>
      </w:r>
      <w:r w:rsidR="00AB2575" w:rsidRPr="00724B17">
        <w:rPr>
          <w:rFonts w:ascii="Century" w:hAnsi="Century"/>
          <w:b/>
          <w:bCs/>
          <w:sz w:val="22"/>
          <w:szCs w:val="22"/>
          <w:vertAlign w:val="superscript"/>
          <w:lang w:val="en-US"/>
        </w:rPr>
        <w:t>1</w:t>
      </w:r>
      <w:r w:rsidR="005B3934" w:rsidRPr="00724B17">
        <w:rPr>
          <w:rFonts w:ascii="Century" w:hAnsi="Century"/>
          <w:b/>
          <w:bCs/>
          <w:sz w:val="22"/>
          <w:szCs w:val="22"/>
          <w:lang w:val="id-ID"/>
        </w:rPr>
        <w:t xml:space="preserve">, </w:t>
      </w:r>
      <w:proofErr w:type="spellStart"/>
      <w:r>
        <w:rPr>
          <w:rFonts w:ascii="Century" w:hAnsi="Century"/>
          <w:b/>
          <w:bCs/>
          <w:sz w:val="22"/>
          <w:szCs w:val="22"/>
          <w:lang w:val="en-US"/>
        </w:rPr>
        <w:t>Tatang</w:t>
      </w:r>
      <w:proofErr w:type="spellEnd"/>
      <w:r>
        <w:rPr>
          <w:rFonts w:ascii="Century" w:hAnsi="Century"/>
          <w:b/>
          <w:bCs/>
          <w:sz w:val="22"/>
          <w:szCs w:val="22"/>
          <w:lang w:val="en-US"/>
        </w:rPr>
        <w:t xml:space="preserve"> Herman</w:t>
      </w:r>
      <w:r w:rsidR="00AB2575" w:rsidRPr="00724B17">
        <w:rPr>
          <w:rFonts w:ascii="Century" w:hAnsi="Century"/>
          <w:b/>
          <w:bCs/>
          <w:sz w:val="22"/>
          <w:szCs w:val="22"/>
          <w:vertAlign w:val="superscript"/>
          <w:lang w:val="en-US"/>
        </w:rPr>
        <w:t>2</w:t>
      </w:r>
      <w:r w:rsidR="005B3934" w:rsidRPr="00724B17">
        <w:rPr>
          <w:rFonts w:ascii="Century" w:hAnsi="Century"/>
          <w:b/>
          <w:bCs/>
          <w:sz w:val="22"/>
          <w:szCs w:val="22"/>
          <w:lang w:val="id-ID"/>
        </w:rPr>
        <w:t xml:space="preserve">, </w:t>
      </w:r>
      <w:r>
        <w:rPr>
          <w:rFonts w:ascii="Century" w:hAnsi="Century"/>
          <w:b/>
          <w:bCs/>
          <w:sz w:val="22"/>
          <w:szCs w:val="22"/>
          <w:lang w:val="en-US"/>
        </w:rPr>
        <w:t>Al Jupri</w:t>
      </w:r>
      <w:r w:rsidR="00AB2575" w:rsidRPr="00724B17">
        <w:rPr>
          <w:rFonts w:ascii="Century" w:hAnsi="Century"/>
          <w:b/>
          <w:bCs/>
          <w:sz w:val="22"/>
          <w:szCs w:val="22"/>
          <w:vertAlign w:val="superscript"/>
          <w:lang w:val="en-US"/>
        </w:rPr>
        <w:t>3</w:t>
      </w:r>
    </w:p>
    <w:p w14:paraId="0EED8D09" w14:textId="77777777" w:rsidR="00CB19D8" w:rsidRDefault="00F66CC2" w:rsidP="005B3934">
      <w:pPr>
        <w:jc w:val="center"/>
        <w:rPr>
          <w:rFonts w:asciiTheme="minorHAnsi" w:hAnsiTheme="minorHAnsi" w:cstheme="minorHAnsi"/>
          <w:sz w:val="22"/>
          <w:szCs w:val="22"/>
        </w:rPr>
      </w:pPr>
      <w:r w:rsidRPr="00724B17">
        <w:rPr>
          <w:rFonts w:asciiTheme="minorHAnsi" w:hAnsiTheme="minorHAnsi" w:cstheme="minorHAnsi"/>
          <w:sz w:val="22"/>
          <w:szCs w:val="22"/>
          <w:vertAlign w:val="superscript"/>
        </w:rPr>
        <w:t>1</w:t>
      </w:r>
      <w:r w:rsidR="00EF1DE7">
        <w:rPr>
          <w:rFonts w:asciiTheme="minorHAnsi" w:hAnsiTheme="minorHAnsi" w:cstheme="minorHAnsi"/>
          <w:sz w:val="22"/>
          <w:szCs w:val="22"/>
        </w:rPr>
        <w:t>Mathematics Education</w:t>
      </w:r>
      <w:r w:rsidR="00656AEC">
        <w:rPr>
          <w:rFonts w:asciiTheme="minorHAnsi" w:hAnsiTheme="minorHAnsi" w:cstheme="minorHAnsi"/>
          <w:sz w:val="22"/>
          <w:szCs w:val="22"/>
        </w:rPr>
        <w:t xml:space="preserve"> Department</w:t>
      </w:r>
      <w:r w:rsidR="005B3934" w:rsidRPr="00724B17">
        <w:rPr>
          <w:rFonts w:asciiTheme="minorHAnsi" w:hAnsiTheme="minorHAnsi" w:cstheme="minorHAnsi"/>
          <w:sz w:val="22"/>
          <w:szCs w:val="22"/>
        </w:rPr>
        <w:t xml:space="preserve">, </w:t>
      </w:r>
      <w:proofErr w:type="spellStart"/>
      <w:r w:rsidR="00EF1DE7">
        <w:rPr>
          <w:rFonts w:asciiTheme="minorHAnsi" w:hAnsiTheme="minorHAnsi" w:cstheme="minorHAnsi"/>
          <w:sz w:val="22"/>
          <w:szCs w:val="22"/>
        </w:rPr>
        <w:t>Institut</w:t>
      </w:r>
      <w:proofErr w:type="spellEnd"/>
      <w:r w:rsidR="00EF1DE7">
        <w:rPr>
          <w:rFonts w:asciiTheme="minorHAnsi" w:hAnsiTheme="minorHAnsi" w:cstheme="minorHAnsi"/>
          <w:sz w:val="22"/>
          <w:szCs w:val="22"/>
        </w:rPr>
        <w:t xml:space="preserve"> Agama Islam Negeri Kudus</w:t>
      </w:r>
      <w:r w:rsidRPr="00724B17">
        <w:rPr>
          <w:rFonts w:asciiTheme="minorHAnsi" w:hAnsiTheme="minorHAnsi" w:cstheme="minorHAnsi"/>
          <w:sz w:val="22"/>
          <w:szCs w:val="22"/>
        </w:rPr>
        <w:t xml:space="preserve">, </w:t>
      </w:r>
      <w:r w:rsidR="00EF1DE7">
        <w:rPr>
          <w:rFonts w:asciiTheme="minorHAnsi" w:hAnsiTheme="minorHAnsi" w:cstheme="minorHAnsi"/>
          <w:sz w:val="22"/>
          <w:szCs w:val="22"/>
        </w:rPr>
        <w:t>Kudus</w:t>
      </w:r>
    </w:p>
    <w:p w14:paraId="4A483D94" w14:textId="77777777" w:rsidR="00EF1DE7" w:rsidRDefault="00EF1DE7" w:rsidP="00EF1DE7">
      <w:pPr>
        <w:jc w:val="center"/>
        <w:rPr>
          <w:rFonts w:asciiTheme="minorHAnsi" w:hAnsiTheme="minorHAnsi" w:cstheme="minorHAnsi"/>
          <w:sz w:val="22"/>
          <w:szCs w:val="22"/>
        </w:rPr>
      </w:pPr>
      <w:r>
        <w:rPr>
          <w:rFonts w:asciiTheme="minorHAnsi" w:hAnsiTheme="minorHAnsi" w:cstheme="minorHAnsi"/>
          <w:sz w:val="22"/>
          <w:szCs w:val="22"/>
          <w:vertAlign w:val="superscript"/>
        </w:rPr>
        <w:t>2</w:t>
      </w:r>
      <w:r w:rsidR="002A2262">
        <w:rPr>
          <w:rFonts w:asciiTheme="minorHAnsi" w:hAnsiTheme="minorHAnsi" w:cstheme="minorHAnsi"/>
          <w:sz w:val="22"/>
          <w:szCs w:val="22"/>
          <w:vertAlign w:val="superscript"/>
        </w:rPr>
        <w:t>,3</w:t>
      </w:r>
      <w:r w:rsidR="002A2262">
        <w:rPr>
          <w:rFonts w:asciiTheme="minorHAnsi" w:hAnsiTheme="minorHAnsi" w:cstheme="minorHAnsi"/>
          <w:sz w:val="22"/>
          <w:szCs w:val="22"/>
        </w:rPr>
        <w:t>Mathematics Education</w:t>
      </w:r>
      <w:r w:rsidR="00656AEC">
        <w:rPr>
          <w:rFonts w:asciiTheme="minorHAnsi" w:hAnsiTheme="minorHAnsi" w:cstheme="minorHAnsi"/>
          <w:sz w:val="22"/>
          <w:szCs w:val="22"/>
        </w:rPr>
        <w:t xml:space="preserve"> Department</w:t>
      </w:r>
      <w:r w:rsidRPr="00724B17">
        <w:rPr>
          <w:rFonts w:asciiTheme="minorHAnsi" w:hAnsiTheme="minorHAnsi" w:cstheme="minorHAnsi"/>
          <w:sz w:val="22"/>
          <w:szCs w:val="22"/>
        </w:rPr>
        <w:t xml:space="preserve">, </w:t>
      </w:r>
      <w:proofErr w:type="spellStart"/>
      <w:r w:rsidR="002A2262">
        <w:rPr>
          <w:rFonts w:asciiTheme="minorHAnsi" w:hAnsiTheme="minorHAnsi" w:cstheme="minorHAnsi"/>
          <w:sz w:val="22"/>
          <w:szCs w:val="22"/>
        </w:rPr>
        <w:t>Universitas</w:t>
      </w:r>
      <w:proofErr w:type="spellEnd"/>
      <w:r w:rsidR="002A2262">
        <w:rPr>
          <w:rFonts w:asciiTheme="minorHAnsi" w:hAnsiTheme="minorHAnsi" w:cstheme="minorHAnsi"/>
          <w:sz w:val="22"/>
          <w:szCs w:val="22"/>
        </w:rPr>
        <w:t xml:space="preserve"> Pendidikan Indonesia</w:t>
      </w:r>
      <w:r w:rsidRPr="00724B17">
        <w:rPr>
          <w:rFonts w:asciiTheme="minorHAnsi" w:hAnsiTheme="minorHAnsi" w:cstheme="minorHAnsi"/>
          <w:sz w:val="22"/>
          <w:szCs w:val="22"/>
        </w:rPr>
        <w:t xml:space="preserve">, </w:t>
      </w:r>
      <w:r w:rsidR="002A2262">
        <w:rPr>
          <w:rFonts w:asciiTheme="minorHAnsi" w:hAnsiTheme="minorHAnsi" w:cstheme="minorHAnsi"/>
          <w:sz w:val="22"/>
          <w:szCs w:val="22"/>
        </w:rPr>
        <w:t>Bandung</w:t>
      </w:r>
    </w:p>
    <w:p w14:paraId="506F3028" w14:textId="77777777" w:rsidR="005B3934" w:rsidRPr="00724B17" w:rsidRDefault="002A2262" w:rsidP="005B3934">
      <w:pPr>
        <w:jc w:val="center"/>
        <w:rPr>
          <w:rFonts w:asciiTheme="minorHAnsi" w:hAnsiTheme="minorHAnsi" w:cstheme="minorHAnsi"/>
          <w:sz w:val="22"/>
          <w:szCs w:val="22"/>
        </w:rPr>
      </w:pPr>
      <w:r>
        <w:rPr>
          <w:rFonts w:asciiTheme="minorHAnsi" w:hAnsiTheme="minorHAnsi" w:cstheme="minorHAnsi"/>
          <w:sz w:val="22"/>
          <w:szCs w:val="22"/>
        </w:rPr>
        <w:t>putrinurmalasari@iainkudus.ac.id</w:t>
      </w:r>
    </w:p>
    <w:p w14:paraId="54973CC1" w14:textId="77777777" w:rsidR="00D41274" w:rsidRPr="00B3521D" w:rsidRDefault="00D41274" w:rsidP="00D41274">
      <w:pPr>
        <w:rPr>
          <w:rFonts w:ascii="Century Gothic" w:hAnsi="Century Gothic"/>
        </w:rPr>
      </w:pPr>
    </w:p>
    <w:p w14:paraId="4902AA3B" w14:textId="77777777" w:rsidR="00D41274" w:rsidRPr="00B3521D" w:rsidRDefault="00D41274">
      <w:pPr>
        <w:rPr>
          <w:rFonts w:ascii="Century Gothic" w:hAnsi="Century Gothic"/>
        </w:rPr>
        <w:sectPr w:rsidR="00D41274" w:rsidRPr="00B3521D" w:rsidSect="00AD3C84">
          <w:headerReference w:type="even" r:id="rId8"/>
          <w:headerReference w:type="default" r:id="rId9"/>
          <w:headerReference w:type="first" r:id="rId10"/>
          <w:footerReference w:type="first" r:id="rId11"/>
          <w:pgSz w:w="11906" w:h="16838" w:code="9"/>
          <w:pgMar w:top="1134" w:right="1134" w:bottom="1134" w:left="1134" w:header="851" w:footer="567" w:gutter="0"/>
          <w:cols w:space="708"/>
          <w:titlePg/>
          <w:docGrid w:linePitch="360"/>
        </w:sectPr>
      </w:pPr>
    </w:p>
    <w:p w14:paraId="0649656A" w14:textId="77777777" w:rsidR="009D3C51" w:rsidRPr="00B3521D" w:rsidRDefault="009D3C51" w:rsidP="007E34AA">
      <w:pPr>
        <w:pStyle w:val="IEEEAbtract"/>
        <w:ind w:left="1985" w:right="1779"/>
        <w:rPr>
          <w:rFonts w:ascii="Century Gothic" w:hAnsi="Century Gothic"/>
          <w:lang w:val="id-ID"/>
        </w:rPr>
      </w:pPr>
    </w:p>
    <w:tbl>
      <w:tblPr>
        <w:tblStyle w:val="TableGrid"/>
        <w:tblW w:w="9623" w:type="dxa"/>
        <w:jc w:val="center"/>
        <w:tblLook w:val="04A0" w:firstRow="1" w:lastRow="0" w:firstColumn="1" w:lastColumn="0" w:noHBand="0" w:noVBand="1"/>
      </w:tblPr>
      <w:tblGrid>
        <w:gridCol w:w="2113"/>
        <w:gridCol w:w="283"/>
        <w:gridCol w:w="2289"/>
        <w:gridCol w:w="4938"/>
      </w:tblGrid>
      <w:tr w:rsidR="009507C0" w:rsidRPr="00B3521D" w14:paraId="2130F196" w14:textId="77777777" w:rsidTr="00AD3C84">
        <w:trPr>
          <w:trHeight w:val="135"/>
          <w:jc w:val="center"/>
        </w:trPr>
        <w:tc>
          <w:tcPr>
            <w:tcW w:w="2113" w:type="dxa"/>
            <w:tcBorders>
              <w:top w:val="double" w:sz="4" w:space="0" w:color="auto"/>
              <w:left w:val="nil"/>
              <w:bottom w:val="single" w:sz="4" w:space="0" w:color="auto"/>
              <w:right w:val="nil"/>
            </w:tcBorders>
            <w:vAlign w:val="center"/>
          </w:tcPr>
          <w:p w14:paraId="48C44E07" w14:textId="77777777" w:rsidR="009507C0" w:rsidRPr="00B3521D" w:rsidRDefault="009507C0" w:rsidP="00B867D4">
            <w:pPr>
              <w:spacing w:before="120"/>
              <w:rPr>
                <w:rFonts w:ascii="Century Gothic" w:hAnsi="Century Gothic"/>
                <w:b/>
                <w:sz w:val="18"/>
                <w:szCs w:val="18"/>
              </w:rPr>
            </w:pPr>
          </w:p>
        </w:tc>
        <w:tc>
          <w:tcPr>
            <w:tcW w:w="283" w:type="dxa"/>
            <w:tcBorders>
              <w:top w:val="double" w:sz="4" w:space="0" w:color="auto"/>
              <w:left w:val="nil"/>
              <w:bottom w:val="nil"/>
              <w:right w:val="nil"/>
            </w:tcBorders>
            <w:vAlign w:val="center"/>
          </w:tcPr>
          <w:p w14:paraId="2DF23710" w14:textId="77777777" w:rsidR="009507C0" w:rsidRPr="00B3521D" w:rsidRDefault="009507C0" w:rsidP="00521ED0">
            <w:pPr>
              <w:spacing w:before="120"/>
              <w:rPr>
                <w:rFonts w:ascii="Century Gothic" w:hAnsi="Century Gothic"/>
                <w:sz w:val="18"/>
                <w:szCs w:val="18"/>
              </w:rPr>
            </w:pPr>
          </w:p>
        </w:tc>
        <w:tc>
          <w:tcPr>
            <w:tcW w:w="7227" w:type="dxa"/>
            <w:gridSpan w:val="2"/>
            <w:tcBorders>
              <w:top w:val="double" w:sz="4" w:space="0" w:color="auto"/>
              <w:left w:val="nil"/>
              <w:bottom w:val="single" w:sz="4" w:space="0" w:color="auto"/>
              <w:right w:val="nil"/>
            </w:tcBorders>
            <w:vAlign w:val="center"/>
          </w:tcPr>
          <w:p w14:paraId="40373675" w14:textId="77777777" w:rsidR="009507C0" w:rsidRPr="00B3521D" w:rsidRDefault="009507C0" w:rsidP="00521ED0">
            <w:pPr>
              <w:spacing w:before="120"/>
              <w:jc w:val="center"/>
              <w:rPr>
                <w:rFonts w:ascii="Century Gothic" w:hAnsi="Century Gothic"/>
                <w:color w:val="000000"/>
                <w:sz w:val="18"/>
                <w:szCs w:val="18"/>
              </w:rPr>
            </w:pPr>
            <w:r w:rsidRPr="00B3521D">
              <w:rPr>
                <w:rFonts w:ascii="Century Gothic" w:hAnsi="Century Gothic"/>
                <w:b/>
                <w:bCs/>
                <w:iCs/>
                <w:color w:val="000000"/>
                <w:sz w:val="20"/>
                <w:szCs w:val="18"/>
              </w:rPr>
              <w:t>ABSTRA</w:t>
            </w:r>
            <w:r w:rsidR="00521ED0" w:rsidRPr="00B3521D">
              <w:rPr>
                <w:rFonts w:ascii="Century Gothic" w:hAnsi="Century Gothic"/>
                <w:b/>
                <w:bCs/>
                <w:iCs/>
                <w:color w:val="000000"/>
                <w:sz w:val="20"/>
                <w:szCs w:val="18"/>
              </w:rPr>
              <w:t>K</w:t>
            </w:r>
          </w:p>
        </w:tc>
      </w:tr>
      <w:tr w:rsidR="00521ED0" w:rsidRPr="00B3521D" w14:paraId="2D416599" w14:textId="77777777" w:rsidTr="00AD3C84">
        <w:trPr>
          <w:trHeight w:val="1268"/>
          <w:jc w:val="center"/>
        </w:trPr>
        <w:tc>
          <w:tcPr>
            <w:tcW w:w="2113" w:type="dxa"/>
            <w:tcBorders>
              <w:top w:val="single" w:sz="4" w:space="0" w:color="auto"/>
              <w:left w:val="nil"/>
              <w:bottom w:val="single" w:sz="4" w:space="0" w:color="auto"/>
              <w:right w:val="nil"/>
            </w:tcBorders>
          </w:tcPr>
          <w:p w14:paraId="6DB0BB1E" w14:textId="77777777" w:rsidR="00521ED0" w:rsidRPr="00CB19D8" w:rsidRDefault="00310DCB" w:rsidP="007F60D4">
            <w:pPr>
              <w:spacing w:before="120" w:after="120"/>
              <w:jc w:val="both"/>
              <w:rPr>
                <w:rFonts w:ascii="Century" w:hAnsi="Century"/>
                <w:b/>
                <w:sz w:val="18"/>
                <w:szCs w:val="18"/>
              </w:rPr>
            </w:pPr>
            <w:r w:rsidRPr="00CB19D8">
              <w:rPr>
                <w:rFonts w:ascii="Century" w:hAnsi="Century"/>
                <w:b/>
                <w:sz w:val="18"/>
                <w:szCs w:val="18"/>
              </w:rPr>
              <w:t>Article History:</w:t>
            </w:r>
          </w:p>
          <w:p w14:paraId="30074D82" w14:textId="77777777" w:rsidR="00521ED0" w:rsidRDefault="00B867D4" w:rsidP="007F60D4">
            <w:pPr>
              <w:jc w:val="both"/>
              <w:rPr>
                <w:rFonts w:ascii="Century" w:hAnsi="Century"/>
                <w:sz w:val="18"/>
                <w:szCs w:val="18"/>
              </w:rPr>
            </w:pPr>
            <w:proofErr w:type="gramStart"/>
            <w:r>
              <w:rPr>
                <w:rFonts w:ascii="Century" w:hAnsi="Century"/>
                <w:sz w:val="18"/>
                <w:szCs w:val="18"/>
              </w:rPr>
              <w:t>Received</w:t>
            </w:r>
            <w:r w:rsidR="00A87305" w:rsidRPr="00724B17">
              <w:rPr>
                <w:rFonts w:ascii="Century" w:hAnsi="Century"/>
                <w:sz w:val="18"/>
                <w:szCs w:val="18"/>
              </w:rPr>
              <w:t>:</w:t>
            </w:r>
            <w:r w:rsidR="00332EA4" w:rsidRPr="00724B17">
              <w:rPr>
                <w:rFonts w:ascii="Century" w:hAnsi="Century"/>
                <w:sz w:val="18"/>
                <w:szCs w:val="18"/>
              </w:rPr>
              <w:t>…</w:t>
            </w:r>
            <w:proofErr w:type="gramEnd"/>
            <w:r w:rsidR="00A87305" w:rsidRPr="00724B17">
              <w:rPr>
                <w:rFonts w:ascii="Century" w:hAnsi="Century"/>
                <w:sz w:val="18"/>
                <w:szCs w:val="18"/>
              </w:rPr>
              <w:t>-</w:t>
            </w:r>
            <w:r w:rsidR="00332EA4" w:rsidRPr="00724B17">
              <w:rPr>
                <w:rFonts w:ascii="Century" w:hAnsi="Century"/>
                <w:sz w:val="18"/>
                <w:szCs w:val="18"/>
              </w:rPr>
              <w:t>…</w:t>
            </w:r>
            <w:r w:rsidR="00F062D8" w:rsidRPr="00724B17">
              <w:rPr>
                <w:rFonts w:ascii="Century" w:hAnsi="Century"/>
                <w:sz w:val="18"/>
                <w:szCs w:val="18"/>
              </w:rPr>
              <w:t>-</w:t>
            </w:r>
            <w:r w:rsidR="00332EA4" w:rsidRPr="00724B17">
              <w:rPr>
                <w:rFonts w:ascii="Century" w:hAnsi="Century"/>
                <w:sz w:val="18"/>
                <w:szCs w:val="18"/>
              </w:rPr>
              <w:t>…</w:t>
            </w:r>
          </w:p>
          <w:p w14:paraId="23354560" w14:textId="77777777" w:rsidR="004E4FE6" w:rsidRPr="00724B17" w:rsidRDefault="004E4FE6" w:rsidP="007F60D4">
            <w:pPr>
              <w:jc w:val="both"/>
              <w:rPr>
                <w:rFonts w:ascii="Century" w:hAnsi="Century"/>
                <w:sz w:val="18"/>
                <w:szCs w:val="18"/>
              </w:rPr>
            </w:pPr>
            <w:r>
              <w:rPr>
                <w:rFonts w:ascii="Century" w:hAnsi="Century"/>
                <w:sz w:val="18"/>
                <w:szCs w:val="18"/>
              </w:rPr>
              <w:t xml:space="preserve">Revised: </w:t>
            </w:r>
            <w:r w:rsidRPr="00724B17">
              <w:rPr>
                <w:rFonts w:ascii="Century" w:hAnsi="Century"/>
                <w:sz w:val="18"/>
                <w:szCs w:val="18"/>
              </w:rPr>
              <w:t>…-…-…</w:t>
            </w:r>
          </w:p>
          <w:p w14:paraId="4DB342D9" w14:textId="77777777" w:rsidR="00521ED0" w:rsidRPr="00724B17" w:rsidRDefault="00B867D4" w:rsidP="00332EA4">
            <w:pPr>
              <w:jc w:val="both"/>
              <w:rPr>
                <w:rFonts w:ascii="Century" w:hAnsi="Century"/>
                <w:sz w:val="18"/>
                <w:szCs w:val="18"/>
              </w:rPr>
            </w:pPr>
            <w:proofErr w:type="gramStart"/>
            <w:r>
              <w:rPr>
                <w:rFonts w:ascii="Century" w:hAnsi="Century"/>
                <w:sz w:val="18"/>
                <w:szCs w:val="18"/>
              </w:rPr>
              <w:t>Accepted</w:t>
            </w:r>
            <w:r w:rsidR="00A87305" w:rsidRPr="00724B17">
              <w:rPr>
                <w:rFonts w:ascii="Century" w:hAnsi="Century"/>
                <w:sz w:val="18"/>
                <w:szCs w:val="18"/>
              </w:rPr>
              <w:t>:</w:t>
            </w:r>
            <w:r w:rsidR="00332EA4" w:rsidRPr="00724B17">
              <w:rPr>
                <w:rFonts w:ascii="Century" w:hAnsi="Century"/>
                <w:sz w:val="18"/>
                <w:szCs w:val="18"/>
              </w:rPr>
              <w:t>…</w:t>
            </w:r>
            <w:proofErr w:type="gramEnd"/>
            <w:r w:rsidR="00332EA4" w:rsidRPr="00724B17">
              <w:rPr>
                <w:rFonts w:ascii="Century" w:hAnsi="Century"/>
                <w:sz w:val="18"/>
                <w:szCs w:val="18"/>
              </w:rPr>
              <w:t>-…-…</w:t>
            </w:r>
          </w:p>
        </w:tc>
        <w:tc>
          <w:tcPr>
            <w:tcW w:w="283" w:type="dxa"/>
            <w:vMerge w:val="restart"/>
            <w:tcBorders>
              <w:top w:val="nil"/>
              <w:left w:val="nil"/>
              <w:bottom w:val="nil"/>
              <w:right w:val="nil"/>
            </w:tcBorders>
          </w:tcPr>
          <w:p w14:paraId="711869E7" w14:textId="77777777" w:rsidR="00521ED0" w:rsidRPr="00B3521D" w:rsidRDefault="00521ED0" w:rsidP="007F60D4">
            <w:pPr>
              <w:spacing w:before="120"/>
              <w:jc w:val="both"/>
              <w:rPr>
                <w:rFonts w:ascii="Century Gothic" w:hAnsi="Century Gothic"/>
                <w:sz w:val="18"/>
                <w:szCs w:val="18"/>
              </w:rPr>
            </w:pPr>
          </w:p>
        </w:tc>
        <w:tc>
          <w:tcPr>
            <w:tcW w:w="7227" w:type="dxa"/>
            <w:gridSpan w:val="2"/>
            <w:vMerge w:val="restart"/>
            <w:tcBorders>
              <w:top w:val="single" w:sz="4" w:space="0" w:color="auto"/>
              <w:left w:val="nil"/>
              <w:right w:val="nil"/>
            </w:tcBorders>
          </w:tcPr>
          <w:p w14:paraId="50A3B269" w14:textId="4B24179F" w:rsidR="005A6C73" w:rsidRPr="005A6C73" w:rsidRDefault="0077568E" w:rsidP="00C93BB2">
            <w:pPr>
              <w:spacing w:before="120" w:after="240"/>
              <w:jc w:val="both"/>
              <w:rPr>
                <w:rFonts w:ascii="Century" w:hAnsi="Century"/>
                <w:sz w:val="18"/>
                <w:szCs w:val="18"/>
                <w:lang w:val="en-US"/>
              </w:rPr>
            </w:pPr>
            <w:r w:rsidRPr="0077568E">
              <w:rPr>
                <w:rFonts w:ascii="Century" w:hAnsi="Century"/>
                <w:b/>
                <w:sz w:val="18"/>
                <w:szCs w:val="18"/>
                <w:lang w:val="en-US"/>
              </w:rPr>
              <w:t>Abstract</w:t>
            </w:r>
            <w:r>
              <w:rPr>
                <w:rFonts w:ascii="Century" w:hAnsi="Century"/>
                <w:sz w:val="18"/>
                <w:szCs w:val="18"/>
                <w:lang w:val="en-US"/>
              </w:rPr>
              <w:t xml:space="preserve">: </w:t>
            </w:r>
            <w:r w:rsidR="005A6C73" w:rsidRPr="005A6C73">
              <w:rPr>
                <w:rFonts w:ascii="Century" w:hAnsi="Century" w:cs="Arial"/>
                <w:sz w:val="18"/>
                <w:szCs w:val="18"/>
              </w:rPr>
              <w:t xml:space="preserve">The urgency and proficiency of students’ mathematical literacy in Bandung that have not been optimal are the basis of this study. The aim of this study is to explain the enhancement of students' mathematical literacy proficiency due to the implementation of the inquiry </w:t>
            </w:r>
            <w:r w:rsidR="006937CC">
              <w:rPr>
                <w:rFonts w:ascii="Century" w:hAnsi="Century" w:cs="Arial"/>
                <w:sz w:val="18"/>
                <w:szCs w:val="18"/>
              </w:rPr>
              <w:t>co-operation</w:t>
            </w:r>
            <w:r w:rsidR="005A6C73" w:rsidRPr="005A6C73">
              <w:rPr>
                <w:rFonts w:ascii="Century" w:hAnsi="Century" w:cs="Arial"/>
                <w:sz w:val="18"/>
                <w:szCs w:val="18"/>
              </w:rPr>
              <w:t xml:space="preserve"> model (experimental class) and conventional learning (control class) in terms of basic mathematical proficiency. This study is a quasi-experimental study with a non-equivalent control group design, and the research subjects were seventy students of class VIII of Bandung that were selected through a purposive sampling technique. The research data w</w:t>
            </w:r>
            <w:r w:rsidR="007F60D4">
              <w:rPr>
                <w:rFonts w:ascii="Century" w:hAnsi="Century" w:cs="Arial"/>
                <w:sz w:val="18"/>
                <w:szCs w:val="18"/>
              </w:rPr>
              <w:t>as</w:t>
            </w:r>
            <w:r w:rsidR="005A6C73" w:rsidRPr="005A6C73">
              <w:rPr>
                <w:rFonts w:ascii="Century" w:hAnsi="Century" w:cs="Arial"/>
                <w:sz w:val="18"/>
                <w:szCs w:val="18"/>
              </w:rPr>
              <w:t xml:space="preserve"> obtained through mathematical literacy tests of material in a polyhedron. The results of the data analysis showed that: (1) the enhancement in mathematical literacy proficiency of the experimental students class was better than the </w:t>
            </w:r>
            <w:r w:rsidR="007F60D4" w:rsidRPr="005A6C73">
              <w:rPr>
                <w:rFonts w:ascii="Century" w:hAnsi="Century" w:cs="Arial"/>
                <w:sz w:val="18"/>
                <w:szCs w:val="18"/>
              </w:rPr>
              <w:t xml:space="preserve">control </w:t>
            </w:r>
            <w:r w:rsidR="005A6C73" w:rsidRPr="005A6C73">
              <w:rPr>
                <w:rFonts w:ascii="Century" w:hAnsi="Century" w:cs="Arial"/>
                <w:sz w:val="18"/>
                <w:szCs w:val="18"/>
              </w:rPr>
              <w:t>students</w:t>
            </w:r>
            <w:r w:rsidR="00315F3E">
              <w:rPr>
                <w:rFonts w:ascii="Century" w:hAnsi="Century" w:cs="Arial"/>
                <w:sz w:val="18"/>
                <w:szCs w:val="18"/>
              </w:rPr>
              <w:t xml:space="preserve"> </w:t>
            </w:r>
            <w:r w:rsidR="005A6C73" w:rsidRPr="005A6C73">
              <w:rPr>
                <w:rFonts w:ascii="Century" w:hAnsi="Century" w:cs="Arial"/>
                <w:sz w:val="18"/>
                <w:szCs w:val="18"/>
              </w:rPr>
              <w:t xml:space="preserve">class in terms of the basic mathematical proficiency (high and medium); (2) there is no significant difference in the increase of mathematical literacy proficiency in experimental students class in terms of the basic mathematical proficiency. It can be concluded that inquiry </w:t>
            </w:r>
            <w:r w:rsidR="006937CC">
              <w:rPr>
                <w:rFonts w:ascii="Century" w:hAnsi="Century" w:cs="Arial"/>
                <w:sz w:val="18"/>
                <w:szCs w:val="18"/>
              </w:rPr>
              <w:t>co-operation</w:t>
            </w:r>
            <w:r w:rsidR="005A6C73" w:rsidRPr="005A6C73">
              <w:rPr>
                <w:rFonts w:ascii="Century" w:hAnsi="Century" w:cs="Arial"/>
                <w:sz w:val="18"/>
                <w:szCs w:val="18"/>
              </w:rPr>
              <w:t xml:space="preserve"> model espouses the enhancement of students' mathematical literacy proficiency.</w:t>
            </w:r>
          </w:p>
          <w:p w14:paraId="33004AC6" w14:textId="77777777" w:rsidR="0077568E" w:rsidRPr="0077568E" w:rsidRDefault="0077568E" w:rsidP="00C93BB2">
            <w:pPr>
              <w:spacing w:before="120" w:after="240"/>
              <w:jc w:val="both"/>
              <w:rPr>
                <w:rFonts w:ascii="Century" w:hAnsi="Century"/>
                <w:i/>
                <w:sz w:val="18"/>
                <w:szCs w:val="18"/>
                <w:lang w:val="en-US"/>
              </w:rPr>
            </w:pPr>
          </w:p>
        </w:tc>
      </w:tr>
      <w:tr w:rsidR="00521ED0" w:rsidRPr="00B3521D" w14:paraId="22DFE256" w14:textId="77777777" w:rsidTr="00F41BED">
        <w:trPr>
          <w:trHeight w:val="1482"/>
          <w:jc w:val="center"/>
        </w:trPr>
        <w:tc>
          <w:tcPr>
            <w:tcW w:w="2113" w:type="dxa"/>
            <w:tcBorders>
              <w:top w:val="single" w:sz="4" w:space="0" w:color="auto"/>
              <w:left w:val="nil"/>
              <w:bottom w:val="single" w:sz="4" w:space="0" w:color="auto"/>
              <w:right w:val="nil"/>
            </w:tcBorders>
          </w:tcPr>
          <w:p w14:paraId="40E365FD" w14:textId="77777777" w:rsidR="00521ED0" w:rsidRPr="00724B17" w:rsidRDefault="00B867D4" w:rsidP="007F60D4">
            <w:pPr>
              <w:spacing w:before="120" w:after="120"/>
              <w:jc w:val="both"/>
              <w:rPr>
                <w:rFonts w:ascii="Century" w:hAnsi="Century"/>
                <w:b/>
                <w:i/>
                <w:sz w:val="18"/>
                <w:szCs w:val="18"/>
              </w:rPr>
            </w:pPr>
            <w:r w:rsidRPr="00CB19D8">
              <w:rPr>
                <w:rFonts w:ascii="Century" w:hAnsi="Century"/>
                <w:b/>
                <w:sz w:val="18"/>
                <w:szCs w:val="18"/>
              </w:rPr>
              <w:t>Keyword</w:t>
            </w:r>
            <w:r w:rsidR="00521ED0" w:rsidRPr="00724B17">
              <w:rPr>
                <w:rFonts w:ascii="Century" w:hAnsi="Century"/>
                <w:b/>
                <w:i/>
                <w:sz w:val="18"/>
                <w:szCs w:val="18"/>
              </w:rPr>
              <w:t>:</w:t>
            </w:r>
          </w:p>
          <w:p w14:paraId="6ECC78B8" w14:textId="77777777" w:rsidR="0077568E" w:rsidRDefault="00B867D4" w:rsidP="009B0A53">
            <w:pPr>
              <w:jc w:val="both"/>
              <w:rPr>
                <w:rFonts w:ascii="Century" w:hAnsi="Century"/>
                <w:sz w:val="18"/>
                <w:szCs w:val="18"/>
              </w:rPr>
            </w:pPr>
            <w:r>
              <w:rPr>
                <w:rFonts w:ascii="Century" w:hAnsi="Century"/>
                <w:sz w:val="18"/>
                <w:szCs w:val="18"/>
              </w:rPr>
              <w:t>Keyword</w:t>
            </w:r>
            <w:r w:rsidR="00521ED0" w:rsidRPr="00724B17">
              <w:rPr>
                <w:rFonts w:ascii="Century" w:hAnsi="Century"/>
                <w:sz w:val="18"/>
                <w:szCs w:val="18"/>
              </w:rPr>
              <w:t>1</w:t>
            </w:r>
            <w:r w:rsidR="00CB19D8">
              <w:rPr>
                <w:rFonts w:ascii="Century" w:hAnsi="Century"/>
                <w:sz w:val="18"/>
                <w:szCs w:val="18"/>
              </w:rPr>
              <w:t>;</w:t>
            </w:r>
            <w:r w:rsidR="006E0507">
              <w:rPr>
                <w:rFonts w:ascii="Century" w:hAnsi="Century"/>
                <w:sz w:val="18"/>
                <w:szCs w:val="18"/>
              </w:rPr>
              <w:t xml:space="preserve"> mathematical literacy</w:t>
            </w:r>
          </w:p>
          <w:p w14:paraId="35401492" w14:textId="77777777" w:rsidR="0077568E" w:rsidRDefault="00B867D4" w:rsidP="009B0A53">
            <w:pPr>
              <w:jc w:val="both"/>
              <w:rPr>
                <w:rFonts w:ascii="Century" w:hAnsi="Century"/>
                <w:sz w:val="18"/>
                <w:szCs w:val="18"/>
              </w:rPr>
            </w:pPr>
            <w:r>
              <w:rPr>
                <w:rFonts w:ascii="Century" w:hAnsi="Century"/>
                <w:sz w:val="18"/>
                <w:szCs w:val="18"/>
              </w:rPr>
              <w:t>Keyword</w:t>
            </w:r>
            <w:r w:rsidR="00521ED0" w:rsidRPr="00724B17">
              <w:rPr>
                <w:rFonts w:ascii="Century" w:hAnsi="Century"/>
                <w:sz w:val="18"/>
                <w:szCs w:val="18"/>
              </w:rPr>
              <w:t>2</w:t>
            </w:r>
            <w:r w:rsidR="00CB19D8">
              <w:rPr>
                <w:rFonts w:ascii="Century" w:hAnsi="Century"/>
                <w:sz w:val="18"/>
                <w:szCs w:val="18"/>
              </w:rPr>
              <w:t>;</w:t>
            </w:r>
            <w:r w:rsidR="006E0507">
              <w:rPr>
                <w:rFonts w:ascii="Century" w:hAnsi="Century"/>
                <w:sz w:val="18"/>
                <w:szCs w:val="18"/>
              </w:rPr>
              <w:t xml:space="preserve"> inquiry co</w:t>
            </w:r>
            <w:r w:rsidR="004501FE">
              <w:rPr>
                <w:rFonts w:ascii="Century" w:hAnsi="Century"/>
                <w:sz w:val="18"/>
                <w:szCs w:val="18"/>
              </w:rPr>
              <w:t>-</w:t>
            </w:r>
            <w:r w:rsidR="006E0507">
              <w:rPr>
                <w:rFonts w:ascii="Century" w:hAnsi="Century"/>
                <w:sz w:val="18"/>
                <w:szCs w:val="18"/>
              </w:rPr>
              <w:t>operation model</w:t>
            </w:r>
          </w:p>
          <w:p w14:paraId="7661E3E7" w14:textId="77777777" w:rsidR="0077568E" w:rsidRDefault="00B867D4" w:rsidP="009B0A53">
            <w:pPr>
              <w:jc w:val="both"/>
              <w:rPr>
                <w:rFonts w:ascii="Century" w:hAnsi="Century"/>
                <w:sz w:val="18"/>
                <w:szCs w:val="18"/>
              </w:rPr>
            </w:pPr>
            <w:r>
              <w:rPr>
                <w:rFonts w:ascii="Century" w:hAnsi="Century"/>
                <w:sz w:val="18"/>
                <w:szCs w:val="18"/>
              </w:rPr>
              <w:t>Keyword</w:t>
            </w:r>
            <w:r w:rsidR="00521ED0" w:rsidRPr="00724B17">
              <w:rPr>
                <w:rFonts w:ascii="Century" w:hAnsi="Century"/>
                <w:sz w:val="18"/>
                <w:szCs w:val="18"/>
              </w:rPr>
              <w:t>3</w:t>
            </w:r>
            <w:r w:rsidR="00CB19D8">
              <w:rPr>
                <w:rFonts w:ascii="Century" w:hAnsi="Century"/>
                <w:sz w:val="18"/>
                <w:szCs w:val="18"/>
              </w:rPr>
              <w:t>;</w:t>
            </w:r>
            <w:r w:rsidR="006E0507">
              <w:rPr>
                <w:rFonts w:ascii="Century" w:hAnsi="Century"/>
                <w:sz w:val="18"/>
                <w:szCs w:val="18"/>
              </w:rPr>
              <w:t xml:space="preserve"> basic mathematical profici</w:t>
            </w:r>
            <w:r w:rsidR="00984993">
              <w:rPr>
                <w:rFonts w:ascii="Century" w:hAnsi="Century"/>
                <w:sz w:val="18"/>
                <w:szCs w:val="18"/>
              </w:rPr>
              <w:t>en</w:t>
            </w:r>
            <w:r w:rsidR="006E0507">
              <w:rPr>
                <w:rFonts w:ascii="Century" w:hAnsi="Century"/>
                <w:sz w:val="18"/>
                <w:szCs w:val="18"/>
              </w:rPr>
              <w:t>cy</w:t>
            </w:r>
          </w:p>
          <w:p w14:paraId="2470FDF8" w14:textId="77777777" w:rsidR="00EC2DD7" w:rsidRPr="004E4FE6" w:rsidRDefault="00EC2DD7" w:rsidP="00780330">
            <w:pPr>
              <w:jc w:val="both"/>
              <w:rPr>
                <w:rFonts w:ascii="Century" w:hAnsi="Century"/>
                <w:sz w:val="18"/>
                <w:szCs w:val="18"/>
              </w:rPr>
            </w:pPr>
          </w:p>
        </w:tc>
        <w:tc>
          <w:tcPr>
            <w:tcW w:w="283" w:type="dxa"/>
            <w:vMerge/>
            <w:tcBorders>
              <w:top w:val="nil"/>
              <w:left w:val="nil"/>
              <w:bottom w:val="single" w:sz="4" w:space="0" w:color="auto"/>
              <w:right w:val="nil"/>
            </w:tcBorders>
          </w:tcPr>
          <w:p w14:paraId="1DCBE00C" w14:textId="77777777" w:rsidR="00521ED0" w:rsidRPr="00B3521D" w:rsidRDefault="00521ED0" w:rsidP="007F60D4">
            <w:pPr>
              <w:spacing w:before="120"/>
              <w:jc w:val="both"/>
              <w:rPr>
                <w:rFonts w:ascii="Century Gothic" w:hAnsi="Century Gothic"/>
                <w:sz w:val="18"/>
                <w:szCs w:val="18"/>
              </w:rPr>
            </w:pPr>
          </w:p>
        </w:tc>
        <w:tc>
          <w:tcPr>
            <w:tcW w:w="7227" w:type="dxa"/>
            <w:gridSpan w:val="2"/>
            <w:vMerge/>
            <w:tcBorders>
              <w:left w:val="nil"/>
              <w:bottom w:val="single" w:sz="4" w:space="0" w:color="auto"/>
              <w:right w:val="nil"/>
            </w:tcBorders>
          </w:tcPr>
          <w:p w14:paraId="315EF4BE" w14:textId="77777777" w:rsidR="00521ED0" w:rsidRPr="00B3521D" w:rsidRDefault="00521ED0" w:rsidP="007F60D4">
            <w:pPr>
              <w:spacing w:before="120"/>
              <w:jc w:val="both"/>
              <w:rPr>
                <w:rFonts w:ascii="Century Gothic" w:hAnsi="Century Gothic"/>
                <w:iCs/>
                <w:color w:val="000000"/>
                <w:sz w:val="18"/>
                <w:szCs w:val="18"/>
              </w:rPr>
            </w:pPr>
          </w:p>
        </w:tc>
      </w:tr>
      <w:tr w:rsidR="00F41BED" w:rsidRPr="00B3521D" w14:paraId="4AF6C81E" w14:textId="77777777" w:rsidTr="00F41BED">
        <w:trPr>
          <w:trHeight w:val="60"/>
          <w:jc w:val="center"/>
        </w:trPr>
        <w:tc>
          <w:tcPr>
            <w:tcW w:w="4685" w:type="dxa"/>
            <w:gridSpan w:val="3"/>
            <w:tcBorders>
              <w:top w:val="single" w:sz="4" w:space="0" w:color="auto"/>
              <w:left w:val="nil"/>
              <w:bottom w:val="single" w:sz="4" w:space="0" w:color="auto"/>
              <w:right w:val="nil"/>
            </w:tcBorders>
          </w:tcPr>
          <w:p w14:paraId="01FAB165" w14:textId="77777777" w:rsidR="00F41BED" w:rsidRDefault="00F41BED" w:rsidP="007F60D4">
            <w:pPr>
              <w:ind w:right="-13"/>
              <w:jc w:val="center"/>
              <w:rPr>
                <w:rFonts w:ascii="Century" w:hAnsi="Century"/>
                <w:sz w:val="6"/>
              </w:rPr>
            </w:pPr>
          </w:p>
          <w:p w14:paraId="0974335B" w14:textId="77777777" w:rsidR="00F41BED" w:rsidRDefault="00F41BED" w:rsidP="007F60D4">
            <w:pPr>
              <w:ind w:right="-13"/>
              <w:rPr>
                <w:rFonts w:ascii="Century" w:hAnsi="Century"/>
              </w:rPr>
            </w:pPr>
            <w:r>
              <w:rPr>
                <w:noProof/>
                <w:lang w:val="en-US" w:eastAsia="en-US"/>
              </w:rPr>
              <w:drawing>
                <wp:inline distT="0" distB="0" distL="0" distR="0" wp14:anchorId="552FC106" wp14:editId="240CD681">
                  <wp:extent cx="713549" cy="211984"/>
                  <wp:effectExtent l="0" t="0" r="0" b="0"/>
                  <wp:docPr id="5"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New-Cr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925" cy="214769"/>
                          </a:xfrm>
                          <a:prstGeom prst="rect">
                            <a:avLst/>
                          </a:prstGeom>
                          <a:noFill/>
                          <a:ln>
                            <a:noFill/>
                          </a:ln>
                        </pic:spPr>
                      </pic:pic>
                    </a:graphicData>
                  </a:graphic>
                </wp:inline>
              </w:drawing>
            </w:r>
          </w:p>
          <w:p w14:paraId="49E2DE5C" w14:textId="77777777" w:rsidR="00F41BED" w:rsidRPr="00B3521D" w:rsidRDefault="008A061B" w:rsidP="00F41BED">
            <w:pPr>
              <w:rPr>
                <w:rFonts w:ascii="Century Gothic" w:hAnsi="Century Gothic"/>
                <w:iCs/>
                <w:color w:val="000000"/>
                <w:sz w:val="18"/>
                <w:szCs w:val="18"/>
              </w:rPr>
            </w:pPr>
            <w:hyperlink r:id="rId13" w:history="1">
              <w:r w:rsidR="00F41BED" w:rsidRPr="00B364B6">
                <w:rPr>
                  <w:rStyle w:val="Hyperlink"/>
                  <w:rFonts w:ascii="Century Gothic" w:hAnsi="Century Gothic" w:cs="Tahoma"/>
                  <w:sz w:val="18"/>
                  <w:szCs w:val="20"/>
                  <w:shd w:val="clear" w:color="auto" w:fill="FFFFFF"/>
                </w:rPr>
                <w:t>https://doi.org/10.31764/jtam.vXiY.ZZZ</w:t>
              </w:r>
            </w:hyperlink>
          </w:p>
        </w:tc>
        <w:tc>
          <w:tcPr>
            <w:tcW w:w="4938" w:type="dxa"/>
            <w:tcBorders>
              <w:top w:val="single" w:sz="4" w:space="0" w:color="auto"/>
              <w:left w:val="nil"/>
              <w:bottom w:val="single" w:sz="4" w:space="0" w:color="auto"/>
              <w:right w:val="nil"/>
            </w:tcBorders>
          </w:tcPr>
          <w:p w14:paraId="1F795804" w14:textId="77777777" w:rsidR="00F41BED" w:rsidRPr="00934CDD" w:rsidRDefault="00F41BED" w:rsidP="007F60D4">
            <w:pPr>
              <w:ind w:right="-13"/>
              <w:jc w:val="center"/>
              <w:rPr>
                <w:rFonts w:ascii="Century" w:hAnsi="Century"/>
                <w:sz w:val="6"/>
              </w:rPr>
            </w:pPr>
          </w:p>
          <w:p w14:paraId="0D324B87" w14:textId="77777777" w:rsidR="00F41BED" w:rsidRPr="00D178B9" w:rsidRDefault="00F41BED" w:rsidP="00F41BED">
            <w:pPr>
              <w:ind w:left="3568" w:right="-13"/>
              <w:rPr>
                <w:rFonts w:ascii="Century" w:hAnsi="Century"/>
              </w:rPr>
            </w:pPr>
            <w:r>
              <w:rPr>
                <w:rFonts w:ascii="Century Gothic" w:hAnsi="Century Gothic"/>
                <w:iCs/>
                <w:noProof/>
                <w:color w:val="000000"/>
                <w:sz w:val="18"/>
                <w:szCs w:val="18"/>
                <w:lang w:val="en-US" w:eastAsia="en-US"/>
              </w:rPr>
              <w:drawing>
                <wp:inline distT="0" distB="0" distL="0" distR="0" wp14:anchorId="1B8DC5BE" wp14:editId="28E7CA50">
                  <wp:extent cx="560677" cy="197511"/>
                  <wp:effectExtent l="0" t="0" r="0" b="0"/>
                  <wp:docPr id="1"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784" cy="198605"/>
                          </a:xfrm>
                          <a:prstGeom prst="rect">
                            <a:avLst/>
                          </a:prstGeom>
                          <a:noFill/>
                          <a:ln>
                            <a:noFill/>
                          </a:ln>
                        </pic:spPr>
                      </pic:pic>
                    </a:graphicData>
                  </a:graphic>
                </wp:inline>
              </w:drawing>
            </w:r>
          </w:p>
          <w:p w14:paraId="5D8824C0" w14:textId="77777777" w:rsidR="00F41BED" w:rsidRPr="00B3521D" w:rsidRDefault="00F41BED" w:rsidP="00F41BED">
            <w:pPr>
              <w:ind w:left="183"/>
              <w:rPr>
                <w:rFonts w:ascii="Century Gothic" w:hAnsi="Century Gothic"/>
                <w:iCs/>
                <w:color w:val="000000"/>
                <w:sz w:val="18"/>
                <w:szCs w:val="18"/>
              </w:rPr>
            </w:pPr>
            <w:r w:rsidRPr="003D5E36">
              <w:rPr>
                <w:rFonts w:ascii="Century Gothic" w:hAnsi="Century Gothic"/>
                <w:i/>
                <w:iCs/>
                <w:color w:val="000000"/>
                <w:sz w:val="16"/>
                <w:szCs w:val="18"/>
              </w:rPr>
              <w:t xml:space="preserve">This is an open access article under the </w:t>
            </w:r>
            <w:r w:rsidRPr="003D5E36">
              <w:rPr>
                <w:rFonts w:ascii="Century Gothic" w:hAnsi="Century Gothic"/>
                <w:b/>
                <w:i/>
                <w:iCs/>
                <w:color w:val="4F81BD" w:themeColor="accent1"/>
                <w:sz w:val="16"/>
                <w:szCs w:val="18"/>
              </w:rPr>
              <w:t>CC–BY-SA</w:t>
            </w:r>
            <w:r w:rsidRPr="003D5E36">
              <w:rPr>
                <w:rFonts w:ascii="Century Gothic" w:hAnsi="Century Gothic"/>
                <w:i/>
                <w:iCs/>
                <w:color w:val="000000"/>
                <w:sz w:val="16"/>
                <w:szCs w:val="18"/>
              </w:rPr>
              <w:t xml:space="preserve"> license</w:t>
            </w:r>
          </w:p>
        </w:tc>
      </w:tr>
    </w:tbl>
    <w:p w14:paraId="78681617" w14:textId="77777777" w:rsidR="00F66CC2" w:rsidRPr="00B3521D" w:rsidRDefault="00F66CC2" w:rsidP="00F66CC2">
      <w:pPr>
        <w:pStyle w:val="PARAGRAPHnoindent"/>
        <w:spacing w:line="240" w:lineRule="auto"/>
        <w:jc w:val="center"/>
        <w:rPr>
          <w:color w:val="000000"/>
          <w:sz w:val="14"/>
          <w:szCs w:val="14"/>
        </w:rPr>
      </w:pPr>
    </w:p>
    <w:p w14:paraId="4C245F79" w14:textId="77777777" w:rsidR="00F66CC2" w:rsidRDefault="00F66CC2" w:rsidP="00F66CC2">
      <w:pPr>
        <w:pStyle w:val="PARAGRAPHnoindent"/>
        <w:spacing w:line="240" w:lineRule="auto"/>
        <w:jc w:val="center"/>
        <w:rPr>
          <w:color w:val="000000"/>
        </w:rPr>
      </w:pPr>
      <w:r>
        <w:rPr>
          <w:color w:val="000000"/>
        </w:rPr>
        <w:t>——————————</w:t>
      </w:r>
      <w:r>
        <w:rPr>
          <w:rFonts w:ascii="Wingdings" w:hAnsi="Wingdings"/>
          <w:color w:val="000000"/>
          <w:position w:val="-2"/>
        </w:rPr>
        <w:sym w:font="Wingdings" w:char="F075"/>
      </w:r>
      <w:r>
        <w:rPr>
          <w:color w:val="000000"/>
        </w:rPr>
        <w:t>——————————</w:t>
      </w:r>
    </w:p>
    <w:p w14:paraId="2A6F8D2F" w14:textId="77777777" w:rsidR="00B3521D" w:rsidRPr="00B3521D" w:rsidRDefault="00B3521D" w:rsidP="00B3521D">
      <w:pPr>
        <w:rPr>
          <w:sz w:val="14"/>
          <w:lang w:val="en-US" w:eastAsia="en-US"/>
        </w:rPr>
      </w:pPr>
    </w:p>
    <w:p w14:paraId="148810F4"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AD3C84">
          <w:type w:val="continuous"/>
          <w:pgSz w:w="11906" w:h="16838" w:code="9"/>
          <w:pgMar w:top="1134" w:right="1134" w:bottom="1134" w:left="1134" w:header="851" w:footer="567" w:gutter="0"/>
          <w:cols w:space="238"/>
          <w:docGrid w:linePitch="360"/>
        </w:sectPr>
      </w:pPr>
    </w:p>
    <w:p w14:paraId="42FF220E" w14:textId="77777777" w:rsidR="00AD335D" w:rsidRPr="00AD3C84" w:rsidRDefault="009B0A53" w:rsidP="00B3521D">
      <w:pPr>
        <w:pStyle w:val="IEEEHeading1"/>
        <w:numPr>
          <w:ilvl w:val="0"/>
          <w:numId w:val="11"/>
        </w:numPr>
        <w:spacing w:line="276" w:lineRule="auto"/>
        <w:jc w:val="left"/>
        <w:rPr>
          <w:rFonts w:asciiTheme="majorHAnsi" w:hAnsiTheme="majorHAnsi"/>
          <w:b/>
          <w:sz w:val="24"/>
        </w:rPr>
      </w:pPr>
      <w:r w:rsidRPr="00AD3C84">
        <w:rPr>
          <w:rFonts w:asciiTheme="majorHAnsi" w:hAnsiTheme="majorHAnsi"/>
          <w:b/>
          <w:iCs/>
          <w:sz w:val="24"/>
          <w:lang w:val="en-US"/>
        </w:rPr>
        <w:t>INTRODUCTION</w:t>
      </w:r>
    </w:p>
    <w:p w14:paraId="50CA3C84" w14:textId="2E53A455" w:rsidR="00835767" w:rsidRDefault="008068B4" w:rsidP="00835767">
      <w:pPr>
        <w:pStyle w:val="IEEEParagraph"/>
        <w:spacing w:line="276" w:lineRule="auto"/>
        <w:ind w:firstLine="360"/>
        <w:rPr>
          <w:rFonts w:asciiTheme="majorHAnsi" w:hAnsiTheme="majorHAnsi"/>
        </w:rPr>
      </w:pPr>
      <w:r w:rsidRPr="008068B4">
        <w:rPr>
          <w:rFonts w:asciiTheme="majorHAnsi" w:hAnsiTheme="majorHAnsi"/>
        </w:rPr>
        <w:t xml:space="preserve">One of the international standard assessments used as benchmarks to determine the quality of mathematical </w:t>
      </w:r>
      <w:r w:rsidR="005F03CA">
        <w:rPr>
          <w:rFonts w:asciiTheme="majorHAnsi" w:hAnsiTheme="majorHAnsi"/>
        </w:rPr>
        <w:t>proficiency</w:t>
      </w:r>
      <w:r w:rsidRPr="008068B4">
        <w:rPr>
          <w:rFonts w:asciiTheme="majorHAnsi" w:hAnsiTheme="majorHAnsi"/>
        </w:rPr>
        <w:t xml:space="preserve"> in Indonesia is the Program for International Student Assessment (PISA). The PISA study was conducted by OECD countries (Organization of Economic Corporation Development) and the UNESCO</w:t>
      </w:r>
      <w:r w:rsidR="00A61420">
        <w:rPr>
          <w:rFonts w:asciiTheme="majorHAnsi" w:hAnsiTheme="majorHAnsi"/>
        </w:rPr>
        <w:t xml:space="preserve"> (United Nations Educational Scientific and Cultural Organization)</w:t>
      </w:r>
      <w:r w:rsidRPr="008068B4">
        <w:rPr>
          <w:rFonts w:asciiTheme="majorHAnsi" w:hAnsiTheme="majorHAnsi"/>
        </w:rPr>
        <w:t xml:space="preserve"> Institute for Statistics </w:t>
      </w:r>
      <w:r w:rsidR="00DC41E2">
        <w:rPr>
          <w:rFonts w:asciiTheme="majorHAnsi" w:hAnsiTheme="majorHAnsi"/>
        </w:rPr>
        <w:fldChar w:fldCharType="begin" w:fldLock="1"/>
      </w:r>
      <w:r w:rsidR="00BD5E85">
        <w:rPr>
          <w:rFonts w:asciiTheme="majorHAnsi" w:hAnsiTheme="majorHAnsi"/>
        </w:rPr>
        <w:instrText>ADDIN CSL_CITATION {"citationItems":[{"id":"ITEM-1","itemData":{"ISBN":"9789264255425","author":[{"dropping-particle":"","family":"OECD","given":"","non-dropping-particle":"","parse-names":false,"suffix":""}],"id":"ITEM-1","issued":{"date-parts":[["2015"]]},"title":"PISA 2015 Draft Mathematics Framework","type":"book"},"uris":["http://www.mendeley.com/documents/?uuid=1bf683d2-7ba8-48db-a227-0f375b90b87f"]}],"mendeley":{"formattedCitation":"(OECD, 2015)","plainTextFormattedCitation":"(OECD, 2015)","previouslyFormattedCitation":"(OECD, 2015)"},"properties":{"noteIndex":0},"schema":"https://github.com/citation-style-language/schema/raw/master/csl-citation.json"}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(OECD, 2015)</w:t>
      </w:r>
      <w:r w:rsidR="00DC41E2">
        <w:rPr>
          <w:rFonts w:asciiTheme="majorHAnsi" w:hAnsiTheme="majorHAnsi"/>
        </w:rPr>
        <w:fldChar w:fldCharType="end"/>
      </w:r>
      <w:r w:rsidRPr="008068B4">
        <w:rPr>
          <w:rFonts w:asciiTheme="majorHAnsi" w:hAnsiTheme="majorHAnsi"/>
        </w:rPr>
        <w:t xml:space="preserve">. The mathematical </w:t>
      </w:r>
      <w:r w:rsidR="002F61F3">
        <w:rPr>
          <w:rFonts w:asciiTheme="majorHAnsi" w:hAnsiTheme="majorHAnsi"/>
        </w:rPr>
        <w:t>proficiency</w:t>
      </w:r>
      <w:r w:rsidRPr="008068B4">
        <w:rPr>
          <w:rFonts w:asciiTheme="majorHAnsi" w:hAnsiTheme="majorHAnsi"/>
        </w:rPr>
        <w:t xml:space="preserve"> measured by PISA is mathematical literacy. </w:t>
      </w:r>
      <w:r w:rsidR="009C4741">
        <w:rPr>
          <w:rFonts w:asciiTheme="majorHAnsi" w:hAnsiTheme="majorHAnsi"/>
        </w:rPr>
        <w:t>M</w:t>
      </w:r>
      <w:r w:rsidRPr="008068B4">
        <w:rPr>
          <w:rFonts w:asciiTheme="majorHAnsi" w:hAnsiTheme="majorHAnsi"/>
        </w:rPr>
        <w:t xml:space="preserve">athematical literacy is the </w:t>
      </w:r>
      <w:r w:rsidR="002F61F3">
        <w:rPr>
          <w:rFonts w:asciiTheme="majorHAnsi" w:hAnsiTheme="majorHAnsi"/>
        </w:rPr>
        <w:t>proficiency</w:t>
      </w:r>
      <w:r w:rsidRPr="008068B4">
        <w:rPr>
          <w:rFonts w:asciiTheme="majorHAnsi" w:hAnsiTheme="majorHAnsi"/>
        </w:rPr>
        <w:t xml:space="preserve"> to formulate, apply, and interpret mathematics in various contexts. There are six levels of mathematical literacy </w:t>
      </w:r>
      <w:r w:rsidR="002F61F3">
        <w:rPr>
          <w:rFonts w:asciiTheme="majorHAnsi" w:hAnsiTheme="majorHAnsi"/>
        </w:rPr>
        <w:t>proficiency</w:t>
      </w:r>
      <w:r w:rsidRPr="008068B4">
        <w:rPr>
          <w:rFonts w:asciiTheme="majorHAnsi" w:hAnsiTheme="majorHAnsi"/>
        </w:rPr>
        <w:t xml:space="preserve"> in the PISA framework</w:t>
      </w:r>
      <w:r w:rsidR="00DC41E2">
        <w:rPr>
          <w:rFonts w:asciiTheme="majorHAnsi" w:hAnsiTheme="majorHAnsi"/>
        </w:rPr>
        <w:fldChar w:fldCharType="begin" w:fldLock="1"/>
      </w:r>
      <w:r w:rsidR="00BD5E85">
        <w:rPr>
          <w:rFonts w:asciiTheme="majorHAnsi" w:hAnsiTheme="majorHAnsi"/>
        </w:rPr>
        <w:instrText>ADDIN CSL_CITATION {"citationItems":[{"id":"ITEM-1","itemData":{"author":[{"dropping-particle":"","family":"OECD","given":"","non-dropping-particle":"","parse-names":false,"suffix":""}],"id":"ITEM-1","issued":{"date-parts":[["2016"]]},"title":"PISA 2015 Result and Focus","type":"article-journal"},"uris":["http://www.mendeley.com/documents/?uuid=c5e45454-77c5-474e-80c1-ecefcdac1fc7"]}],"mendeley":{"formattedCitation":"(OECD, 2016b)","plainTextFormattedCitation":"(OECD, 2016b)","previouslyFormattedCitation":"(OECD, 2016b)"},"properties":{"noteIndex":0},"schema":"https://github.com/citation-style-language/schema/raw/master/csl-citation.json"}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(OECD, 2016b)</w:t>
      </w:r>
      <w:r w:rsidR="00DC41E2">
        <w:rPr>
          <w:rFonts w:asciiTheme="majorHAnsi" w:hAnsiTheme="majorHAnsi"/>
        </w:rPr>
        <w:fldChar w:fldCharType="end"/>
      </w:r>
      <w:r w:rsidRPr="008068B4">
        <w:rPr>
          <w:rFonts w:asciiTheme="majorHAnsi" w:hAnsiTheme="majorHAnsi"/>
        </w:rPr>
        <w:t xml:space="preserve">. Level one is the </w:t>
      </w:r>
      <w:r w:rsidR="002F61F3">
        <w:rPr>
          <w:rFonts w:asciiTheme="majorHAnsi" w:hAnsiTheme="majorHAnsi"/>
        </w:rPr>
        <w:t>proficiency</w:t>
      </w:r>
      <w:r w:rsidRPr="008068B4">
        <w:rPr>
          <w:rFonts w:asciiTheme="majorHAnsi" w:hAnsiTheme="majorHAnsi"/>
        </w:rPr>
        <w:t xml:space="preserve"> to complete routine procedures, level two is the </w:t>
      </w:r>
      <w:r w:rsidR="002F61F3">
        <w:rPr>
          <w:rFonts w:asciiTheme="majorHAnsi" w:hAnsiTheme="majorHAnsi"/>
        </w:rPr>
        <w:t>proficiency</w:t>
      </w:r>
      <w:r w:rsidRPr="008068B4">
        <w:rPr>
          <w:rFonts w:asciiTheme="majorHAnsi" w:hAnsiTheme="majorHAnsi"/>
        </w:rPr>
        <w:t xml:space="preserve"> to apply basic algorithms, level three is the </w:t>
      </w:r>
      <w:r w:rsidR="002F61F3">
        <w:rPr>
          <w:rFonts w:asciiTheme="majorHAnsi" w:hAnsiTheme="majorHAnsi"/>
        </w:rPr>
        <w:t>proficiency</w:t>
      </w:r>
      <w:r w:rsidRPr="008068B4">
        <w:rPr>
          <w:rFonts w:asciiTheme="majorHAnsi" w:hAnsiTheme="majorHAnsi"/>
        </w:rPr>
        <w:t xml:space="preserve"> to implement problem-solving strategies, level four is the </w:t>
      </w:r>
      <w:r w:rsidR="002F61F3">
        <w:rPr>
          <w:rFonts w:asciiTheme="majorHAnsi" w:hAnsiTheme="majorHAnsi"/>
        </w:rPr>
        <w:t>proficiency</w:t>
      </w:r>
      <w:r w:rsidRPr="008068B4">
        <w:rPr>
          <w:rFonts w:asciiTheme="majorHAnsi" w:hAnsiTheme="majorHAnsi"/>
        </w:rPr>
        <w:t xml:space="preserve"> to combine different representations, level five reflects the results of work, and level six is the </w:t>
      </w:r>
      <w:r w:rsidR="002F61F3">
        <w:rPr>
          <w:rFonts w:asciiTheme="majorHAnsi" w:hAnsiTheme="majorHAnsi"/>
        </w:rPr>
        <w:t>proficiency</w:t>
      </w:r>
      <w:r w:rsidRPr="008068B4">
        <w:rPr>
          <w:rFonts w:asciiTheme="majorHAnsi" w:hAnsiTheme="majorHAnsi"/>
        </w:rPr>
        <w:t xml:space="preserve"> to develop strategies and new approaches in dealing with problems</w:t>
      </w:r>
      <w:r w:rsidR="00DC41E2">
        <w:rPr>
          <w:rFonts w:asciiTheme="majorHAnsi" w:hAnsiTheme="majorHAnsi"/>
        </w:rPr>
        <w:fldChar w:fldCharType="begin" w:fldLock="1"/>
      </w:r>
      <w:r w:rsidR="00BD5E85">
        <w:rPr>
          <w:rFonts w:asciiTheme="majorHAnsi" w:hAnsiTheme="majorHAnsi"/>
        </w:rPr>
        <w:instrText>ADDIN CSL_CITATION {"citationItems":[{"id":"ITEM-1","itemData":{"ISBN":"9789264255425","author":[{"dropping-particle":"","family":"OECD","given":"","non-dropping-particle":"","parse-names":false,"suffix":""}],"id":"ITEM-1","issued":{"date-parts":[["2015"]]},"title":"PISA 2015 Draft Mathematics Framework","type":"book"},"uris":["http://www.mendeley.com/documents/?uuid=1bf683d2-7ba8-48db-a227-0f375b90b87f"]}],"mendeley":{"formattedCitation":"(OECD, 2015)","plainTextFormattedCitation":"(OECD, 2015)","previouslyFormattedCitation":"(OECD, 2015)"},"properties":{"noteIndex":0},"schema":"https://github.com/citation-style-language/schema/raw/master/csl-citation.json"}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(OECD, 2015)</w:t>
      </w:r>
      <w:r w:rsidR="00DC41E2">
        <w:rPr>
          <w:rFonts w:asciiTheme="majorHAnsi" w:hAnsiTheme="majorHAnsi"/>
        </w:rPr>
        <w:fldChar w:fldCharType="end"/>
      </w:r>
      <w:r w:rsidR="00B97AA1">
        <w:rPr>
          <w:rFonts w:asciiTheme="majorHAnsi" w:hAnsiTheme="majorHAnsi"/>
        </w:rPr>
        <w:t>.</w:t>
      </w:r>
    </w:p>
    <w:p w14:paraId="79806E17" w14:textId="6A548C86" w:rsidR="008D75AE" w:rsidRDefault="008068B4" w:rsidP="008D75AE">
      <w:pPr>
        <w:pStyle w:val="IEEEParagraph"/>
        <w:spacing w:line="276" w:lineRule="auto"/>
        <w:ind w:firstLine="360"/>
        <w:rPr>
          <w:rFonts w:asciiTheme="majorHAnsi" w:hAnsiTheme="majorHAnsi"/>
        </w:rPr>
      </w:pPr>
      <w:r w:rsidRPr="008068B4">
        <w:rPr>
          <w:rFonts w:asciiTheme="majorHAnsi" w:hAnsiTheme="majorHAnsi"/>
        </w:rPr>
        <w:lastRenderedPageBreak/>
        <w:t xml:space="preserve">The importance of having mathematical literacy skills is also </w:t>
      </w:r>
      <w:r w:rsidR="00085353">
        <w:rPr>
          <w:rFonts w:asciiTheme="majorHAnsi" w:hAnsiTheme="majorHAnsi"/>
        </w:rPr>
        <w:t>implied</w:t>
      </w:r>
      <w:r w:rsidRPr="008068B4">
        <w:rPr>
          <w:rFonts w:asciiTheme="majorHAnsi" w:hAnsiTheme="majorHAnsi"/>
        </w:rPr>
        <w:t xml:space="preserve"> in the goals of mathematics education which are stated by the National Council of Teachers of Mathematics (NCTM, 2000). The importance of having mathematical literacy skills is in contrast with the results of the PISA study </w:t>
      </w:r>
      <w:r w:rsidR="00085353">
        <w:rPr>
          <w:rFonts w:asciiTheme="majorHAnsi" w:hAnsiTheme="majorHAnsi"/>
        </w:rPr>
        <w:t>taken by</w:t>
      </w:r>
      <w:r w:rsidRPr="008068B4">
        <w:rPr>
          <w:rFonts w:asciiTheme="majorHAnsi" w:hAnsiTheme="majorHAnsi"/>
        </w:rPr>
        <w:t xml:space="preserve"> Indonesian students. Based on the results of the PISA study in 2006, 2009, 2012, 2015, 2018 it can be concluded that the mathematical literacy </w:t>
      </w:r>
      <w:r w:rsidR="005F03CA">
        <w:rPr>
          <w:rFonts w:asciiTheme="majorHAnsi" w:hAnsiTheme="majorHAnsi"/>
        </w:rPr>
        <w:t>proficiency</w:t>
      </w:r>
      <w:r w:rsidRPr="008068B4">
        <w:rPr>
          <w:rFonts w:asciiTheme="majorHAnsi" w:hAnsiTheme="majorHAnsi"/>
        </w:rPr>
        <w:t xml:space="preserve"> of Indonesian students need</w:t>
      </w:r>
      <w:r w:rsidR="00085353">
        <w:rPr>
          <w:rFonts w:asciiTheme="majorHAnsi" w:hAnsiTheme="majorHAnsi"/>
        </w:rPr>
        <w:t>s</w:t>
      </w:r>
      <w:r w:rsidRPr="008068B4">
        <w:rPr>
          <w:rFonts w:asciiTheme="majorHAnsi" w:hAnsiTheme="majorHAnsi"/>
        </w:rPr>
        <w:t xml:space="preserve"> to be improved </w:t>
      </w:r>
      <w:r w:rsidR="00DC41E2">
        <w:rPr>
          <w:rFonts w:asciiTheme="majorHAnsi" w:hAnsiTheme="majorHAnsi"/>
        </w:rPr>
        <w:fldChar w:fldCharType="begin" w:fldLock="1"/>
      </w:r>
      <w:r w:rsidR="00BD5E85">
        <w:rPr>
          <w:rFonts w:asciiTheme="majorHAnsi" w:hAnsiTheme="majorHAnsi"/>
        </w:rPr>
        <w:instrText>ADDIN CSL_CITATION {"citationItems":[{"id":"ITEM-1","itemData":{"author":[{"dropping-particle":"","family":"OECD","given":"","non-dropping-particle":"","parse-names":false,"suffix":""}],"id":"ITEM-1","issued":{"date-parts":[["2007"]]},"publisher":"OECD Publishing","publisher-place":"Paris","title":"PISA 2006: Science Competencies for Tomorrow’s World","type":"book"},"uris":["http://www.mendeley.com/documents/?uuid=e031f957-76e9-44ca-ab64-b01692cab70d"]},{"id":"ITEM-2","itemData":{"ISBN":"978-9-2640-9144-3","abstract":"One of the ultimate goals of policy makers is to enable citizens to take advantage of a globalised world economy. This is leading them to focus on the improvement of education policies, ensuring the quality of service provision, a more equitable distribution of learning opportunities and stronger incentives for greater efficiency in schooling. Such policies hinge on reliable information on how well education systems prepare students for life. Most countries monitor students' learning and the performance of schools. But in a global economy, the yardstick for success is no longer improvement by national standards alone, but how education systems perform internationally. The Organisation for Economic Cooperation and Development (OECD) has taken up that challenge by developing PISA, the Programme for International Student Assessment, which evaluates the quality, equity and efficiency of school systems in some 70 countries that, together, make up nine-tenths of the world economy. PISA represents a commitment by governments to monitor the outcomes of education systems regularly within an internationally agreed framework and it provides a basis for international collaboration in defining and implementing educational policies. This volume provides an introduction to PISA and examines the performance of students in reading, mathematics and science. Individual chapters contain notes. (Contains 5 boxes, 78 figures and 70 tables.) [For related reports, see Executive Summary (ED518016), Volume II (ED518015), Volume III (ED518014), Volume IV (ED518019), and Volume V (ED518018).]","author":[{"dropping-particle":"","family":"OECD","given":"","non-dropping-particle":"","parse-names":false,"suffix":""}],"container-title":"OECD Publishing","id":"ITEM-2","issued":{"date-parts":[["1"]]},"publisher":"OECD Publishing","publisher-place":"Paris","title":"PISA 2009 Results, Volume I, What students know and can do: Student performance in reading, mathematics and science","type":"book"},"uris":["http://www.mendeley.com/documents/?uuid=ab5c410a-bfec-49bb-beb5-4ce26cb1360d"]},{"id":"ITEM-3","itemData":{"DOI":"10.1787/9789264101739-en","ISBN":"9789264101722","PMID":"50130048","abstract":"This publication presents the conceptual framework underlying the PISA 2003 assessments: the framework for the assessment of reading and scientific literacy from PISA 2000, an expanded framework for the in-depth assessment of mathematical literacy, as well as the framework for the new assessment of problem solving as a cross-curricular competency. Within each domain, the framework defines the content that students need to acquire, the processes that need to be performed and the contexts in which knowledge and skills are applied. Finally, it illustrates the domains and their aspects with sample tasks.","author":[{"dropping-particle":"","family":"OECD","given":"","non-dropping-particle":"","parse-names":false,"suffix":""}],"container-title":"Oecd","id":"ITEM-3","issued":{"date-parts":[["2003"]]},"number-of-pages":"194","publisher":"OECD Publishing","publisher-place":"Paris","title":"The PISA 2003 Assessment Framework: Mathematics, Reading, Science and Problem Soloving Knowledge and Skills","type":"book"},"uris":["http://www.mendeley.com/documents/?uuid=227e83b7-19ac-4899-9f82-9e5cbd7744c2"]},{"id":"ITEM-4","itemData":{"author":[{"dropping-particle":"","family":"OECD","given":"","non-dropping-particle":"","parse-names":false,"suffix":""}],"id":"ITEM-4","issued":{"date-parts":[["2016"]]},"title":"PISA 2015 Result and Focus","type":"article-journal"},"uris":["http://www.mendeley.com/documents/?uuid=c5e45454-77c5-474e-80c1-ecefcdac1fc7"]},{"id":"ITEM-5","itemData":{"abstract":"Up to the end of the 1990s, the OECD’s comparisons of education outcomes were mainly based on measures of years of schooling, which are not reliable indicators of what people actually know and can do. The Programme for International Student Assessment (PISA) changed this. The idea behind PISA lay in testing the knowledge and skills of students directly, through a metric that was internationally agreed upon; linking that with data from students, teachers, schools and systems to understand performance differences; and then harnessing the power of collaboration to act on the data, both by creating shared points of reference and by leveraging peer pressure. The aim with PISA was not to create another layer of top-down accountability, but to help schools and policy makers shift from looking upward within the education system towards looking outward to the next teacher, the next school, the next country. In essence, PISA counts what counts, and makes that information available to educators and policy makers so they can make more informed decisions.","author":[{"dropping-particle":"","family":"OECD","given":"","non-dropping-particle":"","parse-names":false,"suffix":""}],"container-title":"OECD Publishing","id":"ITEM-5","issued":{"date-parts":[["2019"]]},"number-of-pages":"64","publisher":"OECD Publishing","publisher-place":"Paris","title":"PISA 2018 insights and interpretations","type":"book"},"uris":["http://www.mendeley.com/documents/?uuid=20d6547b-571a-46ee-9d40-5fd4e3ff516f"]}],"mendeley":{"formattedCitation":"(OECD, 1 C.E., 2003, 2007, 2016b, 2019)","plainTextFormattedCitation":"(OECD, 1 C.E., 2003, 2007, 2016b, 2019)","previouslyFormattedCitation":"(OECD, 1 C.E., 2003, 2007, 2016b, 2019)"},"properties":{"noteIndex":0},"schema":"https://github.com/citation-style-language/schema/raw/master/csl-citation.json"}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(OECD, 1 C.E., 2003, 2007, 2016b, 2019)</w:t>
      </w:r>
      <w:r w:rsidR="00DC41E2">
        <w:rPr>
          <w:rFonts w:asciiTheme="majorHAnsi" w:hAnsiTheme="majorHAnsi"/>
        </w:rPr>
        <w:fldChar w:fldCharType="end"/>
      </w:r>
      <w:r w:rsidRPr="008068B4">
        <w:rPr>
          <w:rFonts w:asciiTheme="majorHAnsi" w:hAnsiTheme="majorHAnsi"/>
        </w:rPr>
        <w:t>. It turned out that the results of the PISA study were in line with the results of a preliminary study conducted by the author at one of the junior high schools in Bandung. The results of the preliminary study revealed that junior high school students in Bandung were still experiencing various difficulties in working on mathematical literacy problems. The questions used in the preliminary study are a matter of mathematical literacy created by PISA in</w:t>
      </w:r>
      <w:r w:rsidR="00835767">
        <w:rPr>
          <w:rFonts w:asciiTheme="majorHAnsi" w:hAnsiTheme="majorHAnsi"/>
        </w:rPr>
        <w:t xml:space="preserve"> 2012. Following in Figure 1 </w:t>
      </w:r>
      <w:r w:rsidR="00085353">
        <w:rPr>
          <w:rFonts w:asciiTheme="majorHAnsi" w:hAnsiTheme="majorHAnsi"/>
        </w:rPr>
        <w:t>perform</w:t>
      </w:r>
      <w:r w:rsidRPr="008068B4">
        <w:rPr>
          <w:rFonts w:asciiTheme="majorHAnsi" w:hAnsiTheme="majorHAnsi"/>
        </w:rPr>
        <w:t>ed representations of student answers when answering mathematical literacy questions.</w:t>
      </w:r>
    </w:p>
    <w:p w14:paraId="4F0C55E6" w14:textId="77777777" w:rsidR="008068B4" w:rsidRDefault="00DD18AF" w:rsidP="00560AB2">
      <w:pPr>
        <w:pStyle w:val="IEEEParagraph"/>
        <w:spacing w:after="240" w:line="276" w:lineRule="auto"/>
        <w:ind w:firstLine="0"/>
        <w:rPr>
          <w:rStyle w:val="shorttext"/>
          <w:rFonts w:asciiTheme="majorHAnsi" w:hAnsiTheme="majorHAnsi"/>
          <w:shd w:val="clear" w:color="auto" w:fill="FFFFFF"/>
          <w:lang w:val="sv-SE"/>
        </w:rPr>
      </w:pPr>
      <w:r w:rsidRPr="00DD18AF">
        <w:rPr>
          <w:rStyle w:val="shorttext"/>
          <w:rFonts w:asciiTheme="majorHAnsi" w:hAnsiTheme="majorHAnsi"/>
          <w:noProof/>
          <w:shd w:val="clear" w:color="auto" w:fill="FFFFFF"/>
          <w:lang w:val="en-US" w:eastAsia="en-US"/>
        </w:rPr>
        <w:drawing>
          <wp:anchor distT="0" distB="0" distL="114300" distR="114300" simplePos="0" relativeHeight="251671040" behindDoc="0" locked="0" layoutInCell="1" allowOverlap="1" wp14:anchorId="5F49330E" wp14:editId="6CA22243">
            <wp:simplePos x="0" y="0"/>
            <wp:positionH relativeFrom="column">
              <wp:posOffset>1674240</wp:posOffset>
            </wp:positionH>
            <wp:positionV relativeFrom="paragraph">
              <wp:posOffset>107315</wp:posOffset>
            </wp:positionV>
            <wp:extent cx="3176378" cy="3016657"/>
            <wp:effectExtent l="19050" t="19050" r="24022" b="12293"/>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sil uji pisa 2.jpeg"/>
                    <pic:cNvPicPr/>
                  </pic:nvPicPr>
                  <pic:blipFill rotWithShape="1">
                    <a:blip r:embed="rId15" cstate="print">
                      <a:extLst>
                        <a:ext uri="{28A0092B-C50C-407E-A947-70E740481C1C}">
                          <a14:useLocalDpi xmlns:a14="http://schemas.microsoft.com/office/drawing/2010/main" val="0"/>
                        </a:ext>
                      </a:extLst>
                    </a:blip>
                    <a:srcRect l="20773" t="12689" r="16740" b="43808"/>
                    <a:stretch/>
                  </pic:blipFill>
                  <pic:spPr bwMode="auto">
                    <a:xfrm>
                      <a:off x="0" y="0"/>
                      <a:ext cx="3176378" cy="3016657"/>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274847FA"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1AFDF91F"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1C4ACFB0"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7D0E59F7"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2A9E606D"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18E60DA4"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4CA61076"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19D26E70" w14:textId="77777777" w:rsidR="00835767" w:rsidRDefault="00835767" w:rsidP="00666AA3">
      <w:pPr>
        <w:pStyle w:val="IEEEParagraph"/>
        <w:spacing w:after="240" w:line="276" w:lineRule="auto"/>
        <w:rPr>
          <w:rStyle w:val="shorttext"/>
          <w:rFonts w:asciiTheme="majorHAnsi" w:hAnsiTheme="majorHAnsi"/>
          <w:shd w:val="clear" w:color="auto" w:fill="FFFFFF"/>
          <w:lang w:val="sv-SE"/>
        </w:rPr>
      </w:pPr>
    </w:p>
    <w:p w14:paraId="38E383EC" w14:textId="22318E3B" w:rsidR="00DD18AF" w:rsidRPr="00DD18AF" w:rsidRDefault="00DD18AF" w:rsidP="00DD18AF">
      <w:pPr>
        <w:jc w:val="center"/>
        <w:rPr>
          <w:rFonts w:asciiTheme="majorHAnsi" w:hAnsiTheme="majorHAnsi"/>
          <w:sz w:val="22"/>
          <w:szCs w:val="22"/>
        </w:rPr>
      </w:pPr>
      <w:r w:rsidRPr="00DD18AF">
        <w:rPr>
          <w:rFonts w:asciiTheme="majorHAnsi" w:hAnsiTheme="majorHAnsi"/>
          <w:b/>
          <w:sz w:val="22"/>
          <w:szCs w:val="22"/>
        </w:rPr>
        <w:t>Figure1</w:t>
      </w:r>
      <w:r>
        <w:rPr>
          <w:rFonts w:asciiTheme="majorHAnsi" w:hAnsiTheme="majorHAnsi"/>
          <w:b/>
          <w:sz w:val="22"/>
          <w:szCs w:val="22"/>
        </w:rPr>
        <w:t>.</w:t>
      </w:r>
      <w:r w:rsidRPr="00DD18AF">
        <w:rPr>
          <w:rFonts w:asciiTheme="majorHAnsi" w:hAnsiTheme="majorHAnsi"/>
          <w:sz w:val="22"/>
          <w:szCs w:val="22"/>
        </w:rPr>
        <w:t xml:space="preserve"> Representation of Student Answers [PISA Problem</w:t>
      </w:r>
      <w:r w:rsidR="00DC41E2">
        <w:rPr>
          <w:rFonts w:asciiTheme="majorHAnsi" w:hAnsiTheme="majorHAnsi"/>
          <w:sz w:val="22"/>
          <w:szCs w:val="22"/>
        </w:rPr>
        <w:fldChar w:fldCharType="begin" w:fldLock="1"/>
      </w:r>
      <w:r w:rsidR="00BD5E85">
        <w:rPr>
          <w:rFonts w:asciiTheme="majorHAnsi" w:hAnsiTheme="majorHAnsi"/>
          <w:sz w:val="22"/>
          <w:szCs w:val="22"/>
        </w:rPr>
        <w:instrText>ADDIN CSL_CITATION {"citationItems":[{"id":"ITEM-1","itemData":{"author":[{"dropping-particle":"","family":"OECD","given":"","non-dropping-particle":"","parse-names":false,"suffix":""}],"id":"ITEM-1","issued":{"date-parts":[["2016"]]},"publisher":"OECD Publishing","publisher-place":"Paris","title":"Assassement and Analytical framework: Mathematics, Reading, Science, Problem Solving and Financial Literacy.","type":"book"},"uris":["http://www.mendeley.com/documents/?uuid=d17f4771-afca-41c5-9139-ccf1941db274"]}],"mendeley":{"formattedCitation":"(OECD, 2016a)","plainTextFormattedCitation":"(OECD, 2016a)","previouslyFormattedCitation":"(OECD, 2016a)"},"properties":{"noteIndex":0},"schema":"https://github.com/citation-style-language/schema/raw/master/csl-citation.json"}</w:instrText>
      </w:r>
      <w:r w:rsidR="00DC41E2">
        <w:rPr>
          <w:rFonts w:asciiTheme="majorHAnsi" w:hAnsiTheme="majorHAnsi"/>
          <w:sz w:val="22"/>
          <w:szCs w:val="22"/>
        </w:rPr>
        <w:fldChar w:fldCharType="separate"/>
      </w:r>
      <w:r w:rsidR="00A1532F" w:rsidRPr="00A1532F">
        <w:rPr>
          <w:rFonts w:asciiTheme="majorHAnsi" w:hAnsiTheme="majorHAnsi"/>
          <w:noProof/>
          <w:sz w:val="22"/>
          <w:szCs w:val="22"/>
        </w:rPr>
        <w:t>(OECD, 2016a)</w:t>
      </w:r>
      <w:r w:rsidR="00DC41E2">
        <w:rPr>
          <w:rFonts w:asciiTheme="majorHAnsi" w:hAnsiTheme="majorHAnsi"/>
          <w:sz w:val="22"/>
          <w:szCs w:val="22"/>
        </w:rPr>
        <w:fldChar w:fldCharType="end"/>
      </w:r>
      <w:r w:rsidRPr="00DD18AF">
        <w:rPr>
          <w:rFonts w:asciiTheme="majorHAnsi" w:hAnsiTheme="majorHAnsi"/>
          <w:sz w:val="22"/>
          <w:szCs w:val="22"/>
        </w:rPr>
        <w:t>]</w:t>
      </w:r>
    </w:p>
    <w:p w14:paraId="0B48C848" w14:textId="77777777" w:rsidR="00835767" w:rsidRPr="00DD18AF" w:rsidRDefault="00835767" w:rsidP="00DD18AF">
      <w:pPr>
        <w:jc w:val="center"/>
        <w:rPr>
          <w:rFonts w:asciiTheme="majorHAnsi" w:hAnsiTheme="majorHAnsi"/>
          <w:sz w:val="22"/>
          <w:szCs w:val="22"/>
        </w:rPr>
      </w:pPr>
    </w:p>
    <w:p w14:paraId="023839F1" w14:textId="77777777" w:rsidR="008D75AE" w:rsidRDefault="00085353" w:rsidP="008D75AE">
      <w:pPr>
        <w:pStyle w:val="IEEEParagraph"/>
        <w:spacing w:line="276" w:lineRule="auto"/>
        <w:ind w:firstLine="360"/>
        <w:rPr>
          <w:rFonts w:asciiTheme="majorHAnsi" w:hAnsiTheme="majorHAnsi"/>
        </w:rPr>
      </w:pPr>
      <w:r>
        <w:rPr>
          <w:rFonts w:asciiTheme="majorHAnsi" w:hAnsiTheme="majorHAnsi"/>
        </w:rPr>
        <w:t xml:space="preserve">Refer to </w:t>
      </w:r>
      <w:r w:rsidR="008D75AE" w:rsidRPr="008D75AE">
        <w:rPr>
          <w:rFonts w:asciiTheme="majorHAnsi" w:hAnsiTheme="majorHAnsi"/>
        </w:rPr>
        <w:t>Figure 1</w:t>
      </w:r>
      <w:r w:rsidR="005E45DB">
        <w:rPr>
          <w:rFonts w:asciiTheme="majorHAnsi" w:hAnsiTheme="majorHAnsi"/>
        </w:rPr>
        <w:t>,</w:t>
      </w:r>
      <w:r w:rsidR="00A61420">
        <w:rPr>
          <w:rFonts w:asciiTheme="majorHAnsi" w:hAnsiTheme="majorHAnsi"/>
        </w:rPr>
        <w:t xml:space="preserve"> </w:t>
      </w:r>
      <w:r w:rsidR="005E45DB" w:rsidRPr="0025575E">
        <w:rPr>
          <w:rFonts w:asciiTheme="majorHAnsi" w:hAnsiTheme="majorHAnsi"/>
        </w:rPr>
        <w:t>it appears</w:t>
      </w:r>
      <w:r w:rsidR="008D75AE" w:rsidRPr="008D75AE">
        <w:rPr>
          <w:rFonts w:asciiTheme="majorHAnsi" w:hAnsiTheme="majorHAnsi"/>
        </w:rPr>
        <w:t xml:space="preserve"> that students answer these questions by calculating the beam volume. This means students have understood that the cubes will form the building blocks. However, students still experience obstacles in making block image representation. These results indicate that students are still experiencing difficulties with the content of the mathematical literacy process, which is to formulate mathematical problems with a description of the process of sketching to build a flat side space. In addition, students also have obstacles in reflecting the meaning of the questions given. In other words, students do not understand the purpose of the problem, so the students' answers do not match expectations.</w:t>
      </w:r>
    </w:p>
    <w:p w14:paraId="4213867A" w14:textId="77777777" w:rsidR="008D75AE" w:rsidRDefault="003641CB" w:rsidP="00EA2E3F">
      <w:pPr>
        <w:pStyle w:val="IEEEParagraph"/>
        <w:spacing w:line="276" w:lineRule="auto"/>
        <w:ind w:firstLine="360"/>
        <w:rPr>
          <w:rFonts w:asciiTheme="majorHAnsi" w:hAnsiTheme="majorHAnsi"/>
        </w:rPr>
      </w:pPr>
      <w:r>
        <w:rPr>
          <w:rFonts w:asciiTheme="majorHAnsi" w:hAnsiTheme="majorHAnsi"/>
        </w:rPr>
        <w:t>Same as</w:t>
      </w:r>
      <w:r w:rsidR="008D75AE" w:rsidRPr="008D75AE">
        <w:rPr>
          <w:rFonts w:asciiTheme="majorHAnsi" w:hAnsiTheme="majorHAnsi"/>
        </w:rPr>
        <w:t xml:space="preserve"> the results of the preliminary study, the study of </w:t>
      </w:r>
      <w:proofErr w:type="spellStart"/>
      <w:r w:rsidR="008D75AE" w:rsidRPr="008D75AE">
        <w:rPr>
          <w:rFonts w:asciiTheme="majorHAnsi" w:hAnsiTheme="majorHAnsi"/>
        </w:rPr>
        <w:t>Wulandari</w:t>
      </w:r>
      <w:proofErr w:type="spellEnd"/>
      <w:r w:rsidR="00D305E5">
        <w:rPr>
          <w:rFonts w:asciiTheme="majorHAnsi" w:hAnsiTheme="majorHAnsi"/>
        </w:rPr>
        <w:t xml:space="preserve"> </w:t>
      </w:r>
      <w:r w:rsidR="00DC41E2">
        <w:rPr>
          <w:rFonts w:asciiTheme="majorHAnsi" w:hAnsiTheme="majorHAnsi"/>
        </w:rPr>
        <w:fldChar w:fldCharType="begin" w:fldLock="1"/>
      </w:r>
      <w:r w:rsidR="00EA2E3F">
        <w:rPr>
          <w:rFonts w:asciiTheme="majorHAnsi" w:hAnsiTheme="majorHAnsi"/>
        </w:rPr>
        <w:instrText>ADDIN CSL_CITATION {"citationItems":[{"id":"ITEM-1","itemData":{"author":[{"dropping-particle":"","family":"Wulandari","given":"I. C","non-dropping-particle":"","parse-names":false,"suffix":""},{"dropping-particle":"","family":"Turmudi","given":"","non-dropping-particle":"","parse-names":false,"suffix":""},{"dropping-particle":"","family":"Hasanah","given":"A","non-dropping-particle":"","parse-names":false,"suffix":""}],"container-title":"JurnalLingkarWidyaiswara","id":"ITEM-1","issue":"2","issued":{"date-parts":[["2015"]]},"page":"10-25","title":"Studi Cross-Sectional Tingkat KemampuanLiterasiMatematisSiswaSekolahMenengahPertama di Bandung BerdasarkanPengujianSoal Pisa","type":"article-journal","volume":"3"},"label":"volume","suppress-author":1,"uris":["http://www.mendeley.com/documents/?uuid=530f4f64-337d-4cfd-ab38-640cca9e6a38"]}],"mendeley":{"formattedCitation":"(2015)","plainTextFormattedCitation":"(2015)","previouslyFormattedCitation":"(2015)"},"properties":{"noteIndex":0},"schema":"https://github.com/citation-style-language/schema/raw/master/csl-citation.json"}</w:instrText>
      </w:r>
      <w:r w:rsidR="00DC41E2">
        <w:rPr>
          <w:rFonts w:asciiTheme="majorHAnsi" w:hAnsiTheme="majorHAnsi"/>
        </w:rPr>
        <w:fldChar w:fldCharType="separate"/>
      </w:r>
      <w:r w:rsidR="00EA2E3F" w:rsidRPr="00EA2E3F">
        <w:rPr>
          <w:rFonts w:asciiTheme="majorHAnsi" w:hAnsiTheme="majorHAnsi"/>
          <w:noProof/>
        </w:rPr>
        <w:t>(2015)</w:t>
      </w:r>
      <w:r w:rsidR="00DC41E2">
        <w:rPr>
          <w:rFonts w:asciiTheme="majorHAnsi" w:hAnsiTheme="majorHAnsi"/>
        </w:rPr>
        <w:fldChar w:fldCharType="end"/>
      </w:r>
      <w:r w:rsidR="008D75AE" w:rsidRPr="008D75AE">
        <w:rPr>
          <w:rFonts w:asciiTheme="majorHAnsi" w:hAnsiTheme="majorHAnsi"/>
        </w:rPr>
        <w:t xml:space="preserve"> found that junior high school students in Bandung were still experiencing various problems in solving mathematical literacy problems. </w:t>
      </w:r>
      <w:r w:rsidR="009C0F83">
        <w:rPr>
          <w:rFonts w:asciiTheme="majorHAnsi" w:hAnsiTheme="majorHAnsi"/>
        </w:rPr>
        <w:t>The c</w:t>
      </w:r>
      <w:r w:rsidR="008D75AE" w:rsidRPr="008D75AE">
        <w:rPr>
          <w:rFonts w:asciiTheme="majorHAnsi" w:hAnsiTheme="majorHAnsi"/>
        </w:rPr>
        <w:t>onstraints faced by students</w:t>
      </w:r>
      <w:r w:rsidR="009C0F83">
        <w:rPr>
          <w:rFonts w:asciiTheme="majorHAnsi" w:hAnsiTheme="majorHAnsi"/>
        </w:rPr>
        <w:t xml:space="preserve"> were</w:t>
      </w:r>
      <w:r w:rsidR="008D75AE" w:rsidRPr="008D75AE">
        <w:rPr>
          <w:rFonts w:asciiTheme="majorHAnsi" w:hAnsiTheme="majorHAnsi"/>
        </w:rPr>
        <w:t xml:space="preserve"> not being able to identify data on the problem, reflect the meaning of the statement given</w:t>
      </w:r>
      <w:r w:rsidR="009C0F83">
        <w:rPr>
          <w:rFonts w:asciiTheme="majorHAnsi" w:hAnsiTheme="majorHAnsi"/>
        </w:rPr>
        <w:t>,</w:t>
      </w:r>
      <w:r w:rsidR="008D75AE" w:rsidRPr="008D75AE">
        <w:rPr>
          <w:rFonts w:asciiTheme="majorHAnsi" w:hAnsiTheme="majorHAnsi"/>
        </w:rPr>
        <w:t xml:space="preserve"> mak</w:t>
      </w:r>
      <w:r w:rsidR="009C0F83">
        <w:rPr>
          <w:rFonts w:asciiTheme="majorHAnsi" w:hAnsiTheme="majorHAnsi"/>
        </w:rPr>
        <w:t>e</w:t>
      </w:r>
      <w:r w:rsidR="008D75AE" w:rsidRPr="008D75AE">
        <w:rPr>
          <w:rFonts w:asciiTheme="majorHAnsi" w:hAnsiTheme="majorHAnsi"/>
        </w:rPr>
        <w:t xml:space="preserve"> conclusions from two unrelated facts, and interpret three related dimensional objects. </w:t>
      </w:r>
    </w:p>
    <w:p w14:paraId="1EB22CC3" w14:textId="4403D52F" w:rsidR="00630A4E" w:rsidRDefault="008D75AE" w:rsidP="00630A4E">
      <w:pPr>
        <w:pStyle w:val="IEEEParagraph"/>
        <w:ind w:firstLine="357"/>
        <w:rPr>
          <w:rFonts w:asciiTheme="majorHAnsi" w:hAnsiTheme="majorHAnsi"/>
          <w:color w:val="FF0000"/>
        </w:rPr>
      </w:pPr>
      <w:r w:rsidRPr="008D75AE">
        <w:rPr>
          <w:rFonts w:asciiTheme="majorHAnsi" w:hAnsiTheme="majorHAnsi"/>
        </w:rPr>
        <w:lastRenderedPageBreak/>
        <w:t xml:space="preserve">One solution that can be done to improve mathematical literacy is through learning mathematics in schools. Good mathematics learning has </w:t>
      </w:r>
      <w:r w:rsidR="000C1AB8">
        <w:rPr>
          <w:rFonts w:asciiTheme="majorHAnsi" w:hAnsiTheme="majorHAnsi"/>
        </w:rPr>
        <w:t xml:space="preserve">some </w:t>
      </w:r>
      <w:r w:rsidRPr="008D75AE">
        <w:rPr>
          <w:rFonts w:asciiTheme="majorHAnsi" w:hAnsiTheme="majorHAnsi"/>
        </w:rPr>
        <w:t>criteria</w:t>
      </w:r>
      <w:r w:rsidR="000C1AB8">
        <w:rPr>
          <w:rFonts w:asciiTheme="majorHAnsi" w:hAnsiTheme="majorHAnsi"/>
        </w:rPr>
        <w:t>. Those are</w:t>
      </w:r>
      <w:r w:rsidRPr="008D75AE">
        <w:rPr>
          <w:rFonts w:asciiTheme="majorHAnsi" w:hAnsiTheme="majorHAnsi"/>
        </w:rPr>
        <w:t xml:space="preserve"> the relationship between the </w:t>
      </w:r>
      <w:r w:rsidR="000C1AB8" w:rsidRPr="008D75AE">
        <w:rPr>
          <w:rFonts w:asciiTheme="majorHAnsi" w:hAnsiTheme="majorHAnsi"/>
        </w:rPr>
        <w:t>taught</w:t>
      </w:r>
      <w:r w:rsidR="000D2D18">
        <w:rPr>
          <w:rFonts w:asciiTheme="majorHAnsi" w:hAnsiTheme="majorHAnsi"/>
        </w:rPr>
        <w:t xml:space="preserve"> </w:t>
      </w:r>
      <w:r w:rsidRPr="008D75AE">
        <w:rPr>
          <w:rFonts w:asciiTheme="majorHAnsi" w:hAnsiTheme="majorHAnsi"/>
        </w:rPr>
        <w:t xml:space="preserve">material </w:t>
      </w:r>
      <w:r w:rsidR="000C1AB8">
        <w:rPr>
          <w:rFonts w:asciiTheme="majorHAnsi" w:hAnsiTheme="majorHAnsi"/>
        </w:rPr>
        <w:t>and</w:t>
      </w:r>
      <w:r w:rsidRPr="008D75AE">
        <w:rPr>
          <w:rFonts w:asciiTheme="majorHAnsi" w:hAnsiTheme="majorHAnsi"/>
        </w:rPr>
        <w:t xml:space="preserve"> real-life,</w:t>
      </w:r>
      <w:r w:rsidR="000C1AB8">
        <w:rPr>
          <w:rFonts w:asciiTheme="majorHAnsi" w:hAnsiTheme="majorHAnsi"/>
        </w:rPr>
        <w:t xml:space="preserve"> the </w:t>
      </w:r>
      <w:r w:rsidRPr="008D75AE">
        <w:rPr>
          <w:rFonts w:asciiTheme="majorHAnsi" w:hAnsiTheme="majorHAnsi"/>
        </w:rPr>
        <w:t>enjoy</w:t>
      </w:r>
      <w:r w:rsidR="000C1AB8">
        <w:rPr>
          <w:rFonts w:asciiTheme="majorHAnsi" w:hAnsiTheme="majorHAnsi"/>
        </w:rPr>
        <w:t>able and interesting</w:t>
      </w:r>
      <w:r w:rsidRPr="008D75AE">
        <w:rPr>
          <w:rFonts w:asciiTheme="majorHAnsi" w:hAnsiTheme="majorHAnsi"/>
        </w:rPr>
        <w:t xml:space="preserve"> learning atmosphere, </w:t>
      </w:r>
      <w:r w:rsidR="000C1AB8">
        <w:rPr>
          <w:rFonts w:asciiTheme="majorHAnsi" w:hAnsiTheme="majorHAnsi"/>
        </w:rPr>
        <w:t xml:space="preserve">the </w:t>
      </w:r>
      <w:r w:rsidRPr="008D75AE">
        <w:rPr>
          <w:rFonts w:asciiTheme="majorHAnsi" w:hAnsiTheme="majorHAnsi"/>
        </w:rPr>
        <w:t>encourag</w:t>
      </w:r>
      <w:r w:rsidR="000C1AB8">
        <w:rPr>
          <w:rFonts w:asciiTheme="majorHAnsi" w:hAnsiTheme="majorHAnsi"/>
        </w:rPr>
        <w:t>ement of</w:t>
      </w:r>
      <w:r w:rsidRPr="008D75AE">
        <w:rPr>
          <w:rFonts w:asciiTheme="majorHAnsi" w:hAnsiTheme="majorHAnsi"/>
        </w:rPr>
        <w:t xml:space="preserve"> student participation, and </w:t>
      </w:r>
      <w:r w:rsidR="000C1AB8">
        <w:rPr>
          <w:rFonts w:asciiTheme="majorHAnsi" w:hAnsiTheme="majorHAnsi"/>
        </w:rPr>
        <w:t>the</w:t>
      </w:r>
      <w:r w:rsidR="000D2D18">
        <w:rPr>
          <w:rFonts w:asciiTheme="majorHAnsi" w:hAnsiTheme="majorHAnsi"/>
        </w:rPr>
        <w:t xml:space="preserve"> </w:t>
      </w:r>
      <w:r w:rsidR="000C1AB8">
        <w:rPr>
          <w:rFonts w:asciiTheme="majorHAnsi" w:hAnsiTheme="majorHAnsi"/>
        </w:rPr>
        <w:t xml:space="preserve">improvement of </w:t>
      </w:r>
      <w:r w:rsidRPr="008D75AE">
        <w:rPr>
          <w:rFonts w:asciiTheme="majorHAnsi" w:hAnsiTheme="majorHAnsi"/>
        </w:rPr>
        <w:t>student</w:t>
      </w:r>
      <w:r w:rsidR="000C1AB8">
        <w:rPr>
          <w:rFonts w:asciiTheme="majorHAnsi" w:hAnsiTheme="majorHAnsi"/>
        </w:rPr>
        <w:t>s’</w:t>
      </w:r>
      <w:r w:rsidRPr="008D75AE">
        <w:rPr>
          <w:rFonts w:asciiTheme="majorHAnsi" w:hAnsiTheme="majorHAnsi"/>
        </w:rPr>
        <w:t xml:space="preserve"> thinking habits</w:t>
      </w:r>
      <w:r w:rsidR="00DC41E2">
        <w:rPr>
          <w:rFonts w:asciiTheme="majorHAnsi" w:hAnsiTheme="majorHAnsi"/>
        </w:rPr>
        <w:fldChar w:fldCharType="begin" w:fldLock="1"/>
      </w:r>
      <w:r w:rsidR="00B5517A">
        <w:rPr>
          <w:rFonts w:asciiTheme="majorHAnsi" w:hAnsiTheme="majorHAnsi"/>
        </w:rPr>
        <w:instrText>ADDIN CSL_CITATION {"citationItems":[{"id":"ITEM-1","itemData":{"author":[{"dropping-particle":"","family":"Yang","given":"X","non-dropping-particle":"","parse-names":false,"suffix":""}],"container-title":"Journal of Mathematics Education","id":"ITEM-1","issue":"5","issued":{"date-parts":[["2012"]]},"page":"77-96","title":"What Constitutes Good Mathematics Teaching in Mainland China: Perspectives from Nine Junior Middle School Teachers","type":"article-journal","volume":"1"},"locator":"83","uris":["http://www.mendeley.com/documents/?uuid=b4070e78-beca-4f19-8f10-15905efa0cf2"]}],"mendeley":{"formattedCitation":"(Yang, 2012, p. 83)","plainTextFormattedCitation":"(Yang, 2012, p. 83)","previouslyFormattedCitation":"(Yang, 2012, p. 83)"},"properties":{"noteIndex":0},"schema":"https://github.com/citation-style-language/schema/raw/master/csl-citation.json"}</w:instrText>
      </w:r>
      <w:r w:rsidR="00DC41E2">
        <w:rPr>
          <w:rFonts w:asciiTheme="majorHAnsi" w:hAnsiTheme="majorHAnsi"/>
        </w:rPr>
        <w:fldChar w:fldCharType="separate"/>
      </w:r>
      <w:r w:rsidR="00EA2E3F" w:rsidRPr="00EA2E3F">
        <w:rPr>
          <w:rFonts w:asciiTheme="majorHAnsi" w:hAnsiTheme="majorHAnsi"/>
          <w:noProof/>
        </w:rPr>
        <w:t>(Yang, 2012, p. 83)</w:t>
      </w:r>
      <w:r w:rsidR="00DC41E2">
        <w:rPr>
          <w:rFonts w:asciiTheme="majorHAnsi" w:hAnsiTheme="majorHAnsi"/>
        </w:rPr>
        <w:fldChar w:fldCharType="end"/>
      </w:r>
      <w:r w:rsidRPr="008D75AE">
        <w:rPr>
          <w:rFonts w:asciiTheme="majorHAnsi" w:hAnsiTheme="majorHAnsi"/>
        </w:rPr>
        <w:t xml:space="preserve">. One learning method that meets these criteria is the Inquiry </w:t>
      </w:r>
      <w:r w:rsidR="006937CC">
        <w:rPr>
          <w:rFonts w:asciiTheme="majorHAnsi" w:hAnsiTheme="majorHAnsi"/>
        </w:rPr>
        <w:t>Co-operation</w:t>
      </w:r>
      <w:r w:rsidRPr="008D75AE">
        <w:rPr>
          <w:rFonts w:asciiTheme="majorHAnsi" w:hAnsiTheme="majorHAnsi"/>
        </w:rPr>
        <w:t xml:space="preserve"> Model (ICM).</w:t>
      </w:r>
      <w:r w:rsidR="00906D58">
        <w:rPr>
          <w:rFonts w:asciiTheme="majorHAnsi" w:hAnsiTheme="majorHAnsi"/>
          <w:color w:val="FF0000"/>
        </w:rPr>
        <w:t xml:space="preserve"> </w:t>
      </w:r>
      <w:r w:rsidR="00FB4CEE">
        <w:rPr>
          <w:rFonts w:asciiTheme="majorHAnsi" w:hAnsiTheme="majorHAnsi"/>
        </w:rPr>
        <w:t xml:space="preserve">ICM learning is a combination of guided inquiry learning and free inquiry. ICM learning is a learning model that emphasizes student activity in the process of inquiry, the discovery of a mathematical concept and solving problems related to daily life </w:t>
      </w:r>
      <w:r w:rsidR="00F87656">
        <w:rPr>
          <w:rFonts w:asciiTheme="majorHAnsi" w:hAnsiTheme="majorHAnsi"/>
        </w:rPr>
        <w:fldChar w:fldCharType="begin" w:fldLock="1"/>
      </w:r>
      <w:r w:rsidR="005B62FD">
        <w:rPr>
          <w:rFonts w:asciiTheme="majorHAnsi" w:hAnsiTheme="majorHAnsi"/>
        </w:rPr>
        <w:instrText>ADDIN CSL_CITATION {"citationItems":[{"id":"ITEM-1","itemData":{"author":[{"dropping-particle":"","family":"AlrØ","given":"H","non-dropping-particle":"","parse-names":false,"suffix":""},{"dropping-particle":"","family":"Skovsmose","given":"O","non-dropping-particle":"","parse-names":false,"suffix":""}],"id":"ITEM-1","issued":{"date-parts":[["2002"]]},"publisher":"Kluwer Academic Publisher","publisher-place":"New York","title":"Dialogue and Learning in Mathematics Education","type":"book"},"uris":["http://www.mendeley.com/documents/?uuid=3dc24171-9cf6-483c-a84a-27fec9fccf5c"]}],"mendeley":{"formattedCitation":"(AlrØ &amp; Skovsmose, 2002)","plainTextFormattedCitation":"(AlrØ &amp; Skovsmose, 2002)","previouslyFormattedCitation":"(AlrØ &amp; Skovsmose, 2002)"},"properties":{"noteIndex":0},"schema":"https://github.com/citation-style-language/schema/raw/master/csl-citation.json"}</w:instrText>
      </w:r>
      <w:r w:rsidR="00F87656">
        <w:rPr>
          <w:rFonts w:asciiTheme="majorHAnsi" w:hAnsiTheme="majorHAnsi"/>
        </w:rPr>
        <w:fldChar w:fldCharType="separate"/>
      </w:r>
      <w:r w:rsidR="00F87656" w:rsidRPr="00F87656">
        <w:rPr>
          <w:rFonts w:asciiTheme="majorHAnsi" w:hAnsiTheme="majorHAnsi"/>
          <w:noProof/>
        </w:rPr>
        <w:t>(AlrØ &amp; Skovsmose, 2002)</w:t>
      </w:r>
      <w:r w:rsidR="00F87656">
        <w:rPr>
          <w:rFonts w:asciiTheme="majorHAnsi" w:hAnsiTheme="majorHAnsi"/>
        </w:rPr>
        <w:fldChar w:fldCharType="end"/>
      </w:r>
      <w:r w:rsidR="00FB4CEE">
        <w:rPr>
          <w:rFonts w:asciiTheme="majorHAnsi" w:hAnsiTheme="majorHAnsi"/>
        </w:rPr>
        <w:t xml:space="preserve">. Several studies such as Effendi </w:t>
      </w:r>
      <w:r w:rsidR="005B62FD">
        <w:rPr>
          <w:rFonts w:asciiTheme="majorHAnsi" w:hAnsiTheme="majorHAnsi"/>
        </w:rPr>
        <w:fldChar w:fldCharType="begin" w:fldLock="1"/>
      </w:r>
      <w:r w:rsidR="005B62FD">
        <w:rPr>
          <w:rFonts w:asciiTheme="majorHAnsi" w:hAnsiTheme="majorHAnsi"/>
        </w:rPr>
        <w:instrText>ADDIN CSL_CITATION {"citationItems":[{"id":"ITEM-1","itemData":{"author":[{"dropping-particle":"","family":"Effendi","given":"L. A.","non-dropping-particle":"","parse-names":false,"suffix":""}],"container-title":"JurnalPenelitian Pendidikan","id":"ITEM-1","issue":"13","issued":{"date-parts":[["2012"]]},"title":"Pembelajaran Matematika dengan Metode Penemuan Terbimbing untuk Meningkatkan Kemampuan Representasi dan Pemecahan Masalah Matematis Siswa SMP","type":"article-journal","volume":"2"},"suppress-author":1,"uris":["http://www.mendeley.com/documents/?uuid=e46f95ef-1772-4f17-a313-c35f4522a637"]}],"mendeley":{"formattedCitation":"(2012)","plainTextFormattedCitation":"(2012)","previouslyFormattedCitation":"(2012)"},"properties":{"noteIndex":0},"schema":"https://github.com/citation-style-language/schema/raw/master/csl-citation.json"}</w:instrText>
      </w:r>
      <w:r w:rsidR="005B62FD">
        <w:rPr>
          <w:rFonts w:asciiTheme="majorHAnsi" w:hAnsiTheme="majorHAnsi"/>
        </w:rPr>
        <w:fldChar w:fldCharType="separate"/>
      </w:r>
      <w:r w:rsidR="005B62FD" w:rsidRPr="005B62FD">
        <w:rPr>
          <w:rFonts w:asciiTheme="majorHAnsi" w:hAnsiTheme="majorHAnsi"/>
          <w:noProof/>
        </w:rPr>
        <w:t>(2012)</w:t>
      </w:r>
      <w:r w:rsidR="005B62FD">
        <w:rPr>
          <w:rFonts w:asciiTheme="majorHAnsi" w:hAnsiTheme="majorHAnsi"/>
        </w:rPr>
        <w:fldChar w:fldCharType="end"/>
      </w:r>
      <w:r w:rsidR="00FB4CEE">
        <w:rPr>
          <w:rFonts w:asciiTheme="majorHAnsi" w:hAnsiTheme="majorHAnsi"/>
        </w:rPr>
        <w:t xml:space="preserve">, </w:t>
      </w:r>
      <w:proofErr w:type="spellStart"/>
      <w:r w:rsidR="00FB4CEE">
        <w:rPr>
          <w:rFonts w:asciiTheme="majorHAnsi" w:hAnsiTheme="majorHAnsi"/>
        </w:rPr>
        <w:t>Purwatiningsih</w:t>
      </w:r>
      <w:proofErr w:type="spellEnd"/>
      <w:r w:rsidR="00FB4CEE">
        <w:rPr>
          <w:rFonts w:asciiTheme="majorHAnsi" w:hAnsiTheme="majorHAnsi"/>
        </w:rPr>
        <w:t xml:space="preserve"> </w:t>
      </w:r>
      <w:r w:rsidR="005B62FD">
        <w:rPr>
          <w:rFonts w:asciiTheme="majorHAnsi" w:hAnsiTheme="majorHAnsi"/>
        </w:rPr>
        <w:fldChar w:fldCharType="begin" w:fldLock="1"/>
      </w:r>
      <w:r w:rsidR="005B62FD">
        <w:rPr>
          <w:rFonts w:asciiTheme="majorHAnsi" w:hAnsiTheme="majorHAnsi"/>
        </w:rPr>
        <w:instrText>ADDIN CSL_CITATION {"citationItems":[{"id":"ITEM-1","itemData":{"author":[{"dropping-particle":"","family":"Purwatiningsi","given":"S","non-dropping-particle":"","parse-names":false,"suffix":""}],"container-title":"Jurnal Elektronik Pendidikan Matematika Tadulako","id":"ITEM-1","issue":"1","issued":{"date-parts":[["2014"]]},"title":"Penerapan Metode Penemuan Terbimbing untuk Meningkatkan Hasil Belajar Siswa pada Materi Luas Permukaan dan Volume Balok","type":"article-journal","volume":"1"},"suppress-author":1,"uris":["http://www.mendeley.com/documents/?uuid=56f08bf7-8a44-4a31-9a81-4f8eb0b6b2c6"]}],"mendeley":{"formattedCitation":"(2014)","plainTextFormattedCitation":"(2014)","previouslyFormattedCitation":"(2014)"},"properties":{"noteIndex":0},"schema":"https://github.com/citation-style-language/schema/raw/master/csl-citation.json"}</w:instrText>
      </w:r>
      <w:r w:rsidR="005B62FD">
        <w:rPr>
          <w:rFonts w:asciiTheme="majorHAnsi" w:hAnsiTheme="majorHAnsi"/>
        </w:rPr>
        <w:fldChar w:fldCharType="separate"/>
      </w:r>
      <w:r w:rsidR="005B62FD" w:rsidRPr="005B62FD">
        <w:rPr>
          <w:rFonts w:asciiTheme="majorHAnsi" w:hAnsiTheme="majorHAnsi"/>
          <w:noProof/>
        </w:rPr>
        <w:t>(2014)</w:t>
      </w:r>
      <w:r w:rsidR="005B62FD">
        <w:rPr>
          <w:rFonts w:asciiTheme="majorHAnsi" w:hAnsiTheme="majorHAnsi"/>
        </w:rPr>
        <w:fldChar w:fldCharType="end"/>
      </w:r>
      <w:r w:rsidR="00FB4CEE">
        <w:rPr>
          <w:rFonts w:asciiTheme="majorHAnsi" w:hAnsiTheme="majorHAnsi"/>
        </w:rPr>
        <w:t>, and</w:t>
      </w:r>
      <w:r w:rsidR="005B62FD">
        <w:rPr>
          <w:rFonts w:asciiTheme="majorHAnsi" w:hAnsiTheme="majorHAnsi"/>
        </w:rPr>
        <w:t xml:space="preserve"> </w:t>
      </w:r>
      <w:r w:rsidR="005B62FD">
        <w:rPr>
          <w:rFonts w:asciiTheme="majorHAnsi" w:hAnsiTheme="majorHAnsi"/>
        </w:rPr>
        <w:fldChar w:fldCharType="begin" w:fldLock="1"/>
      </w:r>
      <w:r w:rsidR="001C5A19">
        <w:rPr>
          <w:rFonts w:asciiTheme="majorHAnsi" w:hAnsiTheme="majorHAnsi"/>
        </w:rPr>
        <w:instrText>ADDIN CSL_CITATION {"citationItems":[{"id":"ITEM-1","itemData":{"author":[{"dropping-particle":"","family":"Hasibuan","given":"H","non-dropping-particle":"","parse-names":false,"suffix":""},{"dropping-particle":"","family":"Irwan","given":"M","non-dropping-particle":"","parse-names":false,"suffix":""}],"container-title":"Jurnal Pendidikan Matematika","id":"ITEM-1","issue":"3","issued":{"date-parts":[["2014"]]},"page":"38-44","title":"Penerapan Metode Penemuan Terbimbing pada Pembelajaran Matematika Kelas XI IPA SMAN 1 Lubuk Alung","type":"article-journal","volume":"1"},"uris":["http://www.mendeley.com/documents/?uuid=efd3f7ae-7509-4b58-b672-3c5ba35a2f2f"]}],"mendeley":{"formattedCitation":"(Hasibuan &amp; Irwan, 2014)","manualFormatting":"Hasibuan &amp; Irwan (2014)","plainTextFormattedCitation":"(Hasibuan &amp; Irwan, 2014)","previouslyFormattedCitation":"(Hasibuan &amp; Irwan, 2014)"},"properties":{"noteIndex":0},"schema":"https://github.com/citation-style-language/schema/raw/master/csl-citation.json"}</w:instrText>
      </w:r>
      <w:r w:rsidR="005B62FD">
        <w:rPr>
          <w:rFonts w:asciiTheme="majorHAnsi" w:hAnsiTheme="majorHAnsi"/>
        </w:rPr>
        <w:fldChar w:fldCharType="separate"/>
      </w:r>
      <w:r w:rsidR="005B62FD" w:rsidRPr="005B62FD">
        <w:rPr>
          <w:rFonts w:asciiTheme="majorHAnsi" w:hAnsiTheme="majorHAnsi"/>
          <w:noProof/>
        </w:rPr>
        <w:t xml:space="preserve">Hasibuan &amp; Irwan </w:t>
      </w:r>
      <w:r w:rsidR="005B62FD">
        <w:rPr>
          <w:rFonts w:asciiTheme="majorHAnsi" w:hAnsiTheme="majorHAnsi"/>
          <w:noProof/>
        </w:rPr>
        <w:t>(</w:t>
      </w:r>
      <w:r w:rsidR="005B62FD" w:rsidRPr="005B62FD">
        <w:rPr>
          <w:rFonts w:asciiTheme="majorHAnsi" w:hAnsiTheme="majorHAnsi"/>
          <w:noProof/>
        </w:rPr>
        <w:t>2014)</w:t>
      </w:r>
      <w:r w:rsidR="005B62FD">
        <w:rPr>
          <w:rFonts w:asciiTheme="majorHAnsi" w:hAnsiTheme="majorHAnsi"/>
        </w:rPr>
        <w:fldChar w:fldCharType="end"/>
      </w:r>
      <w:r w:rsidR="00FB4CEE">
        <w:rPr>
          <w:rFonts w:asciiTheme="majorHAnsi" w:hAnsiTheme="majorHAnsi"/>
        </w:rPr>
        <w:t xml:space="preserve"> </w:t>
      </w:r>
      <w:r w:rsidR="00846E87">
        <w:rPr>
          <w:rFonts w:asciiTheme="majorHAnsi" w:hAnsiTheme="majorHAnsi"/>
        </w:rPr>
        <w:t>found</w:t>
      </w:r>
      <w:r w:rsidR="00FB4CEE">
        <w:rPr>
          <w:rFonts w:asciiTheme="majorHAnsi" w:hAnsiTheme="majorHAnsi"/>
        </w:rPr>
        <w:t xml:space="preserve"> that guided inquiry learning </w:t>
      </w:r>
      <w:r w:rsidR="00846E87">
        <w:rPr>
          <w:rFonts w:asciiTheme="majorHAnsi" w:hAnsiTheme="majorHAnsi"/>
        </w:rPr>
        <w:t>was</w:t>
      </w:r>
      <w:r w:rsidR="00FB4CEE">
        <w:rPr>
          <w:rFonts w:asciiTheme="majorHAnsi" w:hAnsiTheme="majorHAnsi"/>
        </w:rPr>
        <w:t xml:space="preserve"> better than conventional learning in enhancing a variety of mathematical proficiency.</w:t>
      </w:r>
    </w:p>
    <w:p w14:paraId="021ACB72" w14:textId="6C8102A6" w:rsidR="0032717A" w:rsidRPr="004B36D5" w:rsidRDefault="00630A4E" w:rsidP="004B36D5">
      <w:pPr>
        <w:pStyle w:val="IEEEParagraph"/>
        <w:ind w:firstLine="357"/>
        <w:rPr>
          <w:rFonts w:asciiTheme="majorHAnsi" w:hAnsiTheme="majorHAnsi"/>
          <w:color w:val="FF0000"/>
        </w:rPr>
      </w:pPr>
      <w:r>
        <w:rPr>
          <w:rFonts w:asciiTheme="majorHAnsi" w:hAnsiTheme="majorHAnsi"/>
        </w:rPr>
        <w:t>This study not only focuses on learning that is carried out but also pays attention to aspects of students' Basic Mathematical Proficiency (BMP) because it is related to the effectiveness of learning implementation. BMP students have a role to learn new mathematical material that will be studied as</w:t>
      </w:r>
      <w:r w:rsidR="00B8037F">
        <w:rPr>
          <w:rFonts w:asciiTheme="majorHAnsi" w:hAnsiTheme="majorHAnsi"/>
        </w:rPr>
        <w:t xml:space="preserve"> </w:t>
      </w:r>
      <w:r>
        <w:rPr>
          <w:rFonts w:asciiTheme="majorHAnsi" w:hAnsiTheme="majorHAnsi"/>
        </w:rPr>
        <w:t>Bruner</w:t>
      </w:r>
      <w:r w:rsidR="002D24B9">
        <w:rPr>
          <w:rFonts w:asciiTheme="majorHAnsi" w:hAnsiTheme="majorHAnsi"/>
        </w:rPr>
        <w:t>’s connectivity</w:t>
      </w:r>
      <w:r w:rsidR="00B8037F">
        <w:rPr>
          <w:rFonts w:asciiTheme="majorHAnsi" w:hAnsiTheme="majorHAnsi"/>
        </w:rPr>
        <w:t xml:space="preserve"> </w:t>
      </w:r>
      <w:r w:rsidR="002D24B9">
        <w:rPr>
          <w:rFonts w:asciiTheme="majorHAnsi" w:hAnsiTheme="majorHAnsi"/>
        </w:rPr>
        <w:t>theorem</w:t>
      </w:r>
      <w:r>
        <w:rPr>
          <w:rFonts w:asciiTheme="majorHAnsi" w:hAnsiTheme="majorHAnsi"/>
        </w:rPr>
        <w:t>, that in mathematics between one concept with another concept there is a close relationship, not only in terms of content but also in terms of formulas that are studied</w:t>
      </w:r>
      <w:r w:rsidR="005B62FD">
        <w:rPr>
          <w:rFonts w:asciiTheme="majorHAnsi" w:hAnsiTheme="majorHAnsi"/>
        </w:rPr>
        <w:t xml:space="preserve"> </w:t>
      </w:r>
      <w:r w:rsidR="005B62FD">
        <w:rPr>
          <w:rFonts w:asciiTheme="majorHAnsi" w:hAnsiTheme="majorHAnsi"/>
        </w:rPr>
        <w:fldChar w:fldCharType="begin" w:fldLock="1"/>
      </w:r>
      <w:r w:rsidR="005B62FD">
        <w:rPr>
          <w:rFonts w:asciiTheme="majorHAnsi" w:hAnsiTheme="majorHAnsi"/>
        </w:rPr>
        <w:instrText>ADDIN CSL_CITATION {"citationItems":[{"id":"ITEM-1","itemData":{"author":[{"dropping-particle":"","family":"Takaya","given":"K","non-dropping-particle":"","parse-names":false,"suffix":""}],"container-title":"Journal Interchange","id":"ITEM-1","issue":"39","issued":{"date-parts":[["2008"]]},"page":"1-19","title":"Jerome Bruner’s Theory of Education: From Early Bruner to Later Bruner","type":"article-journal","volume":"1"},"uris":["http://www.mendeley.com/documents/?uuid=039be8d1-f093-49fd-bd75-0aa272e47fb5"]}],"mendeley":{"formattedCitation":"(Takaya, 2008)","plainTextFormattedCitation":"(Takaya, 2008)","previouslyFormattedCitation":"(Takaya, 2008)"},"properties":{"noteIndex":0},"schema":"https://github.com/citation-style-language/schema/raw/master/csl-citation.json"}</w:instrText>
      </w:r>
      <w:r w:rsidR="005B62FD">
        <w:rPr>
          <w:rFonts w:asciiTheme="majorHAnsi" w:hAnsiTheme="majorHAnsi"/>
        </w:rPr>
        <w:fldChar w:fldCharType="separate"/>
      </w:r>
      <w:r w:rsidR="005B62FD" w:rsidRPr="005B62FD">
        <w:rPr>
          <w:rFonts w:asciiTheme="majorHAnsi" w:hAnsiTheme="majorHAnsi"/>
          <w:noProof/>
        </w:rPr>
        <w:t>(Takaya, 2008)</w:t>
      </w:r>
      <w:r w:rsidR="005B62FD">
        <w:rPr>
          <w:rFonts w:asciiTheme="majorHAnsi" w:hAnsiTheme="majorHAnsi"/>
        </w:rPr>
        <w:fldChar w:fldCharType="end"/>
      </w:r>
      <w:r>
        <w:rPr>
          <w:rFonts w:asciiTheme="majorHAnsi" w:hAnsiTheme="majorHAnsi"/>
        </w:rPr>
        <w:t>. The purpose of paying attention to the BMP aspect is to find out whether the improvement in students' mathematical literacy proficiency is evenly distributed in all BMP categories (high, medium, and low) or only certain BMP categories. If the improvement of mathematical literacy proficiency is evenly distributed in all BMP categories (high, medium, and low), then this study can be generalized that the application of ICM learning in mathematics learning is appropriate for all levels of proficiency.</w:t>
      </w:r>
    </w:p>
    <w:p w14:paraId="4445AB41" w14:textId="77777777" w:rsidR="00724B17" w:rsidRPr="0025575E" w:rsidRDefault="009B0A53" w:rsidP="0025575E">
      <w:pPr>
        <w:pStyle w:val="IEEEHeading1"/>
        <w:numPr>
          <w:ilvl w:val="0"/>
          <w:numId w:val="11"/>
        </w:numPr>
        <w:spacing w:line="276" w:lineRule="auto"/>
        <w:jc w:val="left"/>
        <w:rPr>
          <w:rStyle w:val="longtext"/>
          <w:rFonts w:asciiTheme="majorHAnsi" w:hAnsiTheme="majorHAnsi"/>
          <w:b/>
          <w:sz w:val="24"/>
          <w:lang w:val="en-US"/>
        </w:rPr>
      </w:pPr>
      <w:r w:rsidRPr="00AD3C84">
        <w:rPr>
          <w:rFonts w:asciiTheme="majorHAnsi" w:hAnsiTheme="majorHAnsi"/>
          <w:b/>
          <w:sz w:val="24"/>
          <w:lang w:val="en-US"/>
        </w:rPr>
        <w:t xml:space="preserve">LITERATURE REVIEW </w:t>
      </w:r>
    </w:p>
    <w:p w14:paraId="3FC7AB10" w14:textId="03109764" w:rsidR="0025575E" w:rsidRPr="0025575E" w:rsidRDefault="0025575E" w:rsidP="002F4690">
      <w:pPr>
        <w:pStyle w:val="IEEEParagraph"/>
        <w:numPr>
          <w:ilvl w:val="0"/>
          <w:numId w:val="16"/>
        </w:numPr>
        <w:ind w:left="284" w:hanging="284"/>
        <w:jc w:val="left"/>
        <w:rPr>
          <w:rFonts w:asciiTheme="majorHAnsi" w:hAnsiTheme="majorHAnsi"/>
          <w:shd w:val="clear" w:color="auto" w:fill="FFFFFF"/>
        </w:rPr>
      </w:pPr>
      <w:r w:rsidRPr="0025575E">
        <w:rPr>
          <w:rFonts w:asciiTheme="majorHAnsi" w:hAnsiTheme="majorHAnsi"/>
          <w:b/>
        </w:rPr>
        <w:t>Inquiry</w:t>
      </w:r>
      <w:r>
        <w:rPr>
          <w:rFonts w:asciiTheme="majorHAnsi" w:hAnsiTheme="majorHAnsi"/>
          <w:b/>
        </w:rPr>
        <w:t xml:space="preserve"> </w:t>
      </w:r>
      <w:r w:rsidR="006937CC">
        <w:rPr>
          <w:rFonts w:asciiTheme="majorHAnsi" w:hAnsiTheme="majorHAnsi"/>
          <w:b/>
        </w:rPr>
        <w:t>Co-operation</w:t>
      </w:r>
      <w:r w:rsidRPr="0025575E">
        <w:rPr>
          <w:rFonts w:asciiTheme="majorHAnsi" w:hAnsiTheme="majorHAnsi"/>
          <w:b/>
        </w:rPr>
        <w:t xml:space="preserve"> Model</w:t>
      </w:r>
    </w:p>
    <w:p w14:paraId="69FA6578" w14:textId="60A1B36A" w:rsidR="0025575E" w:rsidRDefault="0025575E" w:rsidP="0025575E">
      <w:pPr>
        <w:ind w:firstLine="360"/>
        <w:jc w:val="both"/>
        <w:rPr>
          <w:rFonts w:asciiTheme="majorHAnsi" w:hAnsiTheme="majorHAnsi"/>
        </w:rPr>
      </w:pPr>
      <w:r w:rsidRPr="0025575E">
        <w:rPr>
          <w:rFonts w:asciiTheme="majorHAnsi" w:hAnsiTheme="majorHAnsi"/>
        </w:rPr>
        <w:t xml:space="preserve">The Inquiry </w:t>
      </w:r>
      <w:r w:rsidR="006937CC">
        <w:rPr>
          <w:rFonts w:asciiTheme="majorHAnsi" w:hAnsiTheme="majorHAnsi"/>
        </w:rPr>
        <w:t>Co-operation</w:t>
      </w:r>
      <w:r w:rsidRPr="0025575E">
        <w:rPr>
          <w:rFonts w:asciiTheme="majorHAnsi" w:hAnsiTheme="majorHAnsi"/>
        </w:rPr>
        <w:t xml:space="preserve"> Model (ICM) learning was initially introduced under the name </w:t>
      </w:r>
      <w:r w:rsidR="00450CA0">
        <w:rPr>
          <w:rFonts w:asciiTheme="majorHAnsi" w:hAnsiTheme="majorHAnsi"/>
        </w:rPr>
        <w:t xml:space="preserve">of </w:t>
      </w:r>
      <w:r w:rsidRPr="0025575E">
        <w:rPr>
          <w:rFonts w:asciiTheme="majorHAnsi" w:hAnsiTheme="majorHAnsi"/>
        </w:rPr>
        <w:t xml:space="preserve">cooperative inquiry by John Heron. Initially, ICM was designed as a model of communication between teachers and students. Then, it was developed into a learning model to teach mathematics by </w:t>
      </w:r>
      <w:proofErr w:type="spellStart"/>
      <w:r w:rsidRPr="0025575E">
        <w:rPr>
          <w:rFonts w:asciiTheme="majorHAnsi" w:hAnsiTheme="majorHAnsi"/>
        </w:rPr>
        <w:t>AlrØ</w:t>
      </w:r>
      <w:proofErr w:type="spellEnd"/>
      <w:r w:rsidRPr="0025575E">
        <w:rPr>
          <w:rFonts w:asciiTheme="majorHAnsi" w:hAnsiTheme="majorHAnsi"/>
        </w:rPr>
        <w:t xml:space="preserve"> and </w:t>
      </w:r>
      <w:proofErr w:type="spellStart"/>
      <w:r w:rsidRPr="0025575E">
        <w:rPr>
          <w:rFonts w:asciiTheme="majorHAnsi" w:hAnsiTheme="majorHAnsi"/>
        </w:rPr>
        <w:t>Skovsmose</w:t>
      </w:r>
      <w:proofErr w:type="spellEnd"/>
      <w:r w:rsidR="00DC41E2">
        <w:rPr>
          <w:rFonts w:asciiTheme="majorHAnsi" w:hAnsiTheme="majorHAnsi"/>
        </w:rPr>
        <w:fldChar w:fldCharType="begin" w:fldLock="1"/>
      </w:r>
      <w:r w:rsidR="00AB43DC">
        <w:rPr>
          <w:rFonts w:asciiTheme="majorHAnsi" w:hAnsiTheme="majorHAnsi"/>
        </w:rPr>
        <w:instrText>ADDIN CSL_CITATION {"citationItems":[{"id":"ITEM-1","itemData":{"author":[{"dropping-particle":"","family":"AlrØ","given":"H","non-dropping-particle":"","parse-names":false,"suffix":""},{"dropping-particle":"","family":"Skovsmose","given":"O","non-dropping-particle":"","parse-names":false,"suffix":""}],"id":"ITEM-1","issued":{"date-parts":[["2002"]]},"publisher":"Kluwer Academic Publisher","publisher-place":"New York","title":"Dialogue and Learning in Mathematics Education","type":"book"},"suppress-author":1,"uris":["http://www.mendeley.com/documents/?uuid=3dc24171-9cf6-483c-a84a-27fec9fccf5c"]}],"mendeley":{"formattedCitation":"(2002)","plainTextFormattedCitation":"(2002)","previouslyFormattedCitation":"(2002)"},"properties":{"noteIndex":0},"schema":"https://github.com/citation-style-language/schema/raw/master/csl-citation.json"}</w:instrText>
      </w:r>
      <w:r w:rsidR="00DC41E2">
        <w:rPr>
          <w:rFonts w:asciiTheme="majorHAnsi" w:hAnsiTheme="majorHAnsi"/>
        </w:rPr>
        <w:fldChar w:fldCharType="separate"/>
      </w:r>
      <w:r w:rsidR="00AB43DC" w:rsidRPr="00AB43DC">
        <w:rPr>
          <w:rFonts w:asciiTheme="majorHAnsi" w:hAnsiTheme="majorHAnsi"/>
          <w:noProof/>
        </w:rPr>
        <w:t>(2002)</w:t>
      </w:r>
      <w:r w:rsidR="00DC41E2">
        <w:rPr>
          <w:rFonts w:asciiTheme="majorHAnsi" w:hAnsiTheme="majorHAnsi"/>
        </w:rPr>
        <w:fldChar w:fldCharType="end"/>
      </w:r>
      <w:r w:rsidRPr="0025575E">
        <w:rPr>
          <w:rFonts w:asciiTheme="majorHAnsi" w:hAnsiTheme="majorHAnsi"/>
        </w:rPr>
        <w:t xml:space="preserve">. According to </w:t>
      </w:r>
      <w:proofErr w:type="spellStart"/>
      <w:r w:rsidRPr="0025575E">
        <w:rPr>
          <w:rFonts w:asciiTheme="majorHAnsi" w:hAnsiTheme="majorHAnsi"/>
        </w:rPr>
        <w:t>AlrØ</w:t>
      </w:r>
      <w:proofErr w:type="spellEnd"/>
      <w:r w:rsidRPr="0025575E">
        <w:rPr>
          <w:rFonts w:asciiTheme="majorHAnsi" w:hAnsiTheme="majorHAnsi"/>
        </w:rPr>
        <w:t xml:space="preserve"> and </w:t>
      </w:r>
      <w:proofErr w:type="spellStart"/>
      <w:r w:rsidRPr="0025575E">
        <w:rPr>
          <w:rFonts w:asciiTheme="majorHAnsi" w:hAnsiTheme="majorHAnsi"/>
        </w:rPr>
        <w:t>Skovsmose</w:t>
      </w:r>
      <w:proofErr w:type="spellEnd"/>
      <w:r w:rsidR="00DC41E2">
        <w:rPr>
          <w:rFonts w:asciiTheme="majorHAnsi" w:hAnsiTheme="majorHAnsi"/>
        </w:rPr>
        <w:fldChar w:fldCharType="begin" w:fldLock="1"/>
      </w:r>
      <w:r w:rsidR="003D09F9">
        <w:rPr>
          <w:rFonts w:asciiTheme="majorHAnsi" w:hAnsiTheme="majorHAnsi"/>
        </w:rPr>
        <w:instrText>ADDIN CSL_CITATION {"citationItems":[{"id":"ITEM-1","itemData":{"author":[{"dropping-particle":"","family":"AlrØ","given":"H","non-dropping-particle":"","parse-names":false,"suffix":""},{"dropping-particle":"","family":"Skovsmose","given":"O","non-dropping-particle":"","parse-names":false,"suffix":""}],"id":"ITEM-1","issued":{"date-parts":[["2002"]]},"publisher":"Kluwer Academic Publisher","publisher-place":"New York","title":"Dialogue and Learning in Mathematics Education","type":"book"},"suppress-author":1,"uris":["http://www.mendeley.com/documents/?uuid=3dc24171-9cf6-483c-a84a-27fec9fccf5c"]}],"mendeley":{"formattedCitation":"(2002)","plainTextFormattedCitation":"(2002)","previouslyFormattedCitation":"(2002)"},"properties":{"noteIndex":0},"schema":"https://github.com/citation-style-language/schema/raw/master/csl-citation.json"}</w:instrText>
      </w:r>
      <w:r w:rsidR="00DC41E2">
        <w:rPr>
          <w:rFonts w:asciiTheme="majorHAnsi" w:hAnsiTheme="majorHAnsi"/>
        </w:rPr>
        <w:fldChar w:fldCharType="separate"/>
      </w:r>
      <w:r w:rsidR="00AB43DC" w:rsidRPr="00AB43DC">
        <w:rPr>
          <w:rFonts w:asciiTheme="majorHAnsi" w:hAnsiTheme="majorHAnsi"/>
          <w:noProof/>
        </w:rPr>
        <w:t>(2002)</w:t>
      </w:r>
      <w:r w:rsidR="00DC41E2">
        <w:rPr>
          <w:rFonts w:asciiTheme="majorHAnsi" w:hAnsiTheme="majorHAnsi"/>
        </w:rPr>
        <w:fldChar w:fldCharType="end"/>
      </w:r>
      <w:r w:rsidRPr="0025575E">
        <w:rPr>
          <w:rFonts w:asciiTheme="majorHAnsi" w:hAnsiTheme="majorHAnsi"/>
        </w:rPr>
        <w:t xml:space="preserve">, ICM is </w:t>
      </w:r>
      <w:r w:rsidR="005E45DB">
        <w:rPr>
          <w:rFonts w:asciiTheme="majorHAnsi" w:hAnsiTheme="majorHAnsi"/>
        </w:rPr>
        <w:t>an</w:t>
      </w:r>
      <w:r w:rsidRPr="0025575E">
        <w:rPr>
          <w:rFonts w:asciiTheme="majorHAnsi" w:hAnsiTheme="majorHAnsi"/>
        </w:rPr>
        <w:t xml:space="preserve"> example of modified free inquiry learning. Modified free inquiry learning is a combination of guided inquiry and free inquiry </w:t>
      </w:r>
      <w:r w:rsidR="00DC41E2">
        <w:rPr>
          <w:rFonts w:asciiTheme="majorHAnsi" w:hAnsiTheme="majorHAnsi"/>
        </w:rPr>
        <w:fldChar w:fldCharType="begin" w:fldLock="1"/>
      </w:r>
      <w:r w:rsidR="00FF04CE">
        <w:rPr>
          <w:rFonts w:asciiTheme="majorHAnsi" w:hAnsiTheme="majorHAnsi"/>
        </w:rPr>
        <w:instrText>ADDIN CSL_CITATION {"citationItems":[{"id":"ITEM-1","itemData":{"author":[{"dropping-particle":"","family":"Basaǵa","given":"H","non-dropping-particle":"","parse-names":false,"suffix":""},{"dropping-particle":"","family":"Geban","given":"","non-dropping-particle":"","parse-names":false,"suffix":""},{"dropping-particle":"","family":"Ómer","given":"","non-dropping-particle":"","parse-names":false,"suffix":""},{"dropping-particle":"","family":"Tekkaya","given":"C","non-dropping-particle":"","parse-names":false,"suffix":""}],"container-title":"Journal Biochemical Education","id":"ITEM-1","issue":"22","issued":{"date-parts":[["1994"]]},"page":"29-32","title":"The Effect of the Inquiry Teaching Method on Biochemistry and Science Process Skill Achievements","type":"article-journal","volume":"1"},"uris":["http://www.mendeley.com/documents/?uuid=01cdd476-6aa5-464a-85d2-909cf6ca1804"]}],"mendeley":{"formattedCitation":"(Basaǵa et al., 1994)","plainTextFormattedCitation":"(Basaǵa et al., 1994)","previouslyFormattedCitation":"(Basaǵa et al., 1994)"},"properties":{"noteIndex":0},"schema":"https://github.com/citation-style-language/schema/raw/master/csl-citation.json"}</w:instrText>
      </w:r>
      <w:r w:rsidR="00DC41E2">
        <w:rPr>
          <w:rFonts w:asciiTheme="majorHAnsi" w:hAnsiTheme="majorHAnsi"/>
        </w:rPr>
        <w:fldChar w:fldCharType="separate"/>
      </w:r>
      <w:r w:rsidR="003D09F9" w:rsidRPr="003D09F9">
        <w:rPr>
          <w:rFonts w:asciiTheme="majorHAnsi" w:hAnsiTheme="majorHAnsi"/>
          <w:noProof/>
        </w:rPr>
        <w:t>(Basaǵa et al., 1994)</w:t>
      </w:r>
      <w:r w:rsidR="00DC41E2">
        <w:rPr>
          <w:rFonts w:asciiTheme="majorHAnsi" w:hAnsiTheme="majorHAnsi"/>
        </w:rPr>
        <w:fldChar w:fldCharType="end"/>
      </w:r>
      <w:r w:rsidRPr="0025575E">
        <w:rPr>
          <w:rFonts w:asciiTheme="majorHAnsi" w:hAnsiTheme="majorHAnsi"/>
        </w:rPr>
        <w:t xml:space="preserve">. ICM implementation consists of eight components as shown in Figure </w:t>
      </w:r>
      <w:r w:rsidR="002B14F1">
        <w:rPr>
          <w:rFonts w:asciiTheme="majorHAnsi" w:hAnsiTheme="majorHAnsi"/>
        </w:rPr>
        <w:t>2</w:t>
      </w:r>
      <w:r w:rsidRPr="0025575E">
        <w:rPr>
          <w:rFonts w:asciiTheme="majorHAnsi" w:hAnsiTheme="majorHAnsi"/>
        </w:rPr>
        <w:t xml:space="preserve"> below.</w:t>
      </w:r>
    </w:p>
    <w:p w14:paraId="46139292" w14:textId="77777777" w:rsidR="002B14F1" w:rsidRDefault="002B14F1" w:rsidP="0025575E">
      <w:pPr>
        <w:ind w:firstLine="360"/>
        <w:jc w:val="both"/>
        <w:rPr>
          <w:rFonts w:asciiTheme="majorHAnsi" w:hAnsiTheme="majorHAnsi"/>
        </w:rPr>
      </w:pPr>
      <w:r>
        <w:rPr>
          <w:rFonts w:asciiTheme="majorHAnsi" w:hAnsiTheme="majorHAnsi"/>
          <w:noProof/>
          <w:lang w:val="en-US" w:eastAsia="en-US"/>
        </w:rPr>
        <w:drawing>
          <wp:anchor distT="0" distB="0" distL="114300" distR="114300" simplePos="0" relativeHeight="251681280" behindDoc="0" locked="0" layoutInCell="1" allowOverlap="1" wp14:anchorId="133981C7" wp14:editId="230943A7">
            <wp:simplePos x="0" y="0"/>
            <wp:positionH relativeFrom="column">
              <wp:posOffset>1638123</wp:posOffset>
            </wp:positionH>
            <wp:positionV relativeFrom="paragraph">
              <wp:posOffset>106591</wp:posOffset>
            </wp:positionV>
            <wp:extent cx="3060546" cy="2090782"/>
            <wp:effectExtent l="19050" t="0" r="6504"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jpg"/>
                    <pic:cNvPicPr/>
                  </pic:nvPicPr>
                  <pic:blipFill>
                    <a:blip r:embed="rId16">
                      <a:extLst>
                        <a:ext uri="{28A0092B-C50C-407E-A947-70E740481C1C}">
                          <a14:useLocalDpi xmlns:a14="http://schemas.microsoft.com/office/drawing/2010/main" val="0"/>
                        </a:ext>
                      </a:extLst>
                    </a:blip>
                    <a:stretch>
                      <a:fillRect/>
                    </a:stretch>
                  </pic:blipFill>
                  <pic:spPr>
                    <a:xfrm>
                      <a:off x="0" y="0"/>
                      <a:ext cx="3060546" cy="2090782"/>
                    </a:xfrm>
                    <a:prstGeom prst="rect">
                      <a:avLst/>
                    </a:prstGeom>
                  </pic:spPr>
                </pic:pic>
              </a:graphicData>
            </a:graphic>
          </wp:anchor>
        </w:drawing>
      </w:r>
    </w:p>
    <w:p w14:paraId="77EACD0B" w14:textId="77777777" w:rsidR="0025575E" w:rsidRPr="0025575E" w:rsidRDefault="0025575E" w:rsidP="0025575E">
      <w:pPr>
        <w:jc w:val="both"/>
        <w:rPr>
          <w:rFonts w:asciiTheme="majorHAnsi" w:hAnsiTheme="majorHAnsi"/>
        </w:rPr>
      </w:pPr>
    </w:p>
    <w:p w14:paraId="05C90F51" w14:textId="77777777" w:rsidR="0025575E" w:rsidRPr="0025575E" w:rsidRDefault="0025575E" w:rsidP="0025575E">
      <w:pPr>
        <w:jc w:val="both"/>
        <w:rPr>
          <w:rFonts w:asciiTheme="majorHAnsi" w:hAnsiTheme="majorHAnsi"/>
        </w:rPr>
      </w:pPr>
    </w:p>
    <w:p w14:paraId="0D5D54B2" w14:textId="77777777" w:rsidR="0025575E" w:rsidRDefault="0025575E" w:rsidP="0025575E">
      <w:pPr>
        <w:jc w:val="both"/>
        <w:rPr>
          <w:rFonts w:asciiTheme="majorHAnsi" w:hAnsiTheme="majorHAnsi"/>
        </w:rPr>
      </w:pPr>
    </w:p>
    <w:p w14:paraId="5086E1F7" w14:textId="77777777" w:rsidR="0025575E" w:rsidRDefault="0025575E" w:rsidP="0025575E">
      <w:pPr>
        <w:jc w:val="both"/>
        <w:rPr>
          <w:rFonts w:asciiTheme="majorHAnsi" w:hAnsiTheme="majorHAnsi"/>
        </w:rPr>
      </w:pPr>
    </w:p>
    <w:p w14:paraId="6197AE80" w14:textId="77777777" w:rsidR="0025575E" w:rsidRDefault="0025575E" w:rsidP="0025575E">
      <w:pPr>
        <w:jc w:val="both"/>
        <w:rPr>
          <w:rFonts w:asciiTheme="majorHAnsi" w:hAnsiTheme="majorHAnsi"/>
        </w:rPr>
      </w:pPr>
    </w:p>
    <w:p w14:paraId="130E4250" w14:textId="77777777" w:rsidR="0025575E" w:rsidRDefault="0025575E" w:rsidP="0025575E">
      <w:pPr>
        <w:jc w:val="both"/>
        <w:rPr>
          <w:rFonts w:asciiTheme="majorHAnsi" w:hAnsiTheme="majorHAnsi"/>
        </w:rPr>
      </w:pPr>
    </w:p>
    <w:p w14:paraId="2512BA6D" w14:textId="77777777" w:rsidR="0025575E" w:rsidRDefault="0025575E" w:rsidP="0025575E">
      <w:pPr>
        <w:jc w:val="both"/>
        <w:rPr>
          <w:rFonts w:asciiTheme="majorHAnsi" w:hAnsiTheme="majorHAnsi"/>
        </w:rPr>
      </w:pPr>
    </w:p>
    <w:p w14:paraId="5A86A663" w14:textId="77777777" w:rsidR="0025575E" w:rsidRDefault="0025575E" w:rsidP="0025575E">
      <w:pPr>
        <w:jc w:val="both"/>
        <w:rPr>
          <w:rFonts w:asciiTheme="majorHAnsi" w:hAnsiTheme="majorHAnsi"/>
        </w:rPr>
      </w:pPr>
    </w:p>
    <w:p w14:paraId="7AAA060B" w14:textId="77777777" w:rsidR="000E2C37" w:rsidRPr="0025575E" w:rsidRDefault="000E2C37" w:rsidP="0025575E">
      <w:pPr>
        <w:jc w:val="both"/>
        <w:rPr>
          <w:rFonts w:asciiTheme="majorHAnsi" w:hAnsiTheme="majorHAnsi"/>
        </w:rPr>
      </w:pPr>
    </w:p>
    <w:p w14:paraId="67B6CB48" w14:textId="77777777" w:rsidR="0025575E" w:rsidRPr="0025575E" w:rsidRDefault="0025575E" w:rsidP="0025575E">
      <w:pPr>
        <w:jc w:val="both"/>
        <w:rPr>
          <w:rFonts w:asciiTheme="majorHAnsi" w:hAnsiTheme="majorHAnsi"/>
        </w:rPr>
      </w:pPr>
    </w:p>
    <w:p w14:paraId="6AA16996" w14:textId="77777777" w:rsidR="0025575E" w:rsidRPr="0025575E" w:rsidRDefault="0025575E" w:rsidP="0025575E">
      <w:pPr>
        <w:jc w:val="both"/>
        <w:rPr>
          <w:rFonts w:asciiTheme="majorHAnsi" w:hAnsiTheme="majorHAnsi"/>
        </w:rPr>
      </w:pPr>
    </w:p>
    <w:p w14:paraId="4D5C96ED" w14:textId="77777777" w:rsidR="0025575E" w:rsidRPr="0025575E" w:rsidRDefault="0025575E" w:rsidP="0025575E">
      <w:pPr>
        <w:jc w:val="both"/>
        <w:rPr>
          <w:rFonts w:asciiTheme="majorHAnsi" w:hAnsiTheme="majorHAnsi"/>
        </w:rPr>
      </w:pPr>
    </w:p>
    <w:p w14:paraId="7416F077" w14:textId="77777777" w:rsidR="0025575E" w:rsidRDefault="0025575E" w:rsidP="0025575E">
      <w:pPr>
        <w:jc w:val="center"/>
        <w:rPr>
          <w:rFonts w:asciiTheme="majorHAnsi" w:hAnsiTheme="majorHAnsi"/>
          <w:sz w:val="22"/>
        </w:rPr>
      </w:pPr>
      <w:r w:rsidRPr="0025575E">
        <w:rPr>
          <w:rFonts w:asciiTheme="majorHAnsi" w:hAnsiTheme="majorHAnsi"/>
          <w:b/>
          <w:sz w:val="22"/>
        </w:rPr>
        <w:t xml:space="preserve">Figure </w:t>
      </w:r>
      <w:r w:rsidR="002B14F1">
        <w:rPr>
          <w:rFonts w:asciiTheme="majorHAnsi" w:hAnsiTheme="majorHAnsi"/>
          <w:b/>
          <w:sz w:val="22"/>
        </w:rPr>
        <w:t>2</w:t>
      </w:r>
      <w:r w:rsidRPr="0025575E">
        <w:rPr>
          <w:rFonts w:asciiTheme="majorHAnsi" w:hAnsiTheme="majorHAnsi"/>
          <w:b/>
          <w:sz w:val="22"/>
        </w:rPr>
        <w:t>.</w:t>
      </w:r>
      <w:r w:rsidRPr="0025575E">
        <w:rPr>
          <w:rFonts w:asciiTheme="majorHAnsi" w:hAnsiTheme="majorHAnsi"/>
          <w:sz w:val="22"/>
        </w:rPr>
        <w:t xml:space="preserve"> Inquiry Co-operation Model Componen</w:t>
      </w:r>
      <w:r>
        <w:rPr>
          <w:rFonts w:asciiTheme="majorHAnsi" w:hAnsiTheme="majorHAnsi"/>
          <w:sz w:val="22"/>
        </w:rPr>
        <w:t>ts</w:t>
      </w:r>
      <w:r w:rsidRPr="0025575E">
        <w:rPr>
          <w:rFonts w:asciiTheme="majorHAnsi" w:hAnsiTheme="majorHAnsi"/>
          <w:sz w:val="22"/>
        </w:rPr>
        <w:t xml:space="preserve"> [</w:t>
      </w:r>
      <w:proofErr w:type="spellStart"/>
      <w:r w:rsidRPr="0025575E">
        <w:rPr>
          <w:rFonts w:asciiTheme="majorHAnsi" w:hAnsiTheme="majorHAnsi"/>
          <w:sz w:val="22"/>
        </w:rPr>
        <w:t>AlrØ&amp;Skovsmose</w:t>
      </w:r>
      <w:proofErr w:type="spellEnd"/>
      <w:r w:rsidR="00DC41E2">
        <w:rPr>
          <w:rFonts w:asciiTheme="majorHAnsi" w:hAnsiTheme="majorHAnsi"/>
          <w:sz w:val="22"/>
        </w:rPr>
        <w:fldChar w:fldCharType="begin" w:fldLock="1"/>
      </w:r>
      <w:r w:rsidR="006B310A">
        <w:rPr>
          <w:rFonts w:asciiTheme="majorHAnsi" w:hAnsiTheme="majorHAnsi"/>
          <w:sz w:val="22"/>
        </w:rPr>
        <w:instrText>ADDIN CSL_CITATION {"citationItems":[{"id":"ITEM-1","itemData":{"author":[{"dropping-particle":"","family":"AlrØ","given":"H","non-dropping-particle":"","parse-names":false,"suffix":""},{"dropping-particle":"","family":"Skovsmose","given":"O","non-dropping-particle":"","parse-names":false,"suffix":""}],"id":"ITEM-1","issued":{"date-parts":[["2002"]]},"publisher":"Kluwer Academic Publisher","publisher-place":"New York","title":"Dialogue and Learning in Mathematics Education","type":"book"},"locator":"63","suppress-author":1,"uris":["http://www.mendeley.com/documents/?uuid=3dc24171-9cf6-483c-a84a-27fec9fccf5c"]}],"mendeley":{"formattedCitation":"(2002, p. 63)","plainTextFormattedCitation":"(2002, p. 63)","previouslyFormattedCitation":"(2002, p. 63)"},"properties":{"noteIndex":0},"schema":"https://github.com/citation-style-language/schema/raw/master/csl-citation.json"}</w:instrText>
      </w:r>
      <w:r w:rsidR="00DC41E2">
        <w:rPr>
          <w:rFonts w:asciiTheme="majorHAnsi" w:hAnsiTheme="majorHAnsi"/>
          <w:sz w:val="22"/>
        </w:rPr>
        <w:fldChar w:fldCharType="separate"/>
      </w:r>
      <w:r w:rsidR="00FF04CE" w:rsidRPr="00FF04CE">
        <w:rPr>
          <w:rFonts w:asciiTheme="majorHAnsi" w:hAnsiTheme="majorHAnsi"/>
          <w:noProof/>
          <w:sz w:val="22"/>
        </w:rPr>
        <w:t>(2002, p. 63)</w:t>
      </w:r>
      <w:r w:rsidR="00DC41E2">
        <w:rPr>
          <w:rFonts w:asciiTheme="majorHAnsi" w:hAnsiTheme="majorHAnsi"/>
          <w:sz w:val="22"/>
        </w:rPr>
        <w:fldChar w:fldCharType="end"/>
      </w:r>
      <w:r w:rsidRPr="0025575E">
        <w:rPr>
          <w:rFonts w:asciiTheme="majorHAnsi" w:hAnsiTheme="majorHAnsi"/>
          <w:sz w:val="22"/>
        </w:rPr>
        <w:t>]</w:t>
      </w:r>
    </w:p>
    <w:p w14:paraId="2F13F46D" w14:textId="77777777" w:rsidR="002F4690" w:rsidRPr="0025575E" w:rsidRDefault="002F4690" w:rsidP="0025575E">
      <w:pPr>
        <w:jc w:val="center"/>
        <w:rPr>
          <w:rFonts w:asciiTheme="majorHAnsi" w:hAnsiTheme="majorHAnsi"/>
          <w:sz w:val="22"/>
        </w:rPr>
      </w:pPr>
    </w:p>
    <w:p w14:paraId="2B94C25B" w14:textId="77777777" w:rsidR="0025575E" w:rsidRDefault="002F4690" w:rsidP="002F4690">
      <w:pPr>
        <w:ind w:firstLine="360"/>
        <w:jc w:val="both"/>
        <w:rPr>
          <w:rFonts w:asciiTheme="majorHAnsi" w:hAnsiTheme="majorHAnsi"/>
        </w:rPr>
      </w:pPr>
      <w:r w:rsidRPr="0025575E">
        <w:rPr>
          <w:rFonts w:asciiTheme="majorHAnsi" w:hAnsiTheme="majorHAnsi"/>
        </w:rPr>
        <w:t xml:space="preserve">Referring to Figure 1, it appears that eight ICM components facilitate the relationship between students and teachers. So that students are active in expressing their perspectives, </w:t>
      </w:r>
      <w:r w:rsidRPr="0025575E">
        <w:rPr>
          <w:rFonts w:asciiTheme="majorHAnsi" w:hAnsiTheme="majorHAnsi"/>
        </w:rPr>
        <w:lastRenderedPageBreak/>
        <w:t>formulating concepts, and solving mathematical problems. A more detailed description of the eight ICM components is as follows.</w:t>
      </w:r>
    </w:p>
    <w:p w14:paraId="04F0DED9" w14:textId="77777777" w:rsidR="00286CD6" w:rsidRPr="00AD3C84" w:rsidRDefault="00286CD6" w:rsidP="00286CD6">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Getting in Contact</w:t>
      </w:r>
    </w:p>
    <w:p w14:paraId="27A1F0BE" w14:textId="77777777" w:rsidR="0025575E" w:rsidRDefault="0025575E" w:rsidP="00286CD6">
      <w:pPr>
        <w:pStyle w:val="IEEEParagraph"/>
        <w:spacing w:line="23" w:lineRule="atLeast"/>
        <w:ind w:left="567" w:firstLine="360"/>
        <w:rPr>
          <w:rFonts w:asciiTheme="majorHAnsi" w:hAnsiTheme="majorHAnsi"/>
        </w:rPr>
      </w:pPr>
      <w:r w:rsidRPr="0025575E">
        <w:rPr>
          <w:rFonts w:asciiTheme="majorHAnsi" w:hAnsiTheme="majorHAnsi"/>
        </w:rPr>
        <w:t>Students are given mathematical problems. Then, students use the knowledge they have in collaboration with other students carrying out the process of inquiry and problem-solving. The component of getting in contact is in line with Piaget's theory  that students develop knowledge through schemes contained in cognitive structures</w:t>
      </w:r>
      <w:r w:rsidR="00DC41E2">
        <w:rPr>
          <w:rFonts w:asciiTheme="majorHAnsi" w:hAnsiTheme="majorHAnsi"/>
        </w:rPr>
        <w:fldChar w:fldCharType="begin" w:fldLock="1"/>
      </w:r>
      <w:r w:rsidR="006B310A">
        <w:rPr>
          <w:rFonts w:asciiTheme="majorHAnsi" w:hAnsiTheme="majorHAnsi"/>
        </w:rPr>
        <w:instrText>ADDIN CSL_CITATION {"citationItems":[{"id":"ITEM-1","itemData":{"author":[{"dropping-particle":"","family":"Santrock","given":"J. W","non-dropping-particle":"","parse-names":false,"suffix":""}],"id":"ITEM-1","issued":{"date-parts":[["2014"]]},"publisher":"Erlangga","publisher-place":"Jakarta","title":"Perkembangan Masa Hidup","type":"book"},"locator":"168","uris":["http://www.mendeley.com/documents/?uuid=e43f258e-8e80-44c2-ad87-7841609c7685"]}],"mendeley":{"formattedCitation":"(Santrock, 2014, p. 168)","plainTextFormattedCitation":"(Santrock, 2014, p. 168)","previouslyFormattedCitation":"(Santrock, 2014, p. 168)"},"properties":{"noteIndex":0},"schema":"https://github.com/citation-style-language/schema/raw/master/csl-citation.json"}</w:instrText>
      </w:r>
      <w:r w:rsidR="00DC41E2">
        <w:rPr>
          <w:rFonts w:asciiTheme="majorHAnsi" w:hAnsiTheme="majorHAnsi"/>
        </w:rPr>
        <w:fldChar w:fldCharType="separate"/>
      </w:r>
      <w:r w:rsidR="006B310A" w:rsidRPr="006B310A">
        <w:rPr>
          <w:rFonts w:asciiTheme="majorHAnsi" w:hAnsiTheme="majorHAnsi"/>
          <w:noProof/>
        </w:rPr>
        <w:t>(Santrock, 2014, p. 168)</w:t>
      </w:r>
      <w:r w:rsidR="00DC41E2">
        <w:rPr>
          <w:rFonts w:asciiTheme="majorHAnsi" w:hAnsiTheme="majorHAnsi"/>
        </w:rPr>
        <w:fldChar w:fldCharType="end"/>
      </w:r>
      <w:r w:rsidRPr="0025575E">
        <w:rPr>
          <w:rFonts w:asciiTheme="majorHAnsi" w:hAnsiTheme="majorHAnsi"/>
        </w:rPr>
        <w:t xml:space="preserve">. </w:t>
      </w:r>
      <w:r w:rsidR="005E45DB">
        <w:rPr>
          <w:rFonts w:asciiTheme="majorHAnsi" w:hAnsiTheme="majorHAnsi"/>
        </w:rPr>
        <w:t>The s</w:t>
      </w:r>
      <w:r w:rsidRPr="0025575E">
        <w:rPr>
          <w:rFonts w:asciiTheme="majorHAnsi" w:hAnsiTheme="majorHAnsi"/>
        </w:rPr>
        <w:t>chemes will develop and be renewed through the process of assimilation (the process of inserting new knowledge into the schemes contained in the cognitive structure that students already have) and accommodation (the process of adjusting the schemes that students have to process new knowledge). Thus, learning not only accepts new knowledge</w:t>
      </w:r>
      <w:r w:rsidR="005E45DB">
        <w:rPr>
          <w:rFonts w:asciiTheme="majorHAnsi" w:hAnsiTheme="majorHAnsi"/>
        </w:rPr>
        <w:t>,</w:t>
      </w:r>
      <w:r w:rsidRPr="0025575E">
        <w:rPr>
          <w:rFonts w:asciiTheme="majorHAnsi" w:hAnsiTheme="majorHAnsi"/>
        </w:rPr>
        <w:t xml:space="preserve"> but also there is a process of rearranging old knowledge to accommodate new knowledge</w:t>
      </w:r>
      <w:r w:rsidR="00DC41E2">
        <w:rPr>
          <w:rFonts w:asciiTheme="majorHAnsi" w:hAnsiTheme="majorHAnsi"/>
        </w:rPr>
        <w:fldChar w:fldCharType="begin" w:fldLock="1"/>
      </w:r>
      <w:r w:rsidR="000D0A8F">
        <w:rPr>
          <w:rFonts w:asciiTheme="majorHAnsi" w:hAnsiTheme="majorHAnsi"/>
        </w:rPr>
        <w:instrText>ADDIN CSL_CITATION {"citationItems":[{"id":"ITEM-1","itemData":{"DOI":"10.1016/j.dr.2015.07.004","ISBN":"0041223799","ISSN":"02732297","abstract":"At the occasion of their fortieth anniversary, the Archives Jean Piaget, a foundation created by B??rbel Inhelder in 1974 for the preservation and promulgation of Piaget's oeuvre, invited in Geneva ten among the most prominent and influential developmental psychologists to the first Jean Piaget Conferences. Cognitive developmental psychology has undergone radical changes during these last four decades since the last formulations of Piaget's constructivism. In this double special issue, the invitees of the Jean Piaget Conferences elaborate on their own conception of developmental changes in a variety of domains and functions, offering a comprehensive overview of current theories of cognitive development.","author":[{"dropping-particle":"","family":"Barrouillet","given":"Pierre","non-dropping-particle":"","parse-names":false,"suffix":""}],"container-title":"Developmental Review","id":"ITEM-1","issued":{"date-parts":[["2015"]]},"page":"1-12","publisher":"Elsevier Inc.","title":"Theories of cognitive development: From Piaget to today","type":"article-journal","volume":"38"},"uris":["http://www.mendeley.com/documents/?uuid=d8bb107b-ffd0-49a4-8b2c-345973b402e0"]},{"id":"ITEM-2","itemData":{"DOI":"10.1016/j.dr.2015.07.003","ISBN":"0273-2297","ISSN":"02732297","abstract":"Piaget's body of work had two major theoretical thrusts: constructivism and stage theory. Both constructivism and stage theories articulate modern work on conceptual development, albeit transformed by developments in cognitive science and cognitive neuroscience. A case study of conceptual change in childhood within a framework theory of intuitive biology illustrates these points.","author":[{"dropping-particle":"","family":"Carey","given":"Susan","non-dropping-particle":"","parse-names":false,"suffix":""},{"dropping-particle":"","family":"Zaitchik","given":"Deborah","non-dropping-particle":"","parse-names":false,"suffix":""},{"dropping-particle":"","family":"Bascandziev","given":"Igor","non-dropping-particle":"","parse-names":false,"suffix":""}],"container-title":"Developmental Review","id":"ITEM-2","issued":{"date-parts":[["2015"]]},"page":"36-54","title":"Theories of development: In dialog with Jean Piaget","type":"article-journal","volume":"38"},"uris":["http://www.mendeley.com/documents/?uuid=29f107a4-702c-4ecc-8376-63ec0b41c2e6"]},{"id":"ITEM-3","itemData":{"DOI":"10.1016/j.paid.2016.03.098","ISSN":"01918869","abstract":"Jean Piaget applied his developmental psychology to describe mind and reason of archaic humans and ancient philosophers. He studied children to have a scientific instrument for the research of the psychological development of the whole humankind from the Stone Ages over ancient civilizations to modernity. However, he never wrote a comprehensive monograph regarding this subject, apart from his books on the reconstruction of the history of sciences. Usually, he made the comparisons of children and historical phenomena by inserting some remarks in his books about children's psyche. This article collects these remarks and shows that they cover all relevant subjects regarding the child's psyche including logic, physics, social issues, morals, and politics. It is argued that Piaget himself was insecure on how to develop a general theory of the psychological development of the humankind. That is the reason why he did refrain from investing more research in this transfer work. The article shows, however, that it is possible and necessary to develop such a theory in order to enhance the future development of the humanities and the social sciences. Without this knowledge it is impossible to reconstruct the history of psyche, reason, culture, sciences, philosophy, law, religion, morals, politics, etc.","author":[{"dropping-particle":"","family":"Oesterdiekhoff","given":"Georg W.","non-dropping-particle":"","parse-names":false,"suffix":""}],"container-title":"Personality and Individual Differences","id":"ITEM-3","issued":{"date-parts":[["2016"]]},"page":"118-126","publisher":"Elsevier Ltd","title":"Is a forgotten subject central to the future development of sciences? Jean Piaget on the interrelationship between ontogeny and history","type":"article-journal","volume":"98"},"uris":["http://www.mendeley.com/documents/?uuid=927336b0-6576-467c-8ffb-22d6c319613b"]}],"mendeley":{"formattedCitation":"(Barrouillet, 2015; Carey et al., 2015; Oesterdiekhoff, 2016)","plainTextFormattedCitation":"(Barrouillet, 2015; Carey et al., 2015; Oesterdiekhoff, 2016)","previouslyFormattedCitation":"(Barrouillet, 2015; Carey et al., 2015; Oesterdiekhoff, 2016)"},"properties":{"noteIndex":0},"schema":"https://github.com/citation-style-language/schema/raw/master/csl-citation.json"}</w:instrText>
      </w:r>
      <w:r w:rsidR="00DC41E2">
        <w:rPr>
          <w:rFonts w:asciiTheme="majorHAnsi" w:hAnsiTheme="majorHAnsi"/>
        </w:rPr>
        <w:fldChar w:fldCharType="separate"/>
      </w:r>
      <w:r w:rsidR="000D0A8F" w:rsidRPr="000D0A8F">
        <w:rPr>
          <w:rFonts w:asciiTheme="majorHAnsi" w:hAnsiTheme="majorHAnsi"/>
          <w:noProof/>
        </w:rPr>
        <w:t>(Barrouillet, 2015; Carey et al., 2015; Oesterdiekhoff, 2016)</w:t>
      </w:r>
      <w:r w:rsidR="00DC41E2">
        <w:rPr>
          <w:rFonts w:asciiTheme="majorHAnsi" w:hAnsiTheme="majorHAnsi"/>
        </w:rPr>
        <w:fldChar w:fldCharType="end"/>
      </w:r>
      <w:r w:rsidRPr="0025575E">
        <w:rPr>
          <w:rFonts w:asciiTheme="majorHAnsi" w:hAnsiTheme="majorHAnsi"/>
        </w:rPr>
        <w:t>.</w:t>
      </w:r>
    </w:p>
    <w:p w14:paraId="0A9D6E8F" w14:textId="77777777" w:rsidR="0055142F" w:rsidRPr="00AD3C84" w:rsidRDefault="0055142F" w:rsidP="0055142F">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Locating</w:t>
      </w:r>
    </w:p>
    <w:p w14:paraId="54A72D01" w14:textId="77777777" w:rsidR="0025575E" w:rsidRDefault="0025575E" w:rsidP="0055142F">
      <w:pPr>
        <w:pStyle w:val="IEEEParagraph"/>
        <w:spacing w:line="23" w:lineRule="atLeast"/>
        <w:ind w:left="567" w:firstLine="360"/>
        <w:rPr>
          <w:rFonts w:asciiTheme="majorHAnsi" w:hAnsiTheme="majorHAnsi"/>
        </w:rPr>
      </w:pPr>
      <w:r w:rsidRPr="0025575E">
        <w:rPr>
          <w:rFonts w:asciiTheme="majorHAnsi" w:hAnsiTheme="majorHAnsi"/>
        </w:rPr>
        <w:t>Students bring up hypothetical ideas or questions that lead to the possibility of solving mathematical problems.</w:t>
      </w:r>
    </w:p>
    <w:p w14:paraId="2C765D06" w14:textId="77777777" w:rsidR="00617C9B" w:rsidRPr="00AD3C84" w:rsidRDefault="00617C9B" w:rsidP="00617C9B">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Identifying</w:t>
      </w:r>
    </w:p>
    <w:p w14:paraId="53DB8AF7" w14:textId="77777777" w:rsidR="0025575E" w:rsidRDefault="0025575E" w:rsidP="00617C9B">
      <w:pPr>
        <w:pStyle w:val="IEEEParagraph"/>
        <w:spacing w:line="23" w:lineRule="atLeast"/>
        <w:ind w:left="567" w:firstLine="360"/>
        <w:rPr>
          <w:rFonts w:asciiTheme="majorHAnsi" w:hAnsiTheme="majorHAnsi"/>
        </w:rPr>
      </w:pPr>
      <w:r w:rsidRPr="0025575E">
        <w:rPr>
          <w:rFonts w:asciiTheme="majorHAnsi" w:hAnsiTheme="majorHAnsi"/>
        </w:rPr>
        <w:t>Students identify things that are known and asked in mathematical problems. Identif</w:t>
      </w:r>
      <w:r w:rsidR="005E45DB">
        <w:rPr>
          <w:rFonts w:asciiTheme="majorHAnsi" w:hAnsiTheme="majorHAnsi"/>
        </w:rPr>
        <w:t>ying</w:t>
      </w:r>
      <w:r w:rsidR="0028680C">
        <w:rPr>
          <w:rFonts w:asciiTheme="majorHAnsi" w:hAnsiTheme="majorHAnsi"/>
        </w:rPr>
        <w:t xml:space="preserve"> </w:t>
      </w:r>
      <w:r w:rsidR="005E45DB">
        <w:rPr>
          <w:rFonts w:asciiTheme="majorHAnsi" w:hAnsiTheme="majorHAnsi"/>
        </w:rPr>
        <w:t xml:space="preserve">an </w:t>
      </w:r>
      <w:r w:rsidRPr="0025575E">
        <w:rPr>
          <w:rFonts w:asciiTheme="majorHAnsi" w:hAnsiTheme="majorHAnsi"/>
        </w:rPr>
        <w:t>information is used to determine problem-solving strategies.</w:t>
      </w:r>
    </w:p>
    <w:p w14:paraId="286F1321" w14:textId="77777777" w:rsidR="00A20729" w:rsidRPr="00AD3C84" w:rsidRDefault="00A20729" w:rsidP="00A20729">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Advocating</w:t>
      </w:r>
    </w:p>
    <w:p w14:paraId="483D93F5" w14:textId="77777777" w:rsidR="0025575E" w:rsidRDefault="0025575E" w:rsidP="00A20729">
      <w:pPr>
        <w:pStyle w:val="IEEEParagraph"/>
        <w:spacing w:line="23" w:lineRule="atLeast"/>
        <w:ind w:left="567" w:firstLine="360"/>
        <w:rPr>
          <w:rFonts w:asciiTheme="majorHAnsi" w:hAnsiTheme="majorHAnsi"/>
        </w:rPr>
      </w:pPr>
      <w:r w:rsidRPr="0025575E">
        <w:rPr>
          <w:rFonts w:asciiTheme="majorHAnsi" w:hAnsiTheme="majorHAnsi"/>
        </w:rPr>
        <w:t>Prompts can be implemented by teachers or students</w:t>
      </w:r>
      <w:r w:rsidR="00DC41E2">
        <w:rPr>
          <w:rFonts w:asciiTheme="majorHAnsi" w:hAnsiTheme="majorHAnsi"/>
        </w:rPr>
        <w:fldChar w:fldCharType="begin" w:fldLock="1"/>
      </w:r>
      <w:r w:rsidR="000D0A8F">
        <w:rPr>
          <w:rFonts w:asciiTheme="majorHAnsi" w:hAnsiTheme="majorHAnsi"/>
        </w:rPr>
        <w:instrText>ADDIN CSL_CITATION {"citationItems":[{"id":"ITEM-1","itemData":{"author":[{"dropping-particle":"","family":"Hsu","given":"Y. S","non-dropping-particle":"","parse-names":false,"suffix":""},{"dropping-particle":"","family":"Wang","given":"C.","non-dropping-particle":"","parse-names":false,"suffix":""},{"dropping-particle":"","family":"YZhang","given":"W. X","non-dropping-particle":"","parse-names":false,"suffix":""}],"container-title":"Journal Computers in Human Behavior","id":"ITEM-1","issued":{"date-parts":[["2016"]]},"title":"Supporting Technology-Enhanced Inquiry through Metacognitive and Cognitive Prompts: Sequential Analysis of Metacognitive Actions in Response to Mixed Prompts","type":"article-journal"},"uris":["http://www.mendeley.com/documents/?uuid=0df3da70-36e8-477a-bb17-998205571ef4"]}],"mendeley":{"formattedCitation":"(Hsu et al., 2016)","plainTextFormattedCitation":"(Hsu et al., 2016)","previouslyFormattedCitation":"(Hsu et al., 2016)"},"properties":{"noteIndex":0},"schema":"https://github.com/citation-style-language/schema/raw/master/csl-citation.json"}</w:instrText>
      </w:r>
      <w:r w:rsidR="00DC41E2">
        <w:rPr>
          <w:rFonts w:asciiTheme="majorHAnsi" w:hAnsiTheme="majorHAnsi"/>
        </w:rPr>
        <w:fldChar w:fldCharType="separate"/>
      </w:r>
      <w:r w:rsidR="000D0A8F" w:rsidRPr="000D0A8F">
        <w:rPr>
          <w:rFonts w:asciiTheme="majorHAnsi" w:hAnsiTheme="majorHAnsi"/>
          <w:noProof/>
        </w:rPr>
        <w:t>(Hsu et al., 2016)</w:t>
      </w:r>
      <w:r w:rsidR="00DC41E2">
        <w:rPr>
          <w:rFonts w:asciiTheme="majorHAnsi" w:hAnsiTheme="majorHAnsi"/>
        </w:rPr>
        <w:fldChar w:fldCharType="end"/>
      </w:r>
      <w:r w:rsidRPr="0025575E">
        <w:rPr>
          <w:rFonts w:asciiTheme="majorHAnsi" w:hAnsiTheme="majorHAnsi"/>
        </w:rPr>
        <w:t>. Teachers provide guidance when students require it. Also, students can advocate for other students or themselves.</w:t>
      </w:r>
    </w:p>
    <w:p w14:paraId="7D61F5F7" w14:textId="77777777" w:rsidR="00A20729" w:rsidRPr="00AD3C84" w:rsidRDefault="00A20729" w:rsidP="00A20729">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Thinking Aloud</w:t>
      </w:r>
    </w:p>
    <w:p w14:paraId="32260E60" w14:textId="77777777" w:rsidR="0025575E" w:rsidRDefault="0025575E" w:rsidP="00A20729">
      <w:pPr>
        <w:pStyle w:val="IEEEParagraph"/>
        <w:spacing w:line="23" w:lineRule="atLeast"/>
        <w:ind w:left="567" w:firstLine="360"/>
        <w:rPr>
          <w:rFonts w:asciiTheme="majorHAnsi" w:hAnsiTheme="majorHAnsi"/>
        </w:rPr>
      </w:pPr>
      <w:r w:rsidRPr="0025575E">
        <w:rPr>
          <w:rFonts w:asciiTheme="majorHAnsi" w:hAnsiTheme="majorHAnsi"/>
        </w:rPr>
        <w:t>The process of expressing thoughts, ideas, and feelings during the investigation process.</w:t>
      </w:r>
    </w:p>
    <w:p w14:paraId="79024646" w14:textId="77777777" w:rsidR="00F70782" w:rsidRPr="00AD3C84" w:rsidRDefault="00F70782" w:rsidP="00F70782">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Reformulating</w:t>
      </w:r>
    </w:p>
    <w:p w14:paraId="674EDD9E" w14:textId="77777777" w:rsidR="0025575E" w:rsidRDefault="0025575E" w:rsidP="00F70782">
      <w:pPr>
        <w:pStyle w:val="IEEEParagraph"/>
        <w:spacing w:line="23" w:lineRule="atLeast"/>
        <w:ind w:left="567" w:firstLine="360"/>
        <w:rPr>
          <w:rFonts w:asciiTheme="majorHAnsi" w:hAnsiTheme="majorHAnsi"/>
        </w:rPr>
      </w:pPr>
      <w:r w:rsidRPr="0025575E">
        <w:rPr>
          <w:rFonts w:asciiTheme="majorHAnsi" w:hAnsiTheme="majorHAnsi"/>
        </w:rPr>
        <w:t xml:space="preserve">Reformulating has the meaning of repeating what has been done through different words. </w:t>
      </w:r>
      <w:r w:rsidR="00225171">
        <w:rPr>
          <w:rFonts w:asciiTheme="majorHAnsi" w:hAnsiTheme="majorHAnsi"/>
        </w:rPr>
        <w:t>In t</w:t>
      </w:r>
      <w:r w:rsidRPr="0025575E">
        <w:rPr>
          <w:rFonts w:asciiTheme="majorHAnsi" w:hAnsiTheme="majorHAnsi"/>
        </w:rPr>
        <w:t>his stage, students are guided to conclude with their own words and solve mathematical problems.</w:t>
      </w:r>
    </w:p>
    <w:p w14:paraId="5798EFB5" w14:textId="77777777" w:rsidR="00120373" w:rsidRPr="00AD3C84" w:rsidRDefault="00120373" w:rsidP="00120373">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Challenging</w:t>
      </w:r>
    </w:p>
    <w:p w14:paraId="2130CF84" w14:textId="77777777" w:rsidR="0025575E" w:rsidRDefault="0025575E" w:rsidP="00120373">
      <w:pPr>
        <w:pStyle w:val="IEEEParagraph"/>
        <w:spacing w:line="23" w:lineRule="atLeast"/>
        <w:ind w:left="567" w:firstLine="360"/>
        <w:rPr>
          <w:rFonts w:asciiTheme="majorHAnsi" w:hAnsiTheme="majorHAnsi"/>
        </w:rPr>
      </w:pPr>
      <w:r w:rsidRPr="0025575E">
        <w:rPr>
          <w:rFonts w:asciiTheme="majorHAnsi" w:hAnsiTheme="majorHAnsi"/>
        </w:rPr>
        <w:t xml:space="preserve">In this process, there are challenges given to students by providing mathematical problems with a higher level of difficulty. The challenge </w:t>
      </w:r>
      <w:r w:rsidR="00225171">
        <w:rPr>
          <w:rFonts w:asciiTheme="majorHAnsi" w:hAnsiTheme="majorHAnsi"/>
        </w:rPr>
        <w:t xml:space="preserve">is aimed at </w:t>
      </w:r>
      <w:r w:rsidRPr="0025575E">
        <w:rPr>
          <w:rFonts w:asciiTheme="majorHAnsi" w:hAnsiTheme="majorHAnsi"/>
        </w:rPr>
        <w:t xml:space="preserve">students </w:t>
      </w:r>
      <w:r w:rsidR="00225171">
        <w:rPr>
          <w:rFonts w:asciiTheme="majorHAnsi" w:hAnsiTheme="majorHAnsi"/>
        </w:rPr>
        <w:t>to</w:t>
      </w:r>
      <w:r w:rsidRPr="0025575E">
        <w:rPr>
          <w:rFonts w:asciiTheme="majorHAnsi" w:hAnsiTheme="majorHAnsi"/>
        </w:rPr>
        <w:t xml:space="preserve"> not quickly settle for </w:t>
      </w:r>
      <w:r w:rsidR="00225171">
        <w:rPr>
          <w:rFonts w:asciiTheme="majorHAnsi" w:hAnsiTheme="majorHAnsi"/>
        </w:rPr>
        <w:t xml:space="preserve">every </w:t>
      </w:r>
      <w:r w:rsidRPr="0025575E">
        <w:rPr>
          <w:rFonts w:asciiTheme="majorHAnsi" w:hAnsiTheme="majorHAnsi"/>
        </w:rPr>
        <w:t xml:space="preserve">achievement and always try hard to solve other more complex problems. The teacher's role is to support students who have difficulty </w:t>
      </w:r>
      <w:r w:rsidR="00225171">
        <w:rPr>
          <w:rFonts w:asciiTheme="majorHAnsi" w:hAnsiTheme="majorHAnsi"/>
        </w:rPr>
        <w:t xml:space="preserve">in </w:t>
      </w:r>
      <w:r w:rsidRPr="0025575E">
        <w:rPr>
          <w:rFonts w:asciiTheme="majorHAnsi" w:hAnsiTheme="majorHAnsi"/>
        </w:rPr>
        <w:t xml:space="preserve">solving problems. This component is in line with Vygotsky's theories namely the Zone of Proximal Development (ZPD) and scaffolding. ZPD is a range of tasks that are too difficult for students to master independently but can be learned through guidance from teachers or other students who understand better </w:t>
      </w:r>
      <w:r w:rsidR="00DC41E2">
        <w:rPr>
          <w:rFonts w:asciiTheme="majorHAnsi" w:hAnsiTheme="majorHAnsi"/>
        </w:rPr>
        <w:fldChar w:fldCharType="begin" w:fldLock="1"/>
      </w:r>
      <w:r w:rsidR="002500F1">
        <w:rPr>
          <w:rFonts w:asciiTheme="majorHAnsi" w:hAnsiTheme="majorHAnsi"/>
        </w:rPr>
        <w:instrText>ADDIN CSL_CITATION {"citationItems":[{"id":"ITEM-1","itemData":{"author":[{"dropping-particle":"","family":"Stiles","given":"W. B","non-dropping-particle":"","parse-names":false,"suffix":""},{"dropping-particle":"","family":"Caro","given":"G. E","non-dropping-particle":"","parse-names":false,"suffix":""}],"container-title":"Journal Psychotherapy","id":"ITEM-1","issue":"53","issued":{"date-parts":[["2016"]]},"page":"268","title":"Exceeding the Therapeutic Zone of Proximal Development as a Clinical Error","type":"article-journal","volume":"3"},"uris":["http://www.mendeley.com/documents/?uuid=7d6a2aad-85b0-4365-ae55-38f8ecbc693b"]},{"id":"ITEM-2","itemData":{"author":[{"dropping-particle":"","family":"Shooshtari","given":"Zohreh G.","non-dropping-particle":"","parse-names":false,"suffix":""},{"dropping-particle":"","family":"Oshtari","given":"Z. G","non-dropping-particle":"","parse-names":false,"suffix":""},{"dropping-particle":"","family":"Mir","given":"F","non-dropping-particle":"","parse-names":false,"suffix":""}],"container-title":"Journal Procedia - Social and Behavioral Sciences,","id":"ITEM-2","issue":"98","issued":{"date-parts":[["2014"]]},"page":"1771-1776","title":"ZPD, Tutor; Peer Scaffolding: Sociocultural Theory in Writing Strategies Application","type":"article-journal"},"uris":["http://www.mendeley.com/documents/?uuid=f2a94159-fdac-4c44-a662-7afb2e9abcc9"]}],"mendeley":{"formattedCitation":"(Shooshtari et al., 2014; Stiles &amp; Caro, 2016)","plainTextFormattedCitation":"(Shooshtari et al., 2014; Stiles &amp; Caro, 2016)","previouslyFormattedCitation":"(Shooshtari et al., 2014; Stiles &amp; Caro, 2016)"},"properties":{"noteIndex":0},"schema":"https://github.com/citation-style-language/schema/raw/master/csl-citation.json"}</w:instrText>
      </w:r>
      <w:r w:rsidR="00DC41E2">
        <w:rPr>
          <w:rFonts w:asciiTheme="majorHAnsi" w:hAnsiTheme="majorHAnsi"/>
        </w:rPr>
        <w:fldChar w:fldCharType="separate"/>
      </w:r>
      <w:r w:rsidR="000D0A8F" w:rsidRPr="000D0A8F">
        <w:rPr>
          <w:rFonts w:asciiTheme="majorHAnsi" w:hAnsiTheme="majorHAnsi"/>
          <w:noProof/>
        </w:rPr>
        <w:t>(Shooshtari et al., 2014; Stiles &amp; Caro, 2016)</w:t>
      </w:r>
      <w:r w:rsidR="00DC41E2">
        <w:rPr>
          <w:rFonts w:asciiTheme="majorHAnsi" w:hAnsiTheme="majorHAnsi"/>
        </w:rPr>
        <w:fldChar w:fldCharType="end"/>
      </w:r>
      <w:r w:rsidRPr="0025575E">
        <w:rPr>
          <w:rFonts w:asciiTheme="majorHAnsi" w:hAnsiTheme="majorHAnsi"/>
        </w:rPr>
        <w:t xml:space="preserve">. Scaffolding is adjusted </w:t>
      </w:r>
      <w:r w:rsidR="00806F94">
        <w:rPr>
          <w:rFonts w:asciiTheme="majorHAnsi" w:hAnsiTheme="majorHAnsi"/>
        </w:rPr>
        <w:t>direction</w:t>
      </w:r>
      <w:r w:rsidRPr="0025575E">
        <w:rPr>
          <w:rFonts w:asciiTheme="majorHAnsi" w:hAnsiTheme="majorHAnsi"/>
        </w:rPr>
        <w:t xml:space="preserve"> in guiding students who have difficulty</w:t>
      </w:r>
      <w:r w:rsidR="00DC41E2">
        <w:rPr>
          <w:rFonts w:asciiTheme="majorHAnsi" w:hAnsiTheme="majorHAnsi"/>
        </w:rPr>
        <w:fldChar w:fldCharType="begin" w:fldLock="1"/>
      </w:r>
      <w:r w:rsidR="00CC131B">
        <w:rPr>
          <w:rFonts w:asciiTheme="majorHAnsi" w:hAnsiTheme="majorHAnsi"/>
        </w:rPr>
        <w:instrText>ADDIN CSL_CITATION {"citationItems":[{"id":"ITEM-1","itemData":{"DOI":"10.1016/j.jssr.2017.04.003","ISSN":"0885985X","author":[{"dropping-particle":"","family":"Howell","given":"James B.","non-dropping-particle":"","parse-names":false,"suffix":""},{"dropping-particle":"","family":"Saye","given":"John W.","non-dropping-particle":"","parse-names":false,"suffix":""}],"container-title":"The Journal of Social Studies Research","id":"ITEM-1","issued":{"date-parts":[["2017"]]},"publisher":"Elsevier Inc.","title":"Integrating theory and practice: Factors shaping elementary teachers</w:instrText>
      </w:r>
      <w:r w:rsidR="00CC131B">
        <w:rPr>
          <w:rFonts w:asciiTheme="majorHAnsi" w:hAnsiTheme="majorHAnsi" w:hint="cs"/>
          <w:rtl/>
          <w:lang w:bidi="he-IL"/>
        </w:rPr>
        <w:instrText>׳</w:instrText>
      </w:r>
      <w:r w:rsidR="00CC131B">
        <w:rPr>
          <w:rFonts w:asciiTheme="majorHAnsi" w:hAnsiTheme="majorHAnsi"/>
        </w:rPr>
        <w:instrText xml:space="preserve"> interpretation of an inquiry model for teaching social studies","type":"article-journal"},"uris":["http://www.mendeley.com/documents/?uuid=88c1a991-4e13-49a9-8822-8621d39acbbf"]},{"id":"ITEM-2","itemData":{"author":[{"dropping-particle":"","family":"Cooper","given":"J. L","non-dropping-particle":"","parse-names":false,"suffix":""},{"dropping-particle":"","family":"Robinson","given":"P","non-dropping-particle":"","parse-names":false,"suffix":""}],"container-title":"Journal on Excellence in College Teaching","id":"ITEM-2","issue":"25","issued":{"date-parts":[["2014"]]},"page":"149-161","title":"Using Classroom Assessment and Cognitive Scaffolding to Enhance the Power of Small-Group Learning.","type":"article-journal"},"uris":["http://www.mendeley.com/documents/?uuid=1ef603f2-146c-43de-96a3-e609d0264064"]}],"mendeley":{"formattedCitation":"(Cooper &amp; Robinson, 2014; Howell &amp; Saye, 2017)","plainTextFormattedCitation":"(Cooper &amp; Robinson, 2014; Howell &amp; Saye, 2017)","previouslyFormattedCitation":"(Cooper &amp; Robinson, 2014; Howell &amp; Saye, 2017)"},"properties":{"noteIndex":0},"schema":"https://github.com/citation-style-language/schema/raw/master/csl-citation.json"}</w:instrText>
      </w:r>
      <w:r w:rsidR="00DC41E2">
        <w:rPr>
          <w:rFonts w:asciiTheme="majorHAnsi" w:hAnsiTheme="majorHAnsi"/>
        </w:rPr>
        <w:fldChar w:fldCharType="separate"/>
      </w:r>
      <w:r w:rsidR="002500F1" w:rsidRPr="002500F1">
        <w:rPr>
          <w:rFonts w:asciiTheme="majorHAnsi" w:hAnsiTheme="majorHAnsi"/>
          <w:noProof/>
        </w:rPr>
        <w:t>(Cooper &amp; Robinson, 2014; Howell &amp; Saye, 2017)</w:t>
      </w:r>
      <w:r w:rsidR="00DC41E2">
        <w:rPr>
          <w:rFonts w:asciiTheme="majorHAnsi" w:hAnsiTheme="majorHAnsi"/>
        </w:rPr>
        <w:fldChar w:fldCharType="end"/>
      </w:r>
      <w:r w:rsidRPr="0025575E">
        <w:rPr>
          <w:rFonts w:asciiTheme="majorHAnsi" w:hAnsiTheme="majorHAnsi"/>
        </w:rPr>
        <w:t>.</w:t>
      </w:r>
    </w:p>
    <w:p w14:paraId="6895CFD8" w14:textId="77777777" w:rsidR="00120373" w:rsidRPr="00AD3C84" w:rsidRDefault="00120373" w:rsidP="00120373">
      <w:pPr>
        <w:pStyle w:val="IEEEFigureCaptionSingle-Line"/>
        <w:numPr>
          <w:ilvl w:val="4"/>
          <w:numId w:val="6"/>
        </w:numPr>
        <w:spacing w:before="0" w:after="0" w:line="23" w:lineRule="atLeast"/>
        <w:jc w:val="left"/>
        <w:rPr>
          <w:rFonts w:asciiTheme="majorHAnsi" w:hAnsiTheme="majorHAnsi"/>
          <w:sz w:val="24"/>
          <w:lang w:val="en-US"/>
        </w:rPr>
      </w:pPr>
      <w:r>
        <w:rPr>
          <w:rFonts w:asciiTheme="majorHAnsi" w:hAnsiTheme="majorHAnsi"/>
          <w:sz w:val="24"/>
          <w:lang w:val="en-US"/>
        </w:rPr>
        <w:t>Evaluating</w:t>
      </w:r>
    </w:p>
    <w:p w14:paraId="5DE0327A" w14:textId="7DF72217" w:rsidR="00CC131B" w:rsidRPr="00CC131B" w:rsidRDefault="0025575E" w:rsidP="00A1532F">
      <w:pPr>
        <w:pStyle w:val="IEEEParagraph"/>
        <w:spacing w:line="23" w:lineRule="atLeast"/>
        <w:ind w:left="567" w:firstLine="360"/>
        <w:rPr>
          <w:rFonts w:asciiTheme="majorHAnsi" w:hAnsiTheme="majorHAnsi"/>
        </w:rPr>
      </w:pPr>
      <w:r w:rsidRPr="0025575E">
        <w:rPr>
          <w:rFonts w:asciiTheme="majorHAnsi" w:hAnsiTheme="majorHAnsi"/>
        </w:rPr>
        <w:t>Evaluation is carried out by students</w:t>
      </w:r>
      <w:r w:rsidR="00806F94">
        <w:rPr>
          <w:rFonts w:asciiTheme="majorHAnsi" w:hAnsiTheme="majorHAnsi"/>
        </w:rPr>
        <w:t>’ way</w:t>
      </w:r>
      <w:r w:rsidR="000D2D18">
        <w:rPr>
          <w:rFonts w:asciiTheme="majorHAnsi" w:hAnsiTheme="majorHAnsi"/>
        </w:rPr>
        <w:t xml:space="preserve"> </w:t>
      </w:r>
      <w:r w:rsidR="00806F94">
        <w:rPr>
          <w:rFonts w:asciiTheme="majorHAnsi" w:hAnsiTheme="majorHAnsi"/>
        </w:rPr>
        <w:t xml:space="preserve">to </w:t>
      </w:r>
      <w:r w:rsidRPr="0025575E">
        <w:rPr>
          <w:rFonts w:asciiTheme="majorHAnsi" w:hAnsiTheme="majorHAnsi"/>
        </w:rPr>
        <w:t>answer several mathematical questions. Based on students'</w:t>
      </w:r>
      <w:r w:rsidR="000D2D18">
        <w:rPr>
          <w:rFonts w:asciiTheme="majorHAnsi" w:hAnsiTheme="majorHAnsi"/>
        </w:rPr>
        <w:t xml:space="preserve"> </w:t>
      </w:r>
      <w:r w:rsidRPr="0025575E">
        <w:rPr>
          <w:rFonts w:asciiTheme="majorHAnsi" w:hAnsiTheme="majorHAnsi"/>
        </w:rPr>
        <w:t xml:space="preserve">answers, the teacher can </w:t>
      </w:r>
      <w:r w:rsidR="00806F94">
        <w:rPr>
          <w:rFonts w:asciiTheme="majorHAnsi" w:hAnsiTheme="majorHAnsi"/>
        </w:rPr>
        <w:t>measure</w:t>
      </w:r>
      <w:r w:rsidRPr="0025575E">
        <w:rPr>
          <w:rFonts w:asciiTheme="majorHAnsi" w:hAnsiTheme="majorHAnsi"/>
        </w:rPr>
        <w:t xml:space="preserve"> the students' mastery</w:t>
      </w:r>
      <w:r w:rsidR="00806F94">
        <w:rPr>
          <w:rFonts w:asciiTheme="majorHAnsi" w:hAnsiTheme="majorHAnsi"/>
        </w:rPr>
        <w:t xml:space="preserve"> of the material, </w:t>
      </w:r>
      <w:r w:rsidRPr="0025575E">
        <w:rPr>
          <w:rFonts w:asciiTheme="majorHAnsi" w:hAnsiTheme="majorHAnsi"/>
        </w:rPr>
        <w:t>and determine the next learning step.</w:t>
      </w:r>
    </w:p>
    <w:p w14:paraId="7CFD4E2E" w14:textId="77777777" w:rsidR="00310DCB" w:rsidRDefault="0025575E" w:rsidP="000B1165">
      <w:pPr>
        <w:ind w:firstLine="426"/>
        <w:jc w:val="both"/>
        <w:rPr>
          <w:rFonts w:asciiTheme="majorHAnsi" w:hAnsiTheme="majorHAnsi"/>
        </w:rPr>
      </w:pPr>
      <w:r w:rsidRPr="0025575E">
        <w:rPr>
          <w:rFonts w:asciiTheme="majorHAnsi" w:hAnsiTheme="majorHAnsi"/>
        </w:rPr>
        <w:t xml:space="preserve">Based on the explanation of the eight components of ICM learning above, it appears that ICM learning stimulates students to construct mathematical concepts so that they can solve mathematical problems. This process is in line with Bruner's theory that learning </w:t>
      </w:r>
      <w:r w:rsidR="00806F94">
        <w:rPr>
          <w:rFonts w:asciiTheme="majorHAnsi" w:hAnsiTheme="majorHAnsi"/>
        </w:rPr>
        <w:t xml:space="preserve">is </w:t>
      </w:r>
      <w:r w:rsidRPr="0025575E">
        <w:rPr>
          <w:rFonts w:asciiTheme="majorHAnsi" w:hAnsiTheme="majorHAnsi"/>
        </w:rPr>
        <w:t>not only reflects the transmission and acceptance of knowledge</w:t>
      </w:r>
      <w:r w:rsidR="00806F94">
        <w:rPr>
          <w:rFonts w:asciiTheme="majorHAnsi" w:hAnsiTheme="majorHAnsi"/>
        </w:rPr>
        <w:t>,</w:t>
      </w:r>
      <w:r w:rsidRPr="0025575E">
        <w:rPr>
          <w:rFonts w:asciiTheme="majorHAnsi" w:hAnsiTheme="majorHAnsi"/>
        </w:rPr>
        <w:t xml:space="preserve"> but also there is a process of building knowledge</w:t>
      </w:r>
      <w:r w:rsidR="00DC41E2">
        <w:rPr>
          <w:rFonts w:asciiTheme="majorHAnsi" w:hAnsiTheme="majorHAnsi"/>
        </w:rPr>
        <w:fldChar w:fldCharType="begin" w:fldLock="1"/>
      </w:r>
      <w:r w:rsidR="00D67306">
        <w:rPr>
          <w:rFonts w:asciiTheme="majorHAnsi" w:hAnsiTheme="majorHAnsi"/>
        </w:rPr>
        <w:instrText>ADDIN CSL_CITATION {"citationItems":[{"id":"ITEM-1","itemData":{"author":[{"dropping-particle":"","family":"Stoilescu","given":"D","non-dropping-particle":"","parse-names":false,"suffix":""}],"container-title":"European Journal of Science and Mathematics Education,","id":"ITEM-1","issue":"4","issued":{"date-parts":[["2016"]]},"page":"140-154","title":"Aspects of Theories, Frameworks and Paradigms in Mathematics Education Research","type":"article-journal","volume":"2"},"uris":["http://www.mendeley.com/documents/?uuid=f3a83a9d-2d1f-4fbe-bc7f-8c7bb294be90"]}],"mendeley":{"formattedCitation":"(Stoilescu, 2016)","plainTextFormattedCitation":"(Stoilescu, 2016)","previouslyFormattedCitation":"(Stoilescu, 2016)"},"properties":{"noteIndex":0},"schema":"https://github.com/citation-style-language/schema/raw/master/csl-citation.json"}</w:instrText>
      </w:r>
      <w:r w:rsidR="00DC41E2">
        <w:rPr>
          <w:rFonts w:asciiTheme="majorHAnsi" w:hAnsiTheme="majorHAnsi"/>
        </w:rPr>
        <w:fldChar w:fldCharType="separate"/>
      </w:r>
      <w:r w:rsidR="00CC131B" w:rsidRPr="00CC131B">
        <w:rPr>
          <w:rFonts w:asciiTheme="majorHAnsi" w:hAnsiTheme="majorHAnsi"/>
          <w:noProof/>
        </w:rPr>
        <w:t>(Stoilescu, 2016)</w:t>
      </w:r>
      <w:r w:rsidR="00DC41E2">
        <w:rPr>
          <w:rFonts w:asciiTheme="majorHAnsi" w:hAnsiTheme="majorHAnsi"/>
        </w:rPr>
        <w:fldChar w:fldCharType="end"/>
      </w:r>
      <w:r w:rsidRPr="0025575E">
        <w:rPr>
          <w:rFonts w:asciiTheme="majorHAnsi" w:hAnsiTheme="majorHAnsi"/>
        </w:rPr>
        <w:t>.</w:t>
      </w:r>
    </w:p>
    <w:p w14:paraId="1CAD2F14" w14:textId="77777777" w:rsidR="00486AE9" w:rsidRDefault="00486AE9" w:rsidP="0072276A">
      <w:pPr>
        <w:jc w:val="both"/>
        <w:rPr>
          <w:rFonts w:asciiTheme="majorHAnsi" w:hAnsiTheme="majorHAnsi"/>
        </w:rPr>
      </w:pPr>
    </w:p>
    <w:p w14:paraId="3AF3C930" w14:textId="77777777" w:rsidR="00BE6F8C" w:rsidRPr="00BE6F8C" w:rsidRDefault="00486AE9" w:rsidP="00BE6F8C">
      <w:pPr>
        <w:pStyle w:val="ListParagraph"/>
        <w:numPr>
          <w:ilvl w:val="0"/>
          <w:numId w:val="16"/>
        </w:numPr>
        <w:ind w:left="426" w:hanging="426"/>
        <w:rPr>
          <w:rFonts w:asciiTheme="majorHAnsi" w:hAnsiTheme="majorHAnsi"/>
        </w:rPr>
      </w:pPr>
      <w:r>
        <w:rPr>
          <w:rFonts w:asciiTheme="majorHAnsi" w:hAnsiTheme="majorHAnsi"/>
          <w:b/>
        </w:rPr>
        <w:t>Mathematical Literacy</w:t>
      </w:r>
    </w:p>
    <w:p w14:paraId="357A15BF" w14:textId="77777777" w:rsidR="00BE6F8C" w:rsidRDefault="00D67306" w:rsidP="00D67306">
      <w:pPr>
        <w:ind w:firstLine="426"/>
        <w:jc w:val="both"/>
        <w:rPr>
          <w:rFonts w:asciiTheme="majorHAnsi" w:hAnsiTheme="majorHAnsi"/>
        </w:rPr>
      </w:pPr>
      <w:r>
        <w:rPr>
          <w:rFonts w:asciiTheme="majorHAnsi" w:hAnsiTheme="majorHAnsi"/>
        </w:rPr>
        <w:t>M</w:t>
      </w:r>
      <w:r w:rsidR="00BE6F8C" w:rsidRPr="00BE6F8C">
        <w:rPr>
          <w:rFonts w:asciiTheme="majorHAnsi" w:hAnsiTheme="majorHAnsi"/>
        </w:rPr>
        <w:t xml:space="preserve">athematical literacy is the knowledge to use mathematics </w:t>
      </w:r>
      <w:proofErr w:type="spellStart"/>
      <w:r w:rsidR="00806F94">
        <w:rPr>
          <w:rFonts w:asciiTheme="majorHAnsi" w:hAnsiTheme="majorHAnsi"/>
        </w:rPr>
        <w:t>tosolve</w:t>
      </w:r>
      <w:proofErr w:type="spellEnd"/>
      <w:r w:rsidR="00BE6F8C" w:rsidRPr="00BE6F8C">
        <w:rPr>
          <w:rFonts w:asciiTheme="majorHAnsi" w:hAnsiTheme="majorHAnsi"/>
        </w:rPr>
        <w:t xml:space="preserve"> life</w:t>
      </w:r>
      <w:r w:rsidR="00806F94">
        <w:rPr>
          <w:rFonts w:asciiTheme="majorHAnsi" w:hAnsiTheme="majorHAnsi"/>
        </w:rPr>
        <w:t xml:space="preserve"> problems</w:t>
      </w:r>
      <w:r w:rsidR="00BE6F8C" w:rsidRPr="00BE6F8C">
        <w:rPr>
          <w:rFonts w:asciiTheme="majorHAnsi" w:hAnsiTheme="majorHAnsi"/>
        </w:rPr>
        <w:t>. The proficiency to think in mathematics is to reason logically, think problem-solving, and communicate mathematically</w:t>
      </w:r>
      <w:r w:rsidR="00DC41E2">
        <w:rPr>
          <w:rFonts w:asciiTheme="majorHAnsi" w:hAnsiTheme="majorHAnsi"/>
        </w:rPr>
        <w:fldChar w:fldCharType="begin" w:fldLock="1"/>
      </w:r>
      <w:r>
        <w:rPr>
          <w:rFonts w:asciiTheme="majorHAnsi" w:hAnsiTheme="majorHAnsi"/>
        </w:rPr>
        <w:instrText>ADDIN CSL_CITATION {"citationItems":[{"id":"ITEM-1","itemData":{"author":[{"dropping-particle":"","family":"Ojose","given":"B","non-dropping-particle":"","parse-names":false,"suffix":""}],"container-title":"Journal of Mathematics Education","id":"ITEM-1","issue":"41","issued":{"date-parts":[["2011"]]},"page":"89-100","title":"Mathematics Literacy: Are We Able to Put the Mathematics We Learn into Everyday Use? Journal of Mathematics Education","type":"article-journal"},"uris":["http://www.mendeley.com/documents/?uuid=34e62918-9403-435e-99ab-72f6eb3aa3fb"]}],"mendeley":{"formattedCitation":"(Ojose, 2011)","plainTextFormattedCitation":"(Ojose, 2011)","previouslyFormattedCitation":"(Ojose, 2011)"},"properties":{"noteIndex":0},"schema":"https://github.com/citation-style-language/schema/raw/master/csl-citation.json"}</w:instrText>
      </w:r>
      <w:r w:rsidR="00DC41E2">
        <w:rPr>
          <w:rFonts w:asciiTheme="majorHAnsi" w:hAnsiTheme="majorHAnsi"/>
        </w:rPr>
        <w:fldChar w:fldCharType="separate"/>
      </w:r>
      <w:r w:rsidRPr="00D67306">
        <w:rPr>
          <w:rFonts w:asciiTheme="majorHAnsi" w:hAnsiTheme="majorHAnsi"/>
          <w:noProof/>
        </w:rPr>
        <w:t>(Ojose, 2011)</w:t>
      </w:r>
      <w:r w:rsidR="00DC41E2">
        <w:rPr>
          <w:rFonts w:asciiTheme="majorHAnsi" w:hAnsiTheme="majorHAnsi"/>
        </w:rPr>
        <w:fldChar w:fldCharType="end"/>
      </w:r>
      <w:r w:rsidR="00BE6F8C" w:rsidRPr="00BE6F8C">
        <w:rPr>
          <w:rFonts w:asciiTheme="majorHAnsi" w:hAnsiTheme="majorHAnsi"/>
        </w:rPr>
        <w:t>. Mathematical literacy is not only the proficiency to count, but</w:t>
      </w:r>
      <w:r w:rsidR="00806F94">
        <w:rPr>
          <w:rFonts w:asciiTheme="majorHAnsi" w:hAnsiTheme="majorHAnsi"/>
        </w:rPr>
        <w:t xml:space="preserve"> also</w:t>
      </w:r>
      <w:r w:rsidR="00BE6F8C" w:rsidRPr="00BE6F8C">
        <w:rPr>
          <w:rFonts w:asciiTheme="majorHAnsi" w:hAnsiTheme="majorHAnsi"/>
        </w:rPr>
        <w:t xml:space="preserve"> includes extensive knowledge as revealed by De Lang </w:t>
      </w:r>
      <w:r w:rsidR="00DC41E2">
        <w:rPr>
          <w:rFonts w:asciiTheme="majorHAnsi" w:hAnsiTheme="majorHAnsi"/>
        </w:rPr>
        <w:fldChar w:fldCharType="begin" w:fldLock="1"/>
      </w:r>
      <w:r w:rsidR="001D1CF2">
        <w:rPr>
          <w:rFonts w:asciiTheme="majorHAnsi" w:hAnsiTheme="majorHAnsi"/>
        </w:rPr>
        <w:instrText>ADDIN CSL_CITATION {"citationItems":[{"id":"ITEM-1","itemData":{"author":[{"dropping-particle":"","family":"Lange","given":"J","non-dropping-particle":"De","parse-names":false,"suffix":""}],"container-title":"Tsukuba Journal of International Study in Mathematics","id":"ITEM-1","issue":"25","issued":{"date-parts":[["2006"]]},"page":"13-35","title":"Mathematical Literacy for Living from OECD-PISA perspective","type":"article-journal"},"locator":"15","suppress-author":1,"uris":["http://www.mendeley.com/documents/?uuid=0241dcc6-64c0-469b-907b-1fcef7f94887"]}],"mendeley":{"formattedCitation":"(2006, p. 15)","plainTextFormattedCitation":"(2006, p. 15)","previouslyFormattedCitation":"(2006, p. 15)"},"properties":{"noteIndex":0},"schema":"https://github.com/citation-style-language/schema/raw/master/csl-citation.json"}</w:instrText>
      </w:r>
      <w:r w:rsidR="00DC41E2">
        <w:rPr>
          <w:rFonts w:asciiTheme="majorHAnsi" w:hAnsiTheme="majorHAnsi"/>
        </w:rPr>
        <w:fldChar w:fldCharType="separate"/>
      </w:r>
      <w:r w:rsidRPr="00D67306">
        <w:rPr>
          <w:rFonts w:asciiTheme="majorHAnsi" w:hAnsiTheme="majorHAnsi"/>
          <w:noProof/>
        </w:rPr>
        <w:t>(2006, p. 15)</w:t>
      </w:r>
      <w:r w:rsidR="00DC41E2">
        <w:rPr>
          <w:rFonts w:asciiTheme="majorHAnsi" w:hAnsiTheme="majorHAnsi"/>
        </w:rPr>
        <w:fldChar w:fldCharType="end"/>
      </w:r>
      <w:r w:rsidR="00BE6F8C" w:rsidRPr="00BE6F8C">
        <w:rPr>
          <w:rFonts w:asciiTheme="majorHAnsi" w:hAnsiTheme="majorHAnsi"/>
        </w:rPr>
        <w:t xml:space="preserve"> that mathematical literacy includes spatial literacy, numeracy, and quantitative (see Figure </w:t>
      </w:r>
      <w:r w:rsidR="00AF5B48">
        <w:rPr>
          <w:rFonts w:asciiTheme="majorHAnsi" w:hAnsiTheme="majorHAnsi"/>
        </w:rPr>
        <w:t>3</w:t>
      </w:r>
      <w:r w:rsidR="00BE6F8C" w:rsidRPr="00BE6F8C">
        <w:rPr>
          <w:rFonts w:asciiTheme="majorHAnsi" w:hAnsiTheme="majorHAnsi"/>
        </w:rPr>
        <w:t>).</w:t>
      </w:r>
    </w:p>
    <w:p w14:paraId="27A11C07" w14:textId="77777777" w:rsidR="00BE6F8C" w:rsidRPr="00BE6F8C" w:rsidRDefault="008A061B" w:rsidP="00BE6F8C">
      <w:pPr>
        <w:ind w:firstLine="426"/>
        <w:jc w:val="both"/>
        <w:rPr>
          <w:rFonts w:asciiTheme="majorHAnsi" w:hAnsiTheme="majorHAnsi"/>
        </w:rPr>
      </w:pPr>
      <w:r>
        <w:rPr>
          <w:rFonts w:asciiTheme="majorHAnsi" w:hAnsiTheme="majorHAnsi"/>
        </w:rPr>
        <w:pict w14:anchorId="145F1582">
          <v:group id="Group 71" o:spid="_x0000_s1034" style="position:absolute;left:0;text-align:left;margin-left:35.15pt;margin-top:4.95pt;width:409.75pt;height:138.5pt;z-index:251661312;mso-width-relative:margin;mso-height-relative:margin" coordsize="52038,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">
            <v:group id="Group 69" o:spid="_x0000_s1035" style="position:absolute;width:52038;height:17589" coordsize="52038,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7" o:spid="_x0000_s1036" style="position:absolute;width:52038;height:17589" coordsize="52038,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4" o:spid="_x0000_s1037" style="position:absolute;width:52038;height:17589" coordsize="52038,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20" o:spid="_x0000_s1038" style="position:absolute;width:52038;height:17589" coordsize="52044,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3" o:spid="_x0000_s1039" style="position:absolute;left:12076;width:16669;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textbox style="mso-next-textbox:#Rectangle 23">
                        <w:txbxContent>
                          <w:p w14:paraId="54C8A94D" w14:textId="77777777" w:rsidR="00FB4CEE" w:rsidRPr="00AD5A31" w:rsidRDefault="00FB4CEE" w:rsidP="00BE6F8C">
                            <w:pPr>
                              <w:jc w:val="center"/>
                              <w:rPr>
                                <w:color w:val="000000" w:themeColor="text1"/>
                              </w:rPr>
                            </w:pPr>
                            <w:r>
                              <w:rPr>
                                <w:color w:val="000000" w:themeColor="text1"/>
                              </w:rPr>
                              <w:t>Mathematical Literacy</w:t>
                            </w:r>
                          </w:p>
                        </w:txbxContent>
                      </v:textbox>
                    </v:rect>
                    <v:rect id="_x0000_s1040" style="position:absolute;left:27604;top:4399;width:16669;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textbox style="mso-next-textbox:#_x0000_s1040">
                        <w:txbxContent>
                          <w:p w14:paraId="62C5FA4C" w14:textId="77777777" w:rsidR="00FB4CEE" w:rsidRPr="00AD5A31" w:rsidRDefault="00FB4CEE" w:rsidP="00BE6F8C">
                            <w:pPr>
                              <w:jc w:val="center"/>
                              <w:rPr>
                                <w:color w:val="000000" w:themeColor="text1"/>
                              </w:rPr>
                            </w:pPr>
                            <w:r>
                              <w:rPr>
                                <w:color w:val="000000" w:themeColor="text1"/>
                              </w:rPr>
                              <w:t>Quantitative Literacy</w:t>
                            </w:r>
                          </w:p>
                        </w:txbxContent>
                      </v:textbox>
                    </v:rect>
                    <v:rect id="Rectangle 25" o:spid="_x0000_s1041" style="position:absolute;left:25189;top:14492;width:16478;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style="mso-next-textbox:#Rectangle 25">
                        <w:txbxContent>
                          <w:p w14:paraId="4ADAAAFB" w14:textId="77777777" w:rsidR="00FB4CEE" w:rsidRPr="00AD5A31" w:rsidRDefault="00FB4CEE" w:rsidP="00BE6F8C">
                            <w:pPr>
                              <w:jc w:val="center"/>
                              <w:rPr>
                                <w:color w:val="000000" w:themeColor="text1"/>
                              </w:rPr>
                            </w:pPr>
                            <w:r>
                              <w:rPr>
                                <w:color w:val="000000" w:themeColor="text1"/>
                              </w:rPr>
                              <w:t>Change &amp; Relationship</w:t>
                            </w:r>
                          </w:p>
                        </w:txbxContent>
                      </v:textbox>
                    </v:rect>
                    <v:rect id="Rectangle 26" o:spid="_x0000_s1042" style="position:absolute;left:42614;top:14492;width:9430;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style="mso-next-textbox:#Rectangle 26">
                        <w:txbxContent>
                          <w:p w14:paraId="06246282" w14:textId="77777777" w:rsidR="00FB4CEE" w:rsidRPr="00AD5A31" w:rsidRDefault="00FB4CEE" w:rsidP="00BE6F8C">
                            <w:pPr>
                              <w:jc w:val="center"/>
                              <w:rPr>
                                <w:color w:val="000000" w:themeColor="text1"/>
                              </w:rPr>
                            </w:pPr>
                            <w:r>
                              <w:rPr>
                                <w:color w:val="000000" w:themeColor="text1"/>
                              </w:rPr>
                              <w:t>Uncertainty</w:t>
                            </w:r>
                          </w:p>
                        </w:txbxContent>
                      </v:textbox>
                    </v:rect>
                    <v:rect id="Rectangle 27" o:spid="_x0000_s1043" style="position:absolute;left:15441;top:7763;width:9525;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textbox style="mso-next-textbox:#Rectangle 27">
                        <w:txbxContent>
                          <w:p w14:paraId="0BDC18F1" w14:textId="77777777" w:rsidR="00FB4CEE" w:rsidRPr="00AD5A31" w:rsidRDefault="00FB4CEE" w:rsidP="00BE6F8C">
                            <w:pPr>
                              <w:jc w:val="center"/>
                              <w:rPr>
                                <w:color w:val="000000" w:themeColor="text1"/>
                              </w:rPr>
                            </w:pPr>
                            <w:r>
                              <w:rPr>
                                <w:color w:val="000000" w:themeColor="text1"/>
                              </w:rPr>
                              <w:t>Numeracy</w:t>
                            </w:r>
                          </w:p>
                        </w:txbxContent>
                      </v:textbox>
                    </v:rect>
                    <v:rect id="Rectangle 28" o:spid="_x0000_s1044" style="position:absolute;top:7677;width:12858;height:30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textbox style="mso-next-textbox:#Rectangle 28">
                        <w:txbxContent>
                          <w:p w14:paraId="72001012" w14:textId="77777777" w:rsidR="00FB4CEE" w:rsidRPr="00AD5A31" w:rsidRDefault="00FB4CEE" w:rsidP="00BE6F8C">
                            <w:pPr>
                              <w:jc w:val="center"/>
                              <w:rPr>
                                <w:color w:val="000000" w:themeColor="text1"/>
                              </w:rPr>
                            </w:pPr>
                            <w:r>
                              <w:rPr>
                                <w:color w:val="000000" w:themeColor="text1"/>
                              </w:rPr>
                              <w:t>Spatial Literacy</w:t>
                            </w:r>
                          </w:p>
                        </w:txbxContent>
                      </v:textbox>
                    </v:rect>
                    <v:rect id="Rectangle 29" o:spid="_x0000_s1045" style="position:absolute;top:14406;width:12477;height:3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style="mso-next-textbox:#Rectangle 29">
                        <w:txbxContent>
                          <w:p w14:paraId="42A9BED2" w14:textId="77777777" w:rsidR="00FB4CEE" w:rsidRPr="00AD5A31" w:rsidRDefault="00FB4CEE" w:rsidP="00BE6F8C">
                            <w:pPr>
                              <w:jc w:val="center"/>
                              <w:rPr>
                                <w:color w:val="000000" w:themeColor="text1"/>
                              </w:rPr>
                            </w:pPr>
                            <w:r>
                              <w:rPr>
                                <w:color w:val="000000" w:themeColor="text1"/>
                              </w:rPr>
                              <w:t>Space &amp; Shape</w:t>
                            </w:r>
                          </w:p>
                        </w:txbxContent>
                      </v:textbox>
                    </v:rect>
                    <v:rect id="Rectangle 30" o:spid="_x0000_s1046" style="position:absolute;left:16390;top:14406;width:7620;height:31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textbox style="mso-next-textbox:#Rectangle 30">
                        <w:txbxContent>
                          <w:p w14:paraId="7A340C87" w14:textId="77777777" w:rsidR="00FB4CEE" w:rsidRPr="00AD5A31" w:rsidRDefault="00FB4CEE" w:rsidP="00BE6F8C">
                            <w:pPr>
                              <w:jc w:val="center"/>
                              <w:rPr>
                                <w:color w:val="000000" w:themeColor="text1"/>
                              </w:rPr>
                            </w:pPr>
                            <w:r>
                              <w:rPr>
                                <w:color w:val="000000" w:themeColor="text1"/>
                              </w:rPr>
                              <w:t>Quantity</w:t>
                            </w:r>
                          </w:p>
                        </w:txbxContent>
                      </v:textbox>
                    </v:rect>
                    <v:line id="Straight Connector 31" o:spid="_x0000_s1047" style="position:absolute;visibility:visible" from="28725,1552" to="3234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line id="Straight Connector 32" o:spid="_x0000_s1048" style="position:absolute;visibility:visible" from="20185,2932" to="20185,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" strokecolor="black [3213]" strokeweight="1pt"/>
                    <v:line id="Straight Connector 33" o:spid="_x0000_s1049" style="position:absolute;visibility:visible" from="32349,1552" to="32349,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" strokecolor="black [3213]" strokeweight="1pt"/>
                    <v:line id="Straight Connector 34" o:spid="_x0000_s1050" style="position:absolute;visibility:visible" from="8367,1552" to="1198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" strokecolor="black [3213]" strokeweight="1pt"/>
                    <v:line id="Straight Connector 35" o:spid="_x0000_s1051" style="position:absolute;visibility:visible" from="8367,1552" to="8367,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" strokecolor="black [3213]" strokeweight="1pt"/>
                    <v:line id="Straight Connector 38" o:spid="_x0000_s1052" style="position:absolute;visibility:visible" from="6211,10696" to="6211,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" strokecolor="black [3213]" strokeweight="1pt"/>
                    <v:line id="Straight Connector 39" o:spid="_x0000_s1053" style="position:absolute;visibility:visible" from="20185,10696" to="20185,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" strokecolor="black [3213]" strokeweight="1pt"/>
                    <v:line id="Straight Connector 40" o:spid="_x0000_s1054" style="position:absolute;visibility:visible" from="35799,7332" to="46151,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" strokecolor="black [3213]" strokeweight="1pt"/>
                    <v:line id="Straight Connector 41" o:spid="_x0000_s1055" style="position:absolute;visibility:visible" from="35799,7332" to="3579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" strokecolor="black [3213]" strokeweight="1pt"/>
                    <v:line id="Straight Connector 42" o:spid="_x0000_s1056" style="position:absolute;flip:x;visibility:visible" from="20185,7332" to="35799,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" strokecolor="black [3213]" strokeweight="1pt"/>
                  </v:group>
                  <v:shapetype id="_x0000_t32" coordsize="21600,21600" o:spt="32" o:oned="t" path="m,l21600,21600e" filled="f">
                    <v:path arrowok="t" fillok="f" o:connecttype="none"/>
                    <o:lock v:ext="edit" shapetype="t"/>
                  </v:shapetype>
                  <v:shape id="Straight Arrow Connector 1" o:spid="_x0000_s1057" type="#_x0000_t32" style="position:absolute;left:8382;top:6191;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" strokecolor="black [3040]" strokeweight="1pt">
                    <v:stroke endarrow="open"/>
                  </v:shape>
                  <v:shape id="Straight Arrow Connector 58" o:spid="_x0000_s1058" type="#_x0000_t32" style="position:absolute;left:20193;top:6096;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" strokecolor="black [3040]" strokeweight="1pt">
                    <v:stroke endarrow="open"/>
                  </v:shape>
                  <v:shape id="Straight Arrow Connector 59" o:spid="_x0000_s1059" type="#_x0000_t32" style="position:absolute;left:6191;top:12954;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" strokecolor="black [3040]" strokeweight="1pt">
                    <v:stroke endarrow="open"/>
                  </v:shape>
                  <v:shape id="Straight Arrow Connector 61" o:spid="_x0000_s1060" type="#_x0000_t32" style="position:absolute;left:20193;top:12954;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" strokecolor="black [3040]" strokeweight="1pt">
                    <v:stroke endarrow="open"/>
                  </v:shape>
                  <v:shape id="Straight Arrow Connector 62" o:spid="_x0000_s1061" type="#_x0000_t32" style="position:absolute;left:35814;top:12858;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" strokecolor="black [3040]" strokeweight="1pt">
                    <v:stroke endarrow="open"/>
                  </v:shape>
                  <v:shape id="Straight Arrow Connector 63" o:spid="_x0000_s1062" type="#_x0000_t32" style="position:absolute;left:32385;top:2762;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" strokecolor="black [3040]" strokeweight="1pt">
                    <v:stroke endarrow="open"/>
                  </v:shape>
                </v:group>
                <v:shape id="Straight Arrow Connector 66" o:spid="_x0000_s1063" type="#_x0000_t32" style="position:absolute;left:30765;top:8953;width:1524;height:57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" strokecolor="black [3040]" strokeweight="1pt">
                  <v:stroke endarrow="open"/>
                </v:shape>
              </v:group>
              <v:shape id="Straight Arrow Connector 68" o:spid="_x0000_s1064" type="#_x0000_t32" style="position:absolute;left:38100;top:8858;width:1428;height:95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" strokecolor="black [3040]" strokeweight="1pt">
                <v:stroke endarrow="open"/>
              </v:shape>
            </v:group>
            <v:shape id="Straight Arrow Connector 70" o:spid="_x0000_s1065" type="#_x0000_t32" style="position:absolute;left:24955;top:7334;width:2646;height:152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" strokecolor="black [3040]">
              <v:stroke endarrow="open"/>
            </v:shape>
          </v:group>
        </w:pict>
      </w:r>
    </w:p>
    <w:p w14:paraId="6ABCF1A3" w14:textId="77777777" w:rsidR="00BE6F8C" w:rsidRDefault="00BE6F8C" w:rsidP="00486AE9">
      <w:pPr>
        <w:pStyle w:val="ListParagraph"/>
        <w:ind w:left="426"/>
        <w:jc w:val="both"/>
        <w:rPr>
          <w:rFonts w:asciiTheme="majorHAnsi" w:hAnsiTheme="majorHAnsi"/>
        </w:rPr>
      </w:pPr>
    </w:p>
    <w:p w14:paraId="6D8EE3C9" w14:textId="77777777" w:rsidR="00BE6F8C" w:rsidRDefault="00BE6F8C" w:rsidP="00486AE9">
      <w:pPr>
        <w:pStyle w:val="ListParagraph"/>
        <w:ind w:left="426"/>
        <w:jc w:val="both"/>
        <w:rPr>
          <w:rFonts w:asciiTheme="majorHAnsi" w:hAnsiTheme="majorHAnsi"/>
        </w:rPr>
      </w:pPr>
    </w:p>
    <w:p w14:paraId="1DC5939A" w14:textId="77777777" w:rsidR="00BE6F8C" w:rsidRDefault="00BE6F8C" w:rsidP="00486AE9">
      <w:pPr>
        <w:pStyle w:val="ListParagraph"/>
        <w:ind w:left="426"/>
        <w:jc w:val="both"/>
        <w:rPr>
          <w:rFonts w:asciiTheme="majorHAnsi" w:hAnsiTheme="majorHAnsi"/>
        </w:rPr>
      </w:pPr>
    </w:p>
    <w:p w14:paraId="3FBC3EE8" w14:textId="77777777" w:rsidR="00BE6F8C" w:rsidRDefault="00BE6F8C" w:rsidP="00486AE9">
      <w:pPr>
        <w:pStyle w:val="ListParagraph"/>
        <w:ind w:left="426"/>
        <w:jc w:val="both"/>
        <w:rPr>
          <w:rFonts w:asciiTheme="majorHAnsi" w:hAnsiTheme="majorHAnsi"/>
        </w:rPr>
      </w:pPr>
    </w:p>
    <w:p w14:paraId="33C61A75" w14:textId="77777777" w:rsidR="00BE6F8C" w:rsidRDefault="00BE6F8C" w:rsidP="00486AE9">
      <w:pPr>
        <w:pStyle w:val="ListParagraph"/>
        <w:ind w:left="426"/>
        <w:jc w:val="both"/>
        <w:rPr>
          <w:rFonts w:asciiTheme="majorHAnsi" w:hAnsiTheme="majorHAnsi"/>
        </w:rPr>
      </w:pPr>
    </w:p>
    <w:p w14:paraId="51F1BB9E" w14:textId="77777777" w:rsidR="00BE6F8C" w:rsidRDefault="00BE6F8C" w:rsidP="00486AE9">
      <w:pPr>
        <w:pStyle w:val="ListParagraph"/>
        <w:ind w:left="426"/>
        <w:jc w:val="both"/>
        <w:rPr>
          <w:rFonts w:asciiTheme="majorHAnsi" w:hAnsiTheme="majorHAnsi"/>
        </w:rPr>
      </w:pPr>
    </w:p>
    <w:p w14:paraId="41B77051" w14:textId="77777777" w:rsidR="00BE6F8C" w:rsidRDefault="00BE6F8C" w:rsidP="00486AE9">
      <w:pPr>
        <w:pStyle w:val="ListParagraph"/>
        <w:ind w:left="426"/>
        <w:jc w:val="both"/>
        <w:rPr>
          <w:rFonts w:asciiTheme="majorHAnsi" w:hAnsiTheme="majorHAnsi"/>
        </w:rPr>
      </w:pPr>
    </w:p>
    <w:p w14:paraId="355CBE0D" w14:textId="77777777" w:rsidR="00BE6F8C" w:rsidRDefault="00BE6F8C" w:rsidP="00486AE9">
      <w:pPr>
        <w:pStyle w:val="ListParagraph"/>
        <w:ind w:left="426"/>
        <w:jc w:val="both"/>
        <w:rPr>
          <w:rFonts w:asciiTheme="majorHAnsi" w:hAnsiTheme="majorHAnsi"/>
        </w:rPr>
      </w:pPr>
    </w:p>
    <w:p w14:paraId="41F3BE68" w14:textId="77777777" w:rsidR="00BE6F8C" w:rsidRDefault="00BE6F8C" w:rsidP="00486AE9">
      <w:pPr>
        <w:pStyle w:val="ListParagraph"/>
        <w:ind w:left="426"/>
        <w:jc w:val="both"/>
        <w:rPr>
          <w:rFonts w:asciiTheme="majorHAnsi" w:hAnsiTheme="majorHAnsi"/>
        </w:rPr>
      </w:pPr>
    </w:p>
    <w:p w14:paraId="3EDC72C6" w14:textId="77777777" w:rsidR="00BE6F8C" w:rsidRPr="00435689" w:rsidRDefault="00BE6F8C" w:rsidP="00435689">
      <w:pPr>
        <w:jc w:val="both"/>
        <w:rPr>
          <w:rFonts w:asciiTheme="majorHAnsi" w:hAnsiTheme="majorHAnsi"/>
        </w:rPr>
      </w:pPr>
    </w:p>
    <w:p w14:paraId="2A2BEB59" w14:textId="77777777" w:rsidR="00435689" w:rsidRDefault="00435689" w:rsidP="00435689">
      <w:pPr>
        <w:jc w:val="center"/>
        <w:rPr>
          <w:rFonts w:asciiTheme="majorHAnsi" w:hAnsiTheme="majorHAnsi"/>
          <w:sz w:val="22"/>
        </w:rPr>
      </w:pPr>
      <w:r w:rsidRPr="00435689">
        <w:rPr>
          <w:rFonts w:asciiTheme="majorHAnsi" w:hAnsiTheme="majorHAnsi"/>
          <w:b/>
          <w:sz w:val="22"/>
        </w:rPr>
        <w:t xml:space="preserve">Figure </w:t>
      </w:r>
      <w:r w:rsidR="00AF5B48">
        <w:rPr>
          <w:rFonts w:asciiTheme="majorHAnsi" w:hAnsiTheme="majorHAnsi"/>
          <w:b/>
          <w:sz w:val="22"/>
        </w:rPr>
        <w:t>3</w:t>
      </w:r>
      <w:r w:rsidRPr="00435689">
        <w:rPr>
          <w:rFonts w:asciiTheme="majorHAnsi" w:hAnsiTheme="majorHAnsi"/>
          <w:b/>
          <w:sz w:val="22"/>
        </w:rPr>
        <w:t>.</w:t>
      </w:r>
      <w:r w:rsidRPr="00435689">
        <w:rPr>
          <w:rFonts w:asciiTheme="majorHAnsi" w:hAnsiTheme="majorHAnsi"/>
          <w:sz w:val="22"/>
        </w:rPr>
        <w:t xml:space="preserve"> Mathematical Literacy Structure [Modi</w:t>
      </w:r>
      <w:r w:rsidR="00AF5B48">
        <w:rPr>
          <w:rFonts w:asciiTheme="majorHAnsi" w:hAnsiTheme="majorHAnsi"/>
          <w:sz w:val="22"/>
        </w:rPr>
        <w:t>fication</w:t>
      </w:r>
      <w:r w:rsidRPr="00435689">
        <w:rPr>
          <w:rFonts w:asciiTheme="majorHAnsi" w:hAnsiTheme="majorHAnsi"/>
          <w:sz w:val="22"/>
        </w:rPr>
        <w:t xml:space="preserve"> De Lange (2006:15)]</w:t>
      </w:r>
    </w:p>
    <w:p w14:paraId="71F091DE" w14:textId="77777777" w:rsidR="008D78D7" w:rsidRPr="00435689" w:rsidRDefault="008D78D7" w:rsidP="00435689">
      <w:pPr>
        <w:jc w:val="center"/>
        <w:rPr>
          <w:rFonts w:asciiTheme="majorHAnsi" w:hAnsiTheme="majorHAnsi"/>
          <w:sz w:val="22"/>
        </w:rPr>
      </w:pPr>
    </w:p>
    <w:p w14:paraId="3518D800" w14:textId="77777777" w:rsidR="008D78D7" w:rsidRDefault="008D78D7" w:rsidP="008D78D7">
      <w:pPr>
        <w:ind w:firstLine="426"/>
        <w:jc w:val="both"/>
        <w:rPr>
          <w:rFonts w:asciiTheme="majorHAnsi" w:hAnsiTheme="majorHAnsi"/>
        </w:rPr>
      </w:pPr>
      <w:r w:rsidRPr="00322EE0">
        <w:t xml:space="preserve">Referring to De Lange </w:t>
      </w:r>
      <w:r w:rsidR="00DC41E2">
        <w:fldChar w:fldCharType="begin" w:fldLock="1"/>
      </w:r>
      <w:r w:rsidR="001F7819">
        <w:instrText>ADDIN CSL_CITATION {"citationItems":[{"id":"ITEM-1","itemData":{"author":[{"dropping-particle":"","family":"Lange","given":"J","non-dropping-particle":"De","parse-names":false,"suffix":""}],"container-title":"National Council on Education and the Disciplines","id":"ITEM-1","issued":{"date-parts":[["2003"]]},"page":"75-89","title":"Quantitative Literacy: Why Numeracy Matters for Schools and Colleges","type":"article-journal"},"suppress-author":1,"uris":["http://www.mendeley.com/documents/?uuid=25a6cde1-a5be-4ecc-99ca-0612ef525307"]}],"mendeley":{"formattedCitation":"(2003)","plainTextFormattedCitation":"(2003)","previouslyFormattedCitation":"(2003)"},"properties":{"noteIndex":0},"schema":"https://github.com/citation-style-language/schema/raw/master/csl-citation.json"}</w:instrText>
      </w:r>
      <w:r w:rsidR="00DC41E2">
        <w:fldChar w:fldCharType="separate"/>
      </w:r>
      <w:r w:rsidR="001D1CF2" w:rsidRPr="001D1CF2">
        <w:rPr>
          <w:noProof/>
        </w:rPr>
        <w:t>(2003)</w:t>
      </w:r>
      <w:r w:rsidR="00DC41E2">
        <w:fldChar w:fldCharType="end"/>
      </w:r>
      <w:r w:rsidRPr="00322EE0">
        <w:t xml:space="preserve"> as shown in Figure </w:t>
      </w:r>
      <w:r w:rsidR="00AF5B48">
        <w:t>3</w:t>
      </w:r>
      <w:r w:rsidR="00806F94">
        <w:t>,</w:t>
      </w:r>
      <w:r w:rsidRPr="00322EE0">
        <w:t xml:space="preserve"> spatial literacy is the </w:t>
      </w:r>
      <w:r>
        <w:t>proficiency</w:t>
      </w:r>
      <w:r w:rsidRPr="00322EE0">
        <w:t xml:space="preserve"> to relate to spatial. While numeracy literacy</w:t>
      </w:r>
      <w:r w:rsidR="00806F94">
        <w:t>,</w:t>
      </w:r>
      <w:r w:rsidR="000D2D18">
        <w:t xml:space="preserve"> </w:t>
      </w:r>
      <w:r w:rsidR="00806F94">
        <w:t>r</w:t>
      </w:r>
      <w:r w:rsidRPr="00322EE0">
        <w:t xml:space="preserve">eferring to De Lange </w:t>
      </w:r>
      <w:r w:rsidR="00DC41E2">
        <w:fldChar w:fldCharType="begin" w:fldLock="1"/>
      </w:r>
      <w:r w:rsidR="001F7819">
        <w:instrText>ADDIN CSL_CITATION {"citationItems":[{"id":"ITEM-1","itemData":{"author":[{"dropping-particle":"","family":"Lange","given":"J","non-dropping-particle":"De","parse-names":false,"suffix":""}],"container-title":"National Council on Education and the Disciplines","id":"ITEM-1","issued":{"date-parts":[["2003"]]},"page":"75-89","title":"Quantitative Literacy: Why Numeracy Matters for Schools and Colleges","type":"article-journal"},"suppress-author":1,"uris":["http://www.mendeley.com/documents/?uuid=25a6cde1-a5be-4ecc-99ca-0612ef525307"]}],"mendeley":{"formattedCitation":"(2003)","plainTextFormattedCitation":"(2003)","previouslyFormattedCitation":"(2003)"},"properties":{"noteIndex":0},"schema":"https://github.com/citation-style-language/schema/raw/master/csl-citation.json"}</w:instrText>
      </w:r>
      <w:r w:rsidR="00DC41E2">
        <w:fldChar w:fldCharType="separate"/>
      </w:r>
      <w:r w:rsidR="001F7819" w:rsidRPr="001F7819">
        <w:rPr>
          <w:noProof/>
        </w:rPr>
        <w:t>(2003)</w:t>
      </w:r>
      <w:r w:rsidR="00DC41E2">
        <w:fldChar w:fldCharType="end"/>
      </w:r>
      <w:r w:rsidRPr="00322EE0">
        <w:t xml:space="preserve"> as shown in Figure </w:t>
      </w:r>
      <w:r w:rsidR="00AF5B48">
        <w:t>3</w:t>
      </w:r>
      <w:r w:rsidR="00806F94">
        <w:t xml:space="preserve">, </w:t>
      </w:r>
      <w:r w:rsidRPr="00322EE0">
        <w:t xml:space="preserve">is the </w:t>
      </w:r>
      <w:r>
        <w:t>proficiency</w:t>
      </w:r>
      <w:r w:rsidRPr="00322EE0">
        <w:t xml:space="preserve"> to manage numbers and data. </w:t>
      </w:r>
      <w:r>
        <w:t>Q</w:t>
      </w:r>
      <w:r w:rsidRPr="00322EE0">
        <w:t>uantitative literacy</w:t>
      </w:r>
      <w:r>
        <w:t xml:space="preserve"> is more complex than numeracy literacy</w:t>
      </w:r>
      <w:r w:rsidRPr="00322EE0">
        <w:t xml:space="preserve">. Someone who has quantitative literacy can apply quantitative statements in </w:t>
      </w:r>
      <w:r>
        <w:t>familiar or unfamiliar contexts</w:t>
      </w:r>
      <w:r w:rsidRPr="00322EE0">
        <w:t xml:space="preserve"> to </w:t>
      </w:r>
      <w:r>
        <w:t xml:space="preserve">manage numbers and data. The </w:t>
      </w:r>
      <w:r w:rsidRPr="00322EE0">
        <w:t xml:space="preserve">complex </w:t>
      </w:r>
      <w:r>
        <w:t>proficiency is</w:t>
      </w:r>
      <w:r w:rsidRPr="00322EE0">
        <w:t xml:space="preserve"> quantitative literacy. Someone who has quantitative literacy can apply quantitative statements in familiar or unfamiliar contexts.</w:t>
      </w:r>
    </w:p>
    <w:p w14:paraId="152356A3" w14:textId="79C44A1D" w:rsidR="008D78D7" w:rsidRDefault="008D78D7" w:rsidP="008D78D7">
      <w:pPr>
        <w:ind w:firstLine="426"/>
        <w:jc w:val="both"/>
        <w:rPr>
          <w:rFonts w:asciiTheme="majorHAnsi" w:hAnsiTheme="majorHAnsi"/>
        </w:rPr>
      </w:pPr>
      <w:r w:rsidRPr="008D78D7">
        <w:rPr>
          <w:rFonts w:asciiTheme="majorHAnsi" w:hAnsiTheme="majorHAnsi"/>
        </w:rPr>
        <w:t xml:space="preserve">There are seven competencies needed in mathematical literacy proficiency according to PISA </w:t>
      </w:r>
      <w:r w:rsidR="00DC41E2">
        <w:rPr>
          <w:rFonts w:asciiTheme="majorHAnsi" w:hAnsiTheme="majorHAnsi"/>
        </w:rPr>
        <w:fldChar w:fldCharType="begin" w:fldLock="1"/>
      </w:r>
      <w:r w:rsidR="00BD5E85">
        <w:rPr>
          <w:rFonts w:asciiTheme="majorHAnsi" w:hAnsiTheme="majorHAnsi"/>
        </w:rPr>
        <w:instrText>ADDIN CSL_CITATION {"citationItems":[{"id":"ITEM-1","itemData":{"DOI":"10.1787/9789264281820-5-en","abstract":"Are students well prepared to meet the challenges of the future? Can they analyse, reason and communicate their ideas effectively? Have they found the kinds of interests they can The PISA 2012 mathematics framework explains the theoretical underpinnings of the PISA mathematics assessment, including a new formal definition of mathematical literacy, the mathematical processes which students undertake when using mathematical literacy, and the fundamental mathematical capabilities which underlie those processes. The framework describes how mathematical content knowledge is organised into four content categories and outlines the content knowledge that is relevant to an assessment of 15-year-old students. It describes four categories of contexts in which students will face mathematical challenges. The framework specifies the proportions of items from each of the four content and context categories, each response format and each process, and describes the rotating booklet designs and questionnaires. Items of a range of difficulty are required. The optional computer-based assessment for mathematics is described, with discussion of the rationale and potential for future development. The categorisations are illustrated with seven units used in PISA surveys and field trials. Multiple quality control measures are described. The PISA assessment will measure how effectively countries are preparing students to use mathematics in every aspect of their personal, civic and professional lives, as part of their constructive, engaged and reflective citizenship.","id":"ITEM-1","issued":{"date-parts":[["2017"]]},"number-of-pages":"65-80","publisher":"OECD Publishing","publisher-place":"Paris","title":"PISA 2015 Mathematics Framework","type":"book"},"locator":"68","uris":["http://www.mendeley.com/documents/?uuid=4640fdf9-9b00-4a49-9e75-d7667ad18fbb"]}],"mendeley":{"formattedCitation":"(&lt;i&gt;PISA 2015 Mathematics Framework&lt;/i&gt;, 2017, p. 68)","plainTextFormattedCitation":"(PISA 2015 Mathematics Framework, 2017, p. 68)","previouslyFormattedCitation":"(&lt;i&gt;PISA 2015 Mathematics Framework&lt;/i&gt;, 2017, p. 68)"},"properties":{"noteIndex":0},"schema":"https://github.com/citation-style-language/schema/raw/master/csl-citation.json"}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w:t>
      </w:r>
      <w:r w:rsidR="00A1532F" w:rsidRPr="00A1532F">
        <w:rPr>
          <w:rFonts w:asciiTheme="majorHAnsi" w:hAnsiTheme="majorHAnsi"/>
          <w:i/>
          <w:noProof/>
        </w:rPr>
        <w:t>PISA 2015 Mathematics Framework</w:t>
      </w:r>
      <w:r w:rsidR="00A1532F" w:rsidRPr="00A1532F">
        <w:rPr>
          <w:rFonts w:asciiTheme="majorHAnsi" w:hAnsiTheme="majorHAnsi"/>
          <w:noProof/>
        </w:rPr>
        <w:t>, 2017, p. 68)</w:t>
      </w:r>
      <w:r w:rsidR="00DC41E2">
        <w:rPr>
          <w:rFonts w:asciiTheme="majorHAnsi" w:hAnsiTheme="majorHAnsi"/>
        </w:rPr>
        <w:fldChar w:fldCharType="end"/>
      </w:r>
      <w:r w:rsidRPr="008D78D7">
        <w:rPr>
          <w:rFonts w:asciiTheme="majorHAnsi" w:hAnsiTheme="majorHAnsi"/>
        </w:rPr>
        <w:t>, namely communication, mathematizing, representation, reasoning, and argument, devising strategies for solving problems, using symbolic, and using mathematical tools. Communication is the proficiency to communicate problems. Mathematizing is the proficiency to make mathematical models of real-world problems. Representation is the proficiency to restate mathematical objects. Reasoning and Argument involve the proficiency to reason and give reasons. Devising Strategies for Solving Problems is the proficiency to use strategies to solve problems. Using Symbolic is the proficiency to speak symbol, formal language, and technical language. And Using Mathematical Tools is the proficiency to use mathematical expressions.</w:t>
      </w:r>
    </w:p>
    <w:p w14:paraId="07BF6E81" w14:textId="796908B3" w:rsidR="008D78D7" w:rsidRPr="008D78D7" w:rsidRDefault="008D78D7" w:rsidP="008D78D7">
      <w:pPr>
        <w:ind w:firstLine="426"/>
        <w:jc w:val="both"/>
        <w:rPr>
          <w:rFonts w:asciiTheme="majorHAnsi" w:hAnsiTheme="majorHAnsi"/>
        </w:rPr>
      </w:pPr>
      <w:r w:rsidRPr="008D78D7">
        <w:rPr>
          <w:rFonts w:asciiTheme="majorHAnsi" w:hAnsiTheme="majorHAnsi"/>
        </w:rPr>
        <w:t xml:space="preserve">In addition to the competencies needed in mathematical literacy, there are three </w:t>
      </w:r>
      <w:r w:rsidR="005F03CA">
        <w:rPr>
          <w:rFonts w:asciiTheme="majorHAnsi" w:hAnsiTheme="majorHAnsi"/>
        </w:rPr>
        <w:t>proficiency</w:t>
      </w:r>
      <w:r w:rsidR="000D2D18">
        <w:rPr>
          <w:rFonts w:asciiTheme="majorHAnsi" w:hAnsiTheme="majorHAnsi"/>
        </w:rPr>
        <w:t xml:space="preserve"> </w:t>
      </w:r>
      <w:r w:rsidR="00801E3F" w:rsidRPr="008D78D7">
        <w:rPr>
          <w:rFonts w:asciiTheme="majorHAnsi" w:hAnsiTheme="majorHAnsi"/>
        </w:rPr>
        <w:t>process</w:t>
      </w:r>
      <w:r w:rsidR="000D2D18">
        <w:rPr>
          <w:rFonts w:asciiTheme="majorHAnsi" w:hAnsiTheme="majorHAnsi"/>
        </w:rPr>
        <w:t xml:space="preserve"> </w:t>
      </w:r>
      <w:r w:rsidRPr="008D78D7">
        <w:rPr>
          <w:rFonts w:asciiTheme="majorHAnsi" w:hAnsiTheme="majorHAnsi"/>
        </w:rPr>
        <w:t xml:space="preserve">which are to formulate, apply, and interpret mathematics </w:t>
      </w:r>
      <w:r w:rsidR="00801E3F">
        <w:rPr>
          <w:rFonts w:asciiTheme="majorHAnsi" w:hAnsiTheme="majorHAnsi"/>
        </w:rPr>
        <w:t>in</w:t>
      </w:r>
      <w:r w:rsidRPr="008D78D7">
        <w:rPr>
          <w:rFonts w:asciiTheme="majorHAnsi" w:hAnsiTheme="majorHAnsi"/>
        </w:rPr>
        <w:t xml:space="preserve"> problems</w:t>
      </w:r>
      <w:r w:rsidR="00801E3F">
        <w:rPr>
          <w:rFonts w:asciiTheme="majorHAnsi" w:hAnsiTheme="majorHAnsi"/>
        </w:rPr>
        <w:t>’ solving.</w:t>
      </w:r>
      <w:r w:rsidRPr="008D78D7">
        <w:rPr>
          <w:rFonts w:asciiTheme="majorHAnsi" w:hAnsiTheme="majorHAnsi"/>
        </w:rPr>
        <w:t xml:space="preserve"> Explanation of the three process components</w:t>
      </w:r>
      <w:r w:rsidR="00801E3F">
        <w:rPr>
          <w:rFonts w:asciiTheme="majorHAnsi" w:hAnsiTheme="majorHAnsi"/>
        </w:rPr>
        <w:t>,</w:t>
      </w:r>
      <w:r w:rsidRPr="008D78D7">
        <w:rPr>
          <w:rFonts w:asciiTheme="majorHAnsi" w:hAnsiTheme="majorHAnsi"/>
        </w:rPr>
        <w:t xml:space="preserve"> according to the</w:t>
      </w:r>
      <w:r w:rsidR="00BC7E86">
        <w:rPr>
          <w:rFonts w:asciiTheme="majorHAnsi" w:hAnsiTheme="majorHAnsi"/>
        </w:rPr>
        <w:t xml:space="preserve"> OECD</w:t>
      </w:r>
      <w:r w:rsidR="00DC41E2">
        <w:rPr>
          <w:rFonts w:asciiTheme="majorHAnsi" w:hAnsiTheme="majorHAnsi"/>
        </w:rPr>
        <w:fldChar w:fldCharType="begin" w:fldLock="1"/>
      </w:r>
      <w:r w:rsidR="00BD5E85">
        <w:rPr>
          <w:rFonts w:asciiTheme="majorHAnsi" w:hAnsiTheme="majorHAnsi"/>
        </w:rPr>
        <w:instrText>ADDIN CSL_CITATION {"citationItems":[{"id":"ITEM-1","itemData":{"author":[{"dropping-particle":"","family":"OECD","given":"","non-dropping-particle":"","parse-names":false,"suffix":""}],"id":"ITEM-1","issued":{"date-parts":[["2016"]]},"title":"PISA 2015 Result and Focus","type":"article-journal"},"suppress-author":1,"uris":["http://www.mendeley.com/documents/?uuid=c5e45454-77c5-474e-80c1-ecefcdac1fc7"]}],"mendeley":{"formattedCitation":"(2016b)","plainTextFormattedCitation":"(2016b)","previouslyFormattedCitation":"(2016b)"},"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(2016b)</w:t>
      </w:r>
      <w:r w:rsidR="00DC41E2">
        <w:rPr>
          <w:rFonts w:asciiTheme="majorHAnsi" w:hAnsiTheme="majorHAnsi"/>
        </w:rPr>
        <w:fldChar w:fldCharType="end"/>
      </w:r>
      <w:r w:rsidR="00801E3F">
        <w:rPr>
          <w:rFonts w:asciiTheme="majorHAnsi" w:hAnsiTheme="majorHAnsi"/>
        </w:rPr>
        <w:t>,</w:t>
      </w:r>
      <w:r w:rsidR="00801E3F" w:rsidRPr="008D78D7">
        <w:rPr>
          <w:rFonts w:asciiTheme="majorHAnsi" w:hAnsiTheme="majorHAnsi"/>
        </w:rPr>
        <w:t>first</w:t>
      </w:r>
      <w:r w:rsidR="00801E3F">
        <w:rPr>
          <w:rFonts w:asciiTheme="majorHAnsi" w:hAnsiTheme="majorHAnsi"/>
        </w:rPr>
        <w:t>ly</w:t>
      </w:r>
      <w:r w:rsidR="000D2D18">
        <w:rPr>
          <w:rFonts w:asciiTheme="majorHAnsi" w:hAnsiTheme="majorHAnsi"/>
        </w:rPr>
        <w:t xml:space="preserve"> </w:t>
      </w:r>
      <w:r w:rsidRPr="008D78D7">
        <w:rPr>
          <w:rFonts w:asciiTheme="majorHAnsi" w:hAnsiTheme="majorHAnsi"/>
        </w:rPr>
        <w:t xml:space="preserve">is formulating the situation mathematically. One of the </w:t>
      </w:r>
      <w:r w:rsidR="00801E3F" w:rsidRPr="008D78D7">
        <w:rPr>
          <w:rFonts w:asciiTheme="majorHAnsi" w:hAnsiTheme="majorHAnsi"/>
        </w:rPr>
        <w:t xml:space="preserve">formulating </w:t>
      </w:r>
      <w:r w:rsidRPr="008D78D7">
        <w:rPr>
          <w:rFonts w:asciiTheme="majorHAnsi" w:hAnsiTheme="majorHAnsi"/>
        </w:rPr>
        <w:t>activities</w:t>
      </w:r>
      <w:r w:rsidR="000D2D18">
        <w:rPr>
          <w:rFonts w:asciiTheme="majorHAnsi" w:hAnsiTheme="majorHAnsi"/>
        </w:rPr>
        <w:t xml:space="preserve"> </w:t>
      </w:r>
      <w:r w:rsidRPr="008D78D7">
        <w:rPr>
          <w:rFonts w:asciiTheme="majorHAnsi" w:hAnsiTheme="majorHAnsi"/>
        </w:rPr>
        <w:t>is to understand the mathematical structure of the problem. Second</w:t>
      </w:r>
      <w:r w:rsidR="00801E3F">
        <w:rPr>
          <w:rFonts w:asciiTheme="majorHAnsi" w:hAnsiTheme="majorHAnsi"/>
        </w:rPr>
        <w:t xml:space="preserve"> is</w:t>
      </w:r>
      <w:r w:rsidR="000D2D18">
        <w:rPr>
          <w:rFonts w:asciiTheme="majorHAnsi" w:hAnsiTheme="majorHAnsi"/>
        </w:rPr>
        <w:t xml:space="preserve"> </w:t>
      </w:r>
      <w:r w:rsidR="00D50D14">
        <w:rPr>
          <w:rFonts w:asciiTheme="majorHAnsi" w:hAnsiTheme="majorHAnsi"/>
        </w:rPr>
        <w:t xml:space="preserve">to </w:t>
      </w:r>
      <w:r w:rsidRPr="008D78D7">
        <w:rPr>
          <w:rFonts w:asciiTheme="majorHAnsi" w:hAnsiTheme="majorHAnsi"/>
        </w:rPr>
        <w:t>apply concepts, facts, procedures, and mathematical reasoning. The activity is designing and implementing strategies to solve mathematical problems. Third</w:t>
      </w:r>
      <w:r w:rsidR="00D50D14">
        <w:rPr>
          <w:rFonts w:asciiTheme="majorHAnsi" w:hAnsiTheme="majorHAnsi"/>
        </w:rPr>
        <w:t xml:space="preserve"> is</w:t>
      </w:r>
      <w:r w:rsidR="000D2D18">
        <w:rPr>
          <w:rFonts w:asciiTheme="majorHAnsi" w:hAnsiTheme="majorHAnsi"/>
        </w:rPr>
        <w:t xml:space="preserve"> </w:t>
      </w:r>
      <w:r w:rsidR="00D50D14">
        <w:rPr>
          <w:rFonts w:asciiTheme="majorHAnsi" w:hAnsiTheme="majorHAnsi"/>
        </w:rPr>
        <w:t xml:space="preserve">to </w:t>
      </w:r>
      <w:r w:rsidRPr="008D78D7">
        <w:rPr>
          <w:rFonts w:asciiTheme="majorHAnsi" w:hAnsiTheme="majorHAnsi"/>
        </w:rPr>
        <w:t>interpret, us</w:t>
      </w:r>
      <w:r w:rsidR="00D50D14">
        <w:rPr>
          <w:rFonts w:asciiTheme="majorHAnsi" w:hAnsiTheme="majorHAnsi"/>
        </w:rPr>
        <w:t>e</w:t>
      </w:r>
      <w:r w:rsidRPr="008D78D7">
        <w:rPr>
          <w:rFonts w:asciiTheme="majorHAnsi" w:hAnsiTheme="majorHAnsi"/>
        </w:rPr>
        <w:t xml:space="preserve"> and evaluate mathematical results. Among its activities is being able to fix suggestions and identify the limitations of the model used to solve mathematical problems. The three components</w:t>
      </w:r>
      <w:r w:rsidR="00D50D14">
        <w:rPr>
          <w:rFonts w:asciiTheme="majorHAnsi" w:hAnsiTheme="majorHAnsi"/>
        </w:rPr>
        <w:t xml:space="preserve">’ </w:t>
      </w:r>
      <w:r w:rsidR="00D50D14" w:rsidRPr="008D78D7">
        <w:rPr>
          <w:rFonts w:asciiTheme="majorHAnsi" w:hAnsiTheme="majorHAnsi"/>
        </w:rPr>
        <w:t>process</w:t>
      </w:r>
      <w:r w:rsidRPr="008D78D7">
        <w:rPr>
          <w:rFonts w:asciiTheme="majorHAnsi" w:hAnsiTheme="majorHAnsi"/>
        </w:rPr>
        <w:t xml:space="preserve"> are used as indicators of mathematical literacy proficiency tests in this study.</w:t>
      </w:r>
    </w:p>
    <w:p w14:paraId="55FF02AF" w14:textId="77777777" w:rsidR="0076604D" w:rsidRPr="00AC0074" w:rsidRDefault="009B0A53" w:rsidP="00AC0074">
      <w:pPr>
        <w:pStyle w:val="IEEEHeading1"/>
        <w:numPr>
          <w:ilvl w:val="0"/>
          <w:numId w:val="11"/>
        </w:numPr>
        <w:spacing w:line="276" w:lineRule="auto"/>
        <w:jc w:val="left"/>
        <w:rPr>
          <w:rStyle w:val="longtext"/>
          <w:rFonts w:asciiTheme="majorHAnsi" w:hAnsiTheme="majorHAnsi"/>
          <w:b/>
          <w:sz w:val="24"/>
          <w:lang w:val="id-ID"/>
        </w:rPr>
      </w:pPr>
      <w:r w:rsidRPr="00AD3C84">
        <w:rPr>
          <w:rFonts w:asciiTheme="majorHAnsi" w:hAnsiTheme="majorHAnsi"/>
          <w:b/>
          <w:iCs/>
          <w:sz w:val="24"/>
          <w:lang w:val="en-US"/>
        </w:rPr>
        <w:t>METHODS</w:t>
      </w:r>
    </w:p>
    <w:p w14:paraId="3316D9C7" w14:textId="3FF6146E" w:rsidR="00AC0074" w:rsidRPr="00AC0074" w:rsidRDefault="00AC0074" w:rsidP="00AC0074">
      <w:pPr>
        <w:pStyle w:val="IEEEParagraph"/>
        <w:spacing w:line="276" w:lineRule="auto"/>
        <w:ind w:firstLine="360"/>
        <w:rPr>
          <w:rFonts w:asciiTheme="majorHAnsi" w:hAnsiTheme="majorHAnsi"/>
          <w:lang w:val="sv-SE"/>
        </w:rPr>
      </w:pPr>
      <w:r w:rsidRPr="00863462">
        <w:rPr>
          <w:rFonts w:asciiTheme="majorHAnsi" w:hAnsiTheme="majorHAnsi"/>
        </w:rPr>
        <w:t xml:space="preserve">This study aims to examine the effect of ICM learning on mathematical literacy proficiency. In its application, the sample is not randomly selected and the variables in this study cannot </w:t>
      </w:r>
      <w:r w:rsidRPr="00863462">
        <w:rPr>
          <w:rFonts w:asciiTheme="majorHAnsi" w:hAnsiTheme="majorHAnsi"/>
        </w:rPr>
        <w:lastRenderedPageBreak/>
        <w:t>be controlled entirely, so this study is quasi-experimental. The research design used was a non</w:t>
      </w:r>
      <w:r>
        <w:rPr>
          <w:rFonts w:asciiTheme="majorHAnsi" w:hAnsiTheme="majorHAnsi"/>
        </w:rPr>
        <w:t>-</w:t>
      </w:r>
      <w:r w:rsidRPr="00863462">
        <w:rPr>
          <w:rFonts w:asciiTheme="majorHAnsi" w:hAnsiTheme="majorHAnsi"/>
        </w:rPr>
        <w:t>equivalent control group design modified from</w:t>
      </w:r>
      <w:r w:rsidR="00BD5E85">
        <w:rPr>
          <w:rFonts w:asciiTheme="majorHAnsi" w:hAnsiTheme="majorHAnsi"/>
        </w:rPr>
        <w:t xml:space="preserve"> </w:t>
      </w:r>
      <w:proofErr w:type="spellStart"/>
      <w:r w:rsidR="00BD5E85">
        <w:rPr>
          <w:rFonts w:asciiTheme="majorHAnsi" w:hAnsiTheme="majorHAnsi"/>
        </w:rPr>
        <w:t>Ruseffendi</w:t>
      </w:r>
      <w:proofErr w:type="spellEnd"/>
      <w:r w:rsidRPr="00863462">
        <w:rPr>
          <w:rFonts w:asciiTheme="majorHAnsi" w:hAnsiTheme="majorHAnsi"/>
        </w:rPr>
        <w:t xml:space="preserve"> </w:t>
      </w:r>
      <w:r w:rsidR="00BD5E85">
        <w:rPr>
          <w:rFonts w:asciiTheme="majorHAnsi" w:hAnsiTheme="majorHAnsi"/>
        </w:rPr>
        <w:fldChar w:fldCharType="begin" w:fldLock="1"/>
      </w:r>
      <w:r w:rsidR="00F87656">
        <w:rPr>
          <w:rFonts w:asciiTheme="majorHAnsi" w:hAnsiTheme="majorHAnsi"/>
        </w:rPr>
        <w:instrText>ADDIN CSL_CITATION {"citationItems":[{"id":"ITEM-1","itemData":{"author":[{"dropping-particle":"","family":"Ruseffendi","given":"H.E.T","non-dropping-particle":"","parse-names":false,"suffix":""}],"id":"ITEM-1","issued":{"date-parts":[["2010"]]},"publisher":"Tarsito","publisher-place":"Bandung","title":"Dasar-Dasar Penelitian Pendidikan dan Bidang Non-Eksakta Lainnya","type":"book"},"locator":"53","suppress-author":1,"uris":["http://www.mendeley.com/documents/?uuid=9ef75952-da71-4850-bc20-d630c1943c78"]}],"mendeley":{"formattedCitation":"(2010, p. 53)","plainTextFormattedCitation":"(2010, p. 53)","previouslyFormattedCitation":"(2010, p. 53)"},"properties":{"noteIndex":0},"schema":"https://github.com/citation-style-language/schema/raw/master/csl-citation.json"}</w:instrText>
      </w:r>
      <w:r w:rsidR="00BD5E85">
        <w:rPr>
          <w:rFonts w:asciiTheme="majorHAnsi" w:hAnsiTheme="majorHAnsi"/>
        </w:rPr>
        <w:fldChar w:fldCharType="separate"/>
      </w:r>
      <w:r w:rsidR="00BD5E85" w:rsidRPr="00BD5E85">
        <w:rPr>
          <w:rFonts w:asciiTheme="majorHAnsi" w:hAnsiTheme="majorHAnsi"/>
          <w:noProof/>
        </w:rPr>
        <w:t>(2010, p. 53)</w:t>
      </w:r>
      <w:r w:rsidR="00BD5E85">
        <w:rPr>
          <w:rFonts w:asciiTheme="majorHAnsi" w:hAnsiTheme="majorHAnsi"/>
        </w:rPr>
        <w:fldChar w:fldCharType="end"/>
      </w:r>
      <w:r w:rsidR="00B144C6">
        <w:rPr>
          <w:rFonts w:asciiTheme="majorHAnsi" w:hAnsiTheme="majorHAnsi"/>
          <w:color w:val="FF0000"/>
        </w:rPr>
        <w:t xml:space="preserve"> </w:t>
      </w:r>
      <w:r w:rsidR="002F6C7B">
        <w:rPr>
          <w:rFonts w:asciiTheme="majorHAnsi" w:hAnsiTheme="majorHAnsi"/>
        </w:rPr>
        <w:t>as below</w:t>
      </w:r>
      <w:r w:rsidRPr="00863462">
        <w:rPr>
          <w:rFonts w:asciiTheme="majorHAnsi" w:hAnsiTheme="majorHAnsi"/>
        </w:rPr>
        <w:t>:</w:t>
      </w:r>
    </w:p>
    <w:p w14:paraId="0EAD77D8" w14:textId="77777777" w:rsidR="00AC0074" w:rsidRPr="00774AC1" w:rsidRDefault="008A061B" w:rsidP="00AC0074">
      <w:pPr>
        <w:spacing w:line="360" w:lineRule="auto"/>
        <w:ind w:left="1015" w:firstLine="425"/>
        <w:jc w:val="both"/>
      </w:pPr>
      <w:r>
        <w:rPr>
          <w:noProof/>
        </w:rPr>
        <w:pict w14:anchorId="1EC8E429">
          <v:line id="Straight Connector 3" o:spid="_x0000_s1027" style="position:absolute;left:0;text-align:left;z-index:251659264;visibility:visible;mso-width-relative:margin" from="215.7pt,17.35pt" to="295.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" strokecolor="black [3213]" strokeweight="1pt">
            <v:stroke dashstyle="dash"/>
          </v:line>
        </w:pict>
      </w:r>
      <w:r w:rsidR="00AC0074">
        <w:t>Experiment</w:t>
      </w:r>
      <w:r w:rsidR="00466038">
        <w:t>al</w:t>
      </w:r>
      <w:r w:rsidR="00AC0074">
        <w:t xml:space="preserve"> Class</w:t>
      </w:r>
      <w:r w:rsidR="00AC0074" w:rsidRPr="00774AC1">
        <w:tab/>
        <w:t>:</w:t>
      </w:r>
      <w:r w:rsidR="00AC0074" w:rsidRPr="00774AC1">
        <w:tab/>
        <w:t>O</w:t>
      </w:r>
      <w:r w:rsidR="00AC0074" w:rsidRPr="00774AC1">
        <w:tab/>
        <w:t>X</w:t>
      </w:r>
      <w:r w:rsidR="00AC0074" w:rsidRPr="00774AC1">
        <w:tab/>
        <w:t>O</w:t>
      </w:r>
    </w:p>
    <w:p w14:paraId="2FDB5710" w14:textId="77777777" w:rsidR="00AC0074" w:rsidRPr="00774AC1" w:rsidRDefault="00AC0074" w:rsidP="00AC0074">
      <w:pPr>
        <w:spacing w:line="360" w:lineRule="auto"/>
        <w:ind w:left="709" w:firstLine="425"/>
        <w:jc w:val="both"/>
      </w:pPr>
      <w:r w:rsidRPr="00774AC1">
        <w:tab/>
      </w:r>
      <w:r>
        <w:t>Control Class</w:t>
      </w:r>
      <w:r w:rsidRPr="00774AC1">
        <w:tab/>
      </w:r>
      <w:r w:rsidRPr="00774AC1">
        <w:tab/>
        <w:t>:</w:t>
      </w:r>
      <w:r w:rsidRPr="00774AC1">
        <w:tab/>
        <w:t>O</w:t>
      </w:r>
      <w:r w:rsidRPr="00774AC1">
        <w:tab/>
      </w:r>
      <w:r w:rsidRPr="00774AC1">
        <w:tab/>
      </w:r>
      <w:proofErr w:type="spellStart"/>
      <w:r w:rsidRPr="00774AC1">
        <w:t>O</w:t>
      </w:r>
      <w:proofErr w:type="spellEnd"/>
    </w:p>
    <w:p w14:paraId="0CA7C021" w14:textId="77777777" w:rsidR="008E62F2" w:rsidRPr="008E62F2" w:rsidRDefault="008E62F2" w:rsidP="008E62F2">
      <w:pPr>
        <w:jc w:val="both"/>
        <w:rPr>
          <w:rFonts w:asciiTheme="majorHAnsi" w:hAnsiTheme="majorHAnsi"/>
        </w:rPr>
      </w:pPr>
      <w:r w:rsidRPr="008E62F2">
        <w:rPr>
          <w:rFonts w:asciiTheme="majorHAnsi" w:hAnsiTheme="majorHAnsi"/>
        </w:rPr>
        <w:t>Annotation:</w:t>
      </w:r>
    </w:p>
    <w:p w14:paraId="1A827820" w14:textId="77777777" w:rsidR="008E62F2" w:rsidRPr="008E62F2" w:rsidRDefault="008E62F2" w:rsidP="008E62F2">
      <w:pPr>
        <w:ind w:left="426" w:hanging="426"/>
        <w:jc w:val="both"/>
        <w:rPr>
          <w:rFonts w:asciiTheme="majorHAnsi" w:hAnsiTheme="majorHAnsi"/>
        </w:rPr>
      </w:pPr>
      <w:r w:rsidRPr="008E62F2">
        <w:rPr>
          <w:rFonts w:asciiTheme="majorHAnsi" w:hAnsiTheme="majorHAnsi"/>
        </w:rPr>
        <w:t>O</w:t>
      </w:r>
      <w:r w:rsidRPr="008E62F2">
        <w:rPr>
          <w:rFonts w:asciiTheme="majorHAnsi" w:hAnsiTheme="majorHAnsi"/>
        </w:rPr>
        <w:tab/>
        <w:t>: measurement of pre response and post response to the dependent variable</w:t>
      </w:r>
    </w:p>
    <w:p w14:paraId="1A4717B4" w14:textId="07832881" w:rsidR="008E62F2" w:rsidRPr="008E62F2" w:rsidRDefault="008E62F2" w:rsidP="008E62F2">
      <w:pPr>
        <w:ind w:left="426" w:hanging="426"/>
        <w:jc w:val="both"/>
        <w:rPr>
          <w:rFonts w:asciiTheme="majorHAnsi" w:hAnsiTheme="majorHAnsi"/>
          <w:i/>
        </w:rPr>
      </w:pPr>
      <w:r w:rsidRPr="008E62F2">
        <w:rPr>
          <w:rFonts w:asciiTheme="majorHAnsi" w:hAnsiTheme="majorHAnsi"/>
        </w:rPr>
        <w:t>X</w:t>
      </w:r>
      <w:r w:rsidRPr="008E62F2">
        <w:rPr>
          <w:rFonts w:asciiTheme="majorHAnsi" w:hAnsiTheme="majorHAnsi"/>
        </w:rPr>
        <w:tab/>
        <w:t xml:space="preserve">: treatment of inquiry </w:t>
      </w:r>
      <w:r w:rsidR="006937CC">
        <w:rPr>
          <w:rFonts w:asciiTheme="majorHAnsi" w:hAnsiTheme="majorHAnsi"/>
        </w:rPr>
        <w:t>co-operation</w:t>
      </w:r>
      <w:r w:rsidRPr="008E62F2">
        <w:rPr>
          <w:rFonts w:asciiTheme="majorHAnsi" w:hAnsiTheme="majorHAnsi"/>
        </w:rPr>
        <w:t xml:space="preserve"> model learning</w:t>
      </w:r>
    </w:p>
    <w:p w14:paraId="34651115" w14:textId="77777777" w:rsidR="008E62F2" w:rsidRPr="008E62F2" w:rsidRDefault="008A061B" w:rsidP="008E62F2">
      <w:pPr>
        <w:ind w:left="426"/>
        <w:jc w:val="both"/>
        <w:rPr>
          <w:rFonts w:asciiTheme="majorHAnsi" w:hAnsiTheme="majorHAnsi"/>
        </w:rPr>
      </w:pPr>
      <w:r>
        <w:rPr>
          <w:rFonts w:asciiTheme="majorHAnsi" w:hAnsiTheme="majorHAnsi"/>
          <w:noProof/>
        </w:rPr>
        <w:pict w14:anchorId="1BE5BAC2">
          <v:line id="Straight Connector 4" o:spid="_x0000_s1028" style="position:absolute;left:0;text-align:left;z-index:251660288;visibility:visible;mso-width-relative:margin;mso-height-relative:margin" from="-.5pt,8.6pt" to="1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" strokecolor="black [3213]" strokeweight="1pt">
            <v:stroke dashstyle="dash"/>
          </v:line>
        </w:pict>
      </w:r>
      <w:r w:rsidR="008E62F2" w:rsidRPr="008E62F2">
        <w:rPr>
          <w:rFonts w:asciiTheme="majorHAnsi" w:hAnsiTheme="majorHAnsi"/>
        </w:rPr>
        <w:t>: experiment</w:t>
      </w:r>
      <w:r w:rsidR="00466038">
        <w:rPr>
          <w:rFonts w:asciiTheme="majorHAnsi" w:hAnsiTheme="majorHAnsi"/>
        </w:rPr>
        <w:t>al</w:t>
      </w:r>
      <w:r w:rsidR="008E62F2" w:rsidRPr="008E62F2">
        <w:rPr>
          <w:rFonts w:asciiTheme="majorHAnsi" w:hAnsiTheme="majorHAnsi"/>
        </w:rPr>
        <w:t xml:space="preserve"> class and control class are not randomly selected</w:t>
      </w:r>
    </w:p>
    <w:p w14:paraId="244D316A" w14:textId="77777777" w:rsidR="008E62F2" w:rsidRPr="008E62F2" w:rsidRDefault="008E62F2" w:rsidP="008E62F2">
      <w:pPr>
        <w:jc w:val="both"/>
        <w:rPr>
          <w:rFonts w:asciiTheme="majorHAnsi" w:hAnsiTheme="majorHAnsi"/>
        </w:rPr>
      </w:pPr>
    </w:p>
    <w:p w14:paraId="406D80BB" w14:textId="77777777" w:rsidR="008E62F2" w:rsidRPr="008E62F2" w:rsidRDefault="008E62F2" w:rsidP="00C25D68">
      <w:pPr>
        <w:ind w:firstLine="426"/>
        <w:jc w:val="both"/>
        <w:rPr>
          <w:rFonts w:asciiTheme="majorHAnsi" w:hAnsiTheme="majorHAnsi"/>
        </w:rPr>
      </w:pPr>
      <w:r w:rsidRPr="008E62F2">
        <w:rPr>
          <w:rFonts w:asciiTheme="majorHAnsi" w:hAnsiTheme="majorHAnsi"/>
        </w:rPr>
        <w:t>The subjects in this study were students of class VIII at one of the junior high schools in Bandung</w:t>
      </w:r>
      <w:r w:rsidR="002F6C7B">
        <w:rPr>
          <w:rFonts w:asciiTheme="majorHAnsi" w:hAnsiTheme="majorHAnsi"/>
        </w:rPr>
        <w:t>.</w:t>
      </w:r>
      <w:r w:rsidR="0084748F">
        <w:rPr>
          <w:rFonts w:asciiTheme="majorHAnsi" w:hAnsiTheme="majorHAnsi"/>
        </w:rPr>
        <w:t xml:space="preserve"> </w:t>
      </w:r>
      <w:r w:rsidR="002F6C7B">
        <w:rPr>
          <w:rFonts w:asciiTheme="majorHAnsi" w:hAnsiTheme="majorHAnsi"/>
        </w:rPr>
        <w:t>S</w:t>
      </w:r>
      <w:r w:rsidRPr="008E62F2">
        <w:rPr>
          <w:rFonts w:asciiTheme="majorHAnsi" w:hAnsiTheme="majorHAnsi"/>
        </w:rPr>
        <w:t>tudents of class VIII E as an experimental class (ICM study) and students of class VIII F as a control class (conventional learning). The instrument used was a mathematical literacy proficiency test on the material in polyhedron with indicators (1) formulating mathematical problems; (2) applying concepts, facts, procedures, and mathematical reasoning; (3) interpret</w:t>
      </w:r>
      <w:r w:rsidR="002F6C7B">
        <w:rPr>
          <w:rFonts w:asciiTheme="majorHAnsi" w:hAnsiTheme="majorHAnsi"/>
        </w:rPr>
        <w:t>ing</w:t>
      </w:r>
      <w:r w:rsidRPr="008E62F2">
        <w:rPr>
          <w:rFonts w:asciiTheme="majorHAnsi" w:hAnsiTheme="majorHAnsi"/>
        </w:rPr>
        <w:t>, us</w:t>
      </w:r>
      <w:r w:rsidR="002F6C7B">
        <w:rPr>
          <w:rFonts w:asciiTheme="majorHAnsi" w:hAnsiTheme="majorHAnsi"/>
        </w:rPr>
        <w:t>ing</w:t>
      </w:r>
      <w:r w:rsidRPr="008E62F2">
        <w:rPr>
          <w:rFonts w:asciiTheme="majorHAnsi" w:hAnsiTheme="majorHAnsi"/>
        </w:rPr>
        <w:t xml:space="preserve"> and evaluat</w:t>
      </w:r>
      <w:r w:rsidR="002F6C7B">
        <w:rPr>
          <w:rFonts w:asciiTheme="majorHAnsi" w:hAnsiTheme="majorHAnsi"/>
        </w:rPr>
        <w:t>ing</w:t>
      </w:r>
      <w:r w:rsidRPr="008E62F2">
        <w:rPr>
          <w:rFonts w:asciiTheme="majorHAnsi" w:hAnsiTheme="majorHAnsi"/>
        </w:rPr>
        <w:t xml:space="preserve"> mathematical results (OECD). Mathematical literacy proficiency in this study is reviewed from the BMP students. BMP is grouped into three groups, </w:t>
      </w:r>
      <w:r w:rsidR="002F6C7B">
        <w:rPr>
          <w:rFonts w:asciiTheme="majorHAnsi" w:hAnsiTheme="majorHAnsi"/>
        </w:rPr>
        <w:t xml:space="preserve">(1) </w:t>
      </w:r>
      <w:r w:rsidRPr="008E62F2">
        <w:rPr>
          <w:rFonts w:asciiTheme="majorHAnsi" w:hAnsiTheme="majorHAnsi"/>
        </w:rPr>
        <w:t xml:space="preserve">high BMP, </w:t>
      </w:r>
      <w:r w:rsidR="002F6C7B">
        <w:rPr>
          <w:rFonts w:asciiTheme="majorHAnsi" w:hAnsiTheme="majorHAnsi"/>
        </w:rPr>
        <w:t xml:space="preserve">(2) </w:t>
      </w:r>
      <w:r w:rsidRPr="008E62F2">
        <w:rPr>
          <w:rFonts w:asciiTheme="majorHAnsi" w:hAnsiTheme="majorHAnsi"/>
        </w:rPr>
        <w:t xml:space="preserve">medium BMP, and </w:t>
      </w:r>
      <w:r w:rsidR="002F6C7B">
        <w:rPr>
          <w:rFonts w:asciiTheme="majorHAnsi" w:hAnsiTheme="majorHAnsi"/>
        </w:rPr>
        <w:t xml:space="preserve">(3) </w:t>
      </w:r>
      <w:r w:rsidRPr="008E62F2">
        <w:rPr>
          <w:rFonts w:asciiTheme="majorHAnsi" w:hAnsiTheme="majorHAnsi"/>
        </w:rPr>
        <w:t>low BMP</w:t>
      </w:r>
      <w:r w:rsidR="002F6C7B">
        <w:rPr>
          <w:rFonts w:asciiTheme="majorHAnsi" w:hAnsiTheme="majorHAnsi"/>
        </w:rPr>
        <w:t>,</w:t>
      </w:r>
      <w:r w:rsidRPr="008E62F2">
        <w:rPr>
          <w:rFonts w:asciiTheme="majorHAnsi" w:hAnsiTheme="majorHAnsi"/>
        </w:rPr>
        <w:t xml:space="preserve"> with the following criteria</w:t>
      </w:r>
      <w:r w:rsidR="00DC41E2">
        <w:rPr>
          <w:rFonts w:asciiTheme="majorHAnsi" w:hAnsiTheme="majorHAnsi"/>
        </w:rPr>
        <w:fldChar w:fldCharType="begin" w:fldLock="1"/>
      </w:r>
      <w:r w:rsidR="00AD4D82">
        <w:rPr>
          <w:rFonts w:asciiTheme="majorHAnsi" w:hAnsiTheme="majorHAnsi"/>
        </w:rPr>
        <w:instrText>ADDIN CSL_CITATION {"citationItems":[{"id":"ITEM-1","itemData":{"author":[{"dropping-particle":"","family":"Lestari","given":"","non-dropping-particle":"","parse-names":false,"suffix":""},{"dropping-particle":"","family":"Yudhanegara","given":"","non-dropping-particle":"","parse-names":false,"suffix":""}],"id":"ITEM-1","issued":{"date-parts":[["2017"]]},"publisher":"Reflika Aditama","publisher-place":"Bandung","title":"Penelitian Pendidikan Matematika","type":"book"},"locator":"233","uris":["http://www.mendeley.com/documents/?uuid=af5935fd-32ed-40d5-8801-4bfd691cd7ac"]}],"mendeley":{"formattedCitation":"(Lestari &amp; Yudhanegara, 2017, p. 233)","plainTextFormattedCitation":"(Lestari &amp; Yudhanegara, 2017, p. 233)","previouslyFormattedCitation":"(Lestari &amp; Yudhanegara, 2017, p. 233)"},"properties":{"noteIndex":0},"schema":"https://github.com/citation-style-language/schema/raw/master/csl-citation.json"}</w:instrText>
      </w:r>
      <w:r w:rsidR="00DC41E2">
        <w:rPr>
          <w:rFonts w:asciiTheme="majorHAnsi" w:hAnsiTheme="majorHAnsi"/>
        </w:rPr>
        <w:fldChar w:fldCharType="separate"/>
      </w:r>
      <w:r w:rsidR="00BC7E86" w:rsidRPr="00BC7E86">
        <w:rPr>
          <w:rFonts w:asciiTheme="majorHAnsi" w:hAnsiTheme="majorHAnsi"/>
          <w:noProof/>
        </w:rPr>
        <w:t>(Lestari &amp; Yudhanegara, 2017, p. 233)</w:t>
      </w:r>
      <w:r w:rsidR="00DC41E2">
        <w:rPr>
          <w:rFonts w:asciiTheme="majorHAnsi" w:hAnsiTheme="majorHAnsi"/>
        </w:rPr>
        <w:fldChar w:fldCharType="end"/>
      </w:r>
      <w:r w:rsidRPr="008E62F2">
        <w:rPr>
          <w:rFonts w:asciiTheme="majorHAnsi" w:hAnsiTheme="majorHAnsi"/>
        </w:rPr>
        <w:t>.</w:t>
      </w:r>
    </w:p>
    <w:p w14:paraId="43F05BE0" w14:textId="77777777" w:rsidR="008E62F2" w:rsidRPr="008E62F2" w:rsidRDefault="008E62F2" w:rsidP="008E62F2">
      <w:pPr>
        <w:jc w:val="both"/>
        <w:rPr>
          <w:rFonts w:asciiTheme="majorHAnsi" w:hAnsiTheme="majorHAnsi"/>
        </w:rPr>
      </w:pPr>
    </w:p>
    <w:p w14:paraId="77018753" w14:textId="0CE3D6C0" w:rsidR="008E62F2" w:rsidRPr="001261AF" w:rsidRDefault="001261AF" w:rsidP="001261AF">
      <w:pPr>
        <w:rPr>
          <w:rFonts w:asciiTheme="majorHAnsi" w:hAnsiTheme="majorHAnsi"/>
          <w:sz w:val="22"/>
        </w:rPr>
      </w:pPr>
      <w:r>
        <w:rPr>
          <w:rFonts w:asciiTheme="majorHAnsi" w:hAnsiTheme="majorHAnsi"/>
          <w:b/>
          <w:sz w:val="22"/>
        </w:rPr>
        <w:t xml:space="preserve">                                                     Table</w:t>
      </w:r>
      <w:r w:rsidR="00CA51F4">
        <w:rPr>
          <w:rFonts w:asciiTheme="majorHAnsi" w:hAnsiTheme="majorHAnsi"/>
          <w:b/>
          <w:sz w:val="22"/>
        </w:rPr>
        <w:t xml:space="preserve"> 1.</w:t>
      </w:r>
      <w:r w:rsidR="00A1532F">
        <w:rPr>
          <w:rFonts w:asciiTheme="majorHAnsi" w:hAnsiTheme="majorHAnsi"/>
          <w:b/>
          <w:sz w:val="22"/>
        </w:rPr>
        <w:t xml:space="preserve"> </w:t>
      </w:r>
      <w:r w:rsidR="008E62F2" w:rsidRPr="001261AF">
        <w:rPr>
          <w:rFonts w:asciiTheme="majorHAnsi" w:hAnsiTheme="majorHAnsi"/>
          <w:sz w:val="22"/>
        </w:rPr>
        <w:t>Grouping Students Based on BMP</w:t>
      </w:r>
    </w:p>
    <w:tbl>
      <w:tblPr>
        <w:tblStyle w:val="TableGrid"/>
        <w:tblW w:w="4727" w:type="dxa"/>
        <w:tblInd w:w="22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576"/>
      </w:tblGrid>
      <w:tr w:rsidR="008E62F2" w:rsidRPr="008E62F2" w14:paraId="61324A07" w14:textId="77777777" w:rsidTr="00E7329A">
        <w:tc>
          <w:tcPr>
            <w:tcW w:w="2151" w:type="dxa"/>
            <w:tcBorders>
              <w:top w:val="single" w:sz="4" w:space="0" w:color="auto"/>
              <w:bottom w:val="single" w:sz="4" w:space="0" w:color="auto"/>
            </w:tcBorders>
          </w:tcPr>
          <w:p w14:paraId="10B16B06" w14:textId="77777777" w:rsidR="008E62F2" w:rsidRPr="001261AF" w:rsidRDefault="00DF44EA" w:rsidP="00BB0AC0">
            <w:pPr>
              <w:pStyle w:val="ListParagraph"/>
              <w:ind w:left="0"/>
              <w:jc w:val="center"/>
              <w:rPr>
                <w:rFonts w:asciiTheme="majorHAnsi" w:hAnsiTheme="majorHAnsi"/>
                <w:b/>
                <w:sz w:val="22"/>
                <w:szCs w:val="22"/>
              </w:rPr>
            </w:pPr>
            <w:r w:rsidRPr="001261AF">
              <w:rPr>
                <w:rFonts w:asciiTheme="majorHAnsi" w:hAnsiTheme="majorHAnsi"/>
                <w:b/>
                <w:sz w:val="22"/>
                <w:szCs w:val="22"/>
              </w:rPr>
              <w:t>Criteria</w:t>
            </w:r>
          </w:p>
        </w:tc>
        <w:tc>
          <w:tcPr>
            <w:tcW w:w="2576" w:type="dxa"/>
            <w:tcBorders>
              <w:top w:val="single" w:sz="4" w:space="0" w:color="auto"/>
              <w:bottom w:val="single" w:sz="4" w:space="0" w:color="auto"/>
            </w:tcBorders>
          </w:tcPr>
          <w:p w14:paraId="01638001" w14:textId="77777777" w:rsidR="008E62F2" w:rsidRPr="001261AF" w:rsidRDefault="00DF44EA" w:rsidP="00BB0AC0">
            <w:pPr>
              <w:pStyle w:val="ListParagraph"/>
              <w:ind w:left="0"/>
              <w:jc w:val="center"/>
              <w:rPr>
                <w:rFonts w:asciiTheme="majorHAnsi" w:hAnsiTheme="majorHAnsi"/>
                <w:b/>
                <w:sz w:val="22"/>
                <w:szCs w:val="22"/>
              </w:rPr>
            </w:pPr>
            <w:r w:rsidRPr="001261AF">
              <w:rPr>
                <w:rFonts w:asciiTheme="majorHAnsi" w:hAnsiTheme="majorHAnsi"/>
                <w:b/>
                <w:sz w:val="22"/>
                <w:szCs w:val="22"/>
              </w:rPr>
              <w:t>Category</w:t>
            </w:r>
          </w:p>
        </w:tc>
      </w:tr>
      <w:tr w:rsidR="008E62F2" w:rsidRPr="008E62F2" w14:paraId="7C5FA63A" w14:textId="77777777" w:rsidTr="00E7329A">
        <w:tc>
          <w:tcPr>
            <w:tcW w:w="2151" w:type="dxa"/>
            <w:tcBorders>
              <w:top w:val="single" w:sz="4" w:space="0" w:color="auto"/>
              <w:bottom w:val="single" w:sz="4" w:space="0" w:color="auto"/>
            </w:tcBorders>
          </w:tcPr>
          <w:p w14:paraId="614EDA11" w14:textId="77777777" w:rsidR="008E62F2" w:rsidRPr="001261AF" w:rsidRDefault="00DF44EA" w:rsidP="00BB0AC0">
            <w:pPr>
              <w:pStyle w:val="ListParagraph"/>
              <w:ind w:left="0"/>
              <w:jc w:val="center"/>
              <w:rPr>
                <w:rFonts w:asciiTheme="majorHAnsi" w:hAnsiTheme="majorHAnsi"/>
                <w:sz w:val="22"/>
                <w:szCs w:val="22"/>
              </w:rPr>
            </w:pPr>
            <w:r w:rsidRPr="001261AF">
              <w:rPr>
                <w:rFonts w:asciiTheme="majorHAnsi" w:hAnsiTheme="majorHAnsi"/>
                <w:position w:val="-4"/>
                <w:sz w:val="22"/>
                <w:szCs w:val="22"/>
              </w:rPr>
              <w:object w:dxaOrig="760" w:dyaOrig="260" w14:anchorId="573A7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2.75pt" o:ole="">
                  <v:imagedata r:id="rId17" o:title=""/>
                </v:shape>
                <o:OLEObject Type="Embed" ProgID="Equation.DSMT4" ShapeID="_x0000_i1025" DrawAspect="Content" ObjectID="_1644862350" r:id="rId18"/>
              </w:object>
            </w:r>
            <m:oMath>
              <m:acc>
                <m:accPr>
                  <m:chr m:val="̅"/>
                  <m:ctrlPr>
                    <w:rPr>
                      <w:rFonts w:ascii="Cambria Math" w:hAnsiTheme="majorHAnsi"/>
                      <w:i/>
                      <w:sz w:val="22"/>
                      <w:szCs w:val="22"/>
                    </w:rPr>
                  </m:ctrlPr>
                </m:accPr>
                <m:e>
                  <m:r>
                    <w:rPr>
                      <w:rFonts w:ascii="Cambria Math" w:hAnsi="Cambria Math"/>
                      <w:sz w:val="22"/>
                      <w:szCs w:val="22"/>
                    </w:rPr>
                    <m:t>x</m:t>
                  </m:r>
                </m:e>
              </m:acc>
            </m:oMath>
            <w:r w:rsidR="008E62F2" w:rsidRPr="001261AF">
              <w:rPr>
                <w:rFonts w:asciiTheme="majorHAnsi" w:eastAsiaTheme="minorEastAsia" w:hAnsiTheme="majorHAnsi"/>
                <w:sz w:val="22"/>
                <w:szCs w:val="22"/>
              </w:rPr>
              <w:t xml:space="preserve"> + </w:t>
            </w:r>
            <m:oMath>
              <m:r>
                <w:rPr>
                  <w:rFonts w:ascii="Cambria Math" w:hAnsi="Cambria Math"/>
                  <w:sz w:val="22"/>
                  <w:szCs w:val="22"/>
                </w:rPr>
                <m:t>s</m:t>
              </m:r>
            </m:oMath>
          </w:p>
        </w:tc>
        <w:tc>
          <w:tcPr>
            <w:tcW w:w="2576" w:type="dxa"/>
            <w:tcBorders>
              <w:top w:val="single" w:sz="4" w:space="0" w:color="auto"/>
              <w:bottom w:val="single" w:sz="4" w:space="0" w:color="auto"/>
            </w:tcBorders>
          </w:tcPr>
          <w:p w14:paraId="29109638" w14:textId="77777777" w:rsidR="008E62F2" w:rsidRPr="001261AF" w:rsidRDefault="008E62F2" w:rsidP="00BB0AC0">
            <w:pPr>
              <w:pStyle w:val="ListParagraph"/>
              <w:ind w:left="0"/>
              <w:jc w:val="center"/>
              <w:rPr>
                <w:rFonts w:asciiTheme="majorHAnsi" w:hAnsiTheme="majorHAnsi"/>
                <w:sz w:val="22"/>
                <w:szCs w:val="22"/>
              </w:rPr>
            </w:pPr>
            <w:r w:rsidRPr="001261AF">
              <w:rPr>
                <w:rFonts w:asciiTheme="majorHAnsi" w:hAnsiTheme="majorHAnsi"/>
                <w:sz w:val="22"/>
                <w:szCs w:val="22"/>
              </w:rPr>
              <w:t>High group students</w:t>
            </w:r>
          </w:p>
        </w:tc>
      </w:tr>
      <w:tr w:rsidR="008E62F2" w:rsidRPr="008E62F2" w14:paraId="1778B50E" w14:textId="77777777" w:rsidTr="00E7329A">
        <w:tc>
          <w:tcPr>
            <w:tcW w:w="2151" w:type="dxa"/>
            <w:tcBorders>
              <w:top w:val="single" w:sz="4" w:space="0" w:color="auto"/>
              <w:bottom w:val="single" w:sz="4" w:space="0" w:color="auto"/>
            </w:tcBorders>
          </w:tcPr>
          <w:p w14:paraId="7C78EEA3" w14:textId="77777777" w:rsidR="008E62F2" w:rsidRPr="001261AF" w:rsidRDefault="008A061B" w:rsidP="00BB0AC0">
            <w:pPr>
              <w:pStyle w:val="ListParagraph"/>
              <w:ind w:left="0"/>
              <w:jc w:val="center"/>
              <w:rPr>
                <w:rFonts w:asciiTheme="majorHAnsi" w:hAnsiTheme="majorHAnsi"/>
                <w:sz w:val="22"/>
                <w:szCs w:val="22"/>
              </w:rPr>
            </w:pPr>
            <m:oMath>
              <m:acc>
                <m:accPr>
                  <m:chr m:val="̅"/>
                  <m:ctrlPr>
                    <w:rPr>
                      <w:rFonts w:ascii="Cambria Math" w:hAnsiTheme="majorHAnsi"/>
                      <w:i/>
                      <w:sz w:val="22"/>
                      <w:szCs w:val="22"/>
                    </w:rPr>
                  </m:ctrlPr>
                </m:accPr>
                <m:e>
                  <m:r>
                    <w:rPr>
                      <w:rFonts w:ascii="Cambria Math" w:hAnsi="Cambria Math"/>
                      <w:sz w:val="22"/>
                      <w:szCs w:val="22"/>
                    </w:rPr>
                    <m:t>x</m:t>
                  </m:r>
                </m:e>
              </m:acc>
            </m:oMath>
            <w:r w:rsidR="008E62F2" w:rsidRPr="001261AF">
              <w:rPr>
                <w:rFonts w:asciiTheme="majorHAnsi" w:eastAsiaTheme="minorEastAsia" w:hAnsiTheme="majorHAnsi"/>
                <w:sz w:val="22"/>
                <w:szCs w:val="22"/>
              </w:rPr>
              <w:t xml:space="preserve"> - </w:t>
            </w:r>
            <m:oMath>
              <m:r>
                <w:rPr>
                  <w:rFonts w:ascii="Cambria Math" w:hAnsi="Cambria Math"/>
                  <w:sz w:val="22"/>
                  <w:szCs w:val="22"/>
                </w:rPr>
                <m:t>s</m:t>
              </m:r>
            </m:oMath>
            <w:r w:rsidR="00DF44EA" w:rsidRPr="001261AF">
              <w:rPr>
                <w:rFonts w:asciiTheme="majorHAnsi" w:hAnsiTheme="majorHAnsi"/>
                <w:position w:val="-4"/>
                <w:sz w:val="22"/>
                <w:szCs w:val="22"/>
              </w:rPr>
              <w:object w:dxaOrig="940" w:dyaOrig="260" w14:anchorId="781B7178">
                <v:shape id="_x0000_i1026" type="#_x0000_t75" style="width:46.5pt;height:12.75pt" o:ole="">
                  <v:imagedata r:id="rId19" o:title=""/>
                </v:shape>
                <o:OLEObject Type="Embed" ProgID="Equation.DSMT4" ShapeID="_x0000_i1026" DrawAspect="Content" ObjectID="_1644862351" r:id="rId20"/>
              </w:object>
            </w:r>
            <m:oMath>
              <m:acc>
                <m:accPr>
                  <m:chr m:val="̅"/>
                  <m:ctrlPr>
                    <w:rPr>
                      <w:rFonts w:ascii="Cambria Math" w:hAnsiTheme="majorHAnsi"/>
                      <w:i/>
                      <w:sz w:val="22"/>
                      <w:szCs w:val="22"/>
                    </w:rPr>
                  </m:ctrlPr>
                </m:accPr>
                <m:e>
                  <m:r>
                    <w:rPr>
                      <w:rFonts w:ascii="Cambria Math" w:hAnsi="Cambria Math"/>
                      <w:sz w:val="22"/>
                      <w:szCs w:val="22"/>
                    </w:rPr>
                    <m:t>x</m:t>
                  </m:r>
                </m:e>
              </m:acc>
            </m:oMath>
            <w:r w:rsidR="008E62F2" w:rsidRPr="001261AF">
              <w:rPr>
                <w:rFonts w:asciiTheme="majorHAnsi" w:eastAsiaTheme="minorEastAsia" w:hAnsiTheme="majorHAnsi"/>
                <w:sz w:val="22"/>
                <w:szCs w:val="22"/>
              </w:rPr>
              <w:t xml:space="preserve"> + </w:t>
            </w:r>
            <m:oMath>
              <m:r>
                <w:rPr>
                  <w:rFonts w:ascii="Cambria Math" w:hAnsi="Cambria Math"/>
                  <w:sz w:val="22"/>
                  <w:szCs w:val="22"/>
                </w:rPr>
                <m:t>s</m:t>
              </m:r>
            </m:oMath>
          </w:p>
        </w:tc>
        <w:tc>
          <w:tcPr>
            <w:tcW w:w="2576" w:type="dxa"/>
            <w:tcBorders>
              <w:top w:val="single" w:sz="4" w:space="0" w:color="auto"/>
              <w:bottom w:val="single" w:sz="4" w:space="0" w:color="auto"/>
            </w:tcBorders>
          </w:tcPr>
          <w:p w14:paraId="4667CEE3" w14:textId="77777777" w:rsidR="008E62F2" w:rsidRPr="001261AF" w:rsidRDefault="008E62F2" w:rsidP="00BB0AC0">
            <w:pPr>
              <w:jc w:val="center"/>
              <w:rPr>
                <w:rFonts w:asciiTheme="majorHAnsi" w:hAnsiTheme="majorHAnsi"/>
                <w:sz w:val="22"/>
                <w:szCs w:val="22"/>
              </w:rPr>
            </w:pPr>
            <w:r w:rsidRPr="001261AF">
              <w:rPr>
                <w:rFonts w:asciiTheme="majorHAnsi" w:hAnsiTheme="majorHAnsi"/>
                <w:sz w:val="22"/>
                <w:szCs w:val="22"/>
              </w:rPr>
              <w:t>Medium group students</w:t>
            </w:r>
          </w:p>
        </w:tc>
      </w:tr>
      <w:tr w:rsidR="008E62F2" w:rsidRPr="008E62F2" w14:paraId="7DAAD326" w14:textId="77777777" w:rsidTr="00E7329A">
        <w:trPr>
          <w:trHeight w:val="80"/>
        </w:trPr>
        <w:tc>
          <w:tcPr>
            <w:tcW w:w="2151" w:type="dxa"/>
            <w:tcBorders>
              <w:top w:val="single" w:sz="4" w:space="0" w:color="auto"/>
            </w:tcBorders>
          </w:tcPr>
          <w:p w14:paraId="0CC6A4B8" w14:textId="77777777" w:rsidR="008E62F2" w:rsidRPr="001261AF" w:rsidRDefault="00DF44EA" w:rsidP="00BB0AC0">
            <w:pPr>
              <w:pStyle w:val="ListParagraph"/>
              <w:ind w:left="0"/>
              <w:jc w:val="center"/>
              <w:rPr>
                <w:rFonts w:asciiTheme="majorHAnsi" w:hAnsiTheme="majorHAnsi"/>
                <w:sz w:val="22"/>
                <w:szCs w:val="22"/>
              </w:rPr>
            </w:pPr>
            <w:r w:rsidRPr="001261AF">
              <w:rPr>
                <w:rFonts w:asciiTheme="majorHAnsi" w:hAnsiTheme="majorHAnsi"/>
                <w:position w:val="-4"/>
                <w:sz w:val="22"/>
                <w:szCs w:val="22"/>
              </w:rPr>
              <w:object w:dxaOrig="760" w:dyaOrig="260" w14:anchorId="4FDCF863">
                <v:shape id="_x0000_i1027" type="#_x0000_t75" style="width:37.5pt;height:12.75pt" o:ole="">
                  <v:imagedata r:id="rId21" o:title=""/>
                </v:shape>
                <o:OLEObject Type="Embed" ProgID="Equation.DSMT4" ShapeID="_x0000_i1027" DrawAspect="Content" ObjectID="_1644862352" r:id="rId22"/>
              </w:object>
            </w:r>
            <m:oMath>
              <m:acc>
                <m:accPr>
                  <m:chr m:val="̅"/>
                  <m:ctrlPr>
                    <w:rPr>
                      <w:rFonts w:ascii="Cambria Math" w:hAnsiTheme="majorHAnsi"/>
                      <w:i/>
                      <w:sz w:val="22"/>
                      <w:szCs w:val="22"/>
                    </w:rPr>
                  </m:ctrlPr>
                </m:accPr>
                <m:e>
                  <m:r>
                    <w:rPr>
                      <w:rFonts w:ascii="Cambria Math" w:hAnsi="Cambria Math"/>
                      <w:sz w:val="22"/>
                      <w:szCs w:val="22"/>
                    </w:rPr>
                    <m:t>x</m:t>
                  </m:r>
                </m:e>
              </m:acc>
            </m:oMath>
            <w:r w:rsidR="008E62F2" w:rsidRPr="001261AF">
              <w:rPr>
                <w:rFonts w:asciiTheme="majorHAnsi" w:eastAsiaTheme="minorEastAsia" w:hAnsiTheme="majorHAnsi"/>
                <w:sz w:val="22"/>
                <w:szCs w:val="22"/>
              </w:rPr>
              <w:t xml:space="preserve"> + </w:t>
            </w:r>
            <m:oMath>
              <m:r>
                <w:rPr>
                  <w:rFonts w:ascii="Cambria Math" w:hAnsi="Cambria Math"/>
                  <w:sz w:val="22"/>
                  <w:szCs w:val="22"/>
                </w:rPr>
                <m:t>s</m:t>
              </m:r>
            </m:oMath>
          </w:p>
        </w:tc>
        <w:tc>
          <w:tcPr>
            <w:tcW w:w="2576" w:type="dxa"/>
            <w:tcBorders>
              <w:top w:val="single" w:sz="4" w:space="0" w:color="auto"/>
            </w:tcBorders>
          </w:tcPr>
          <w:p w14:paraId="3BA9D706" w14:textId="77777777" w:rsidR="008E62F2" w:rsidRPr="001261AF" w:rsidRDefault="008E62F2" w:rsidP="00BB0AC0">
            <w:pPr>
              <w:pStyle w:val="ListParagraph"/>
              <w:ind w:left="0"/>
              <w:jc w:val="center"/>
              <w:rPr>
                <w:rFonts w:asciiTheme="majorHAnsi" w:hAnsiTheme="majorHAnsi"/>
                <w:sz w:val="22"/>
                <w:szCs w:val="22"/>
              </w:rPr>
            </w:pPr>
            <w:r w:rsidRPr="001261AF">
              <w:rPr>
                <w:rFonts w:asciiTheme="majorHAnsi" w:hAnsiTheme="majorHAnsi"/>
                <w:sz w:val="22"/>
                <w:szCs w:val="22"/>
              </w:rPr>
              <w:t>Low group students</w:t>
            </w:r>
          </w:p>
        </w:tc>
      </w:tr>
    </w:tbl>
    <w:p w14:paraId="1D734E12" w14:textId="77777777" w:rsidR="00BC7E86" w:rsidRDefault="00BC7E86" w:rsidP="000A010F">
      <w:pPr>
        <w:spacing w:line="360" w:lineRule="auto"/>
        <w:jc w:val="both"/>
        <w:rPr>
          <w:rFonts w:asciiTheme="majorHAnsi" w:hAnsiTheme="majorHAnsi"/>
        </w:rPr>
      </w:pPr>
    </w:p>
    <w:p w14:paraId="6B86C65A" w14:textId="1BEA6CDA" w:rsidR="000A010F" w:rsidRPr="000A010F" w:rsidRDefault="000A010F" w:rsidP="000A010F">
      <w:pPr>
        <w:spacing w:line="360" w:lineRule="auto"/>
        <w:jc w:val="both"/>
        <w:rPr>
          <w:rFonts w:asciiTheme="majorHAnsi" w:hAnsiTheme="majorHAnsi"/>
        </w:rPr>
      </w:pPr>
      <w:r w:rsidRPr="000A010F">
        <w:rPr>
          <w:rFonts w:asciiTheme="majorHAnsi" w:hAnsiTheme="majorHAnsi"/>
        </w:rPr>
        <w:t xml:space="preserve">The magnitude of the enhancement in students' mathematical literacy proficiency </w:t>
      </w:r>
      <w:r w:rsidR="002F6C7B">
        <w:rPr>
          <w:rFonts w:asciiTheme="majorHAnsi" w:hAnsiTheme="majorHAnsi"/>
        </w:rPr>
        <w:t xml:space="preserve">on </w:t>
      </w:r>
      <w:r w:rsidRPr="000A010F">
        <w:rPr>
          <w:rFonts w:asciiTheme="majorHAnsi" w:hAnsiTheme="majorHAnsi"/>
        </w:rPr>
        <w:t>experimental class and control class is calculated using the normalized gain (normalized gain) developed by</w:t>
      </w:r>
      <w:r w:rsidR="00E82706">
        <w:rPr>
          <w:rFonts w:asciiTheme="majorHAnsi" w:hAnsiTheme="majorHAnsi"/>
        </w:rPr>
        <w:t xml:space="preserve"> </w:t>
      </w:r>
      <w:r w:rsidR="00AD4D82" w:rsidRPr="00AD4D82">
        <w:rPr>
          <w:rFonts w:asciiTheme="majorHAnsi" w:hAnsiTheme="majorHAnsi"/>
        </w:rPr>
        <w:t>Meltzer</w:t>
      </w:r>
      <w:r w:rsidR="00DC41E2">
        <w:rPr>
          <w:rFonts w:asciiTheme="majorHAnsi" w:hAnsiTheme="majorHAnsi"/>
        </w:rPr>
        <w:fldChar w:fldCharType="begin" w:fldLock="1"/>
      </w:r>
      <w:r w:rsidR="00B138C3">
        <w:rPr>
          <w:rFonts w:asciiTheme="majorHAnsi" w:hAnsiTheme="majorHAnsi"/>
        </w:rPr>
        <w:instrText>ADDIN CSL_CITATION {"citationItems":[{"id":"ITEM-1","itemData":{"author":[{"dropping-particle":"","family":"Meltzer","given":"D.E","non-dropping-particle":"","parse-names":false,"suffix":""}],"id":"ITEM-1","issued":{"date-parts":[["2002"]]},"publisher-place":"Iowa","title":"The relationship between mathematics preparation and conceptual learning gains in physics: a possible ìhidden variableî in diagnostic pretest scores","type":"report"},"suppress-author":1,"uris":["http://www.mendeley.com/documents/?uuid=eb2cfe30-e78b-4746-8098-af7d601f0e6a"]}],"mendeley":{"formattedCitation":"(2002)","plainTextFormattedCitation":"(2002)","previouslyFormattedCitation":"(2002)"},"properties":{"noteIndex":0},"schema":"https://github.com/citation-style-language/schema/raw/master/csl-citation.json"}</w:instrText>
      </w:r>
      <w:r w:rsidR="00DC41E2">
        <w:rPr>
          <w:rFonts w:asciiTheme="majorHAnsi" w:hAnsiTheme="majorHAnsi"/>
        </w:rPr>
        <w:fldChar w:fldCharType="separate"/>
      </w:r>
      <w:r w:rsidR="00AD4D82" w:rsidRPr="00AD4D82">
        <w:rPr>
          <w:rFonts w:asciiTheme="majorHAnsi" w:hAnsiTheme="majorHAnsi"/>
          <w:noProof/>
        </w:rPr>
        <w:t>(2002)</w:t>
      </w:r>
      <w:r w:rsidR="00DC41E2">
        <w:rPr>
          <w:rFonts w:asciiTheme="majorHAnsi" w:hAnsiTheme="majorHAnsi"/>
        </w:rPr>
        <w:fldChar w:fldCharType="end"/>
      </w:r>
      <w:r w:rsidRPr="000A010F">
        <w:rPr>
          <w:rFonts w:asciiTheme="majorHAnsi" w:hAnsiTheme="majorHAnsi"/>
        </w:rPr>
        <w:t>as follows</w:t>
      </w:r>
      <w:r w:rsidR="002F6C7B">
        <w:rPr>
          <w:rFonts w:asciiTheme="majorHAnsi" w:hAnsiTheme="majorHAnsi"/>
        </w:rPr>
        <w:t>:</w:t>
      </w:r>
    </w:p>
    <w:p w14:paraId="2C746548" w14:textId="77777777" w:rsidR="000A010F" w:rsidRPr="00774AC1" w:rsidRDefault="000A010F" w:rsidP="00F85303">
      <w:pPr>
        <w:spacing w:line="360" w:lineRule="auto"/>
        <w:ind w:left="1985" w:firstLine="567"/>
        <w:jc w:val="both"/>
      </w:pPr>
      <w:r w:rsidRPr="00E7329A">
        <w:rPr>
          <w:rFonts w:asciiTheme="majorHAnsi" w:hAnsiTheme="majorHAnsi"/>
          <w:position w:val="-28"/>
        </w:rPr>
        <w:object w:dxaOrig="4140" w:dyaOrig="660" w14:anchorId="6B31C81A">
          <v:shape id="_x0000_i1028" type="#_x0000_t75" style="width:206.25pt;height:33pt" o:ole="">
            <v:imagedata r:id="rId23" o:title=""/>
          </v:shape>
          <o:OLEObject Type="Embed" ProgID="Equation.DSMT4" ShapeID="_x0000_i1028" DrawAspect="Content" ObjectID="_1644862353" r:id="rId24"/>
        </w:object>
      </w:r>
      <w:r w:rsidR="00466038">
        <w:rPr>
          <w:rFonts w:asciiTheme="majorHAnsi" w:hAnsiTheme="majorHAnsi"/>
          <w:position w:val="-28"/>
        </w:rPr>
        <w:t xml:space="preserve">                                                 </w:t>
      </w:r>
      <w:r w:rsidR="00F85303" w:rsidRPr="00AD3C84">
        <w:rPr>
          <w:rFonts w:asciiTheme="majorHAnsi" w:hAnsiTheme="majorHAnsi"/>
        </w:rPr>
        <w:t>(1)</w:t>
      </w:r>
    </w:p>
    <w:p w14:paraId="085E34EE" w14:textId="6BAE9FD3" w:rsidR="000A010F" w:rsidRDefault="000A010F" w:rsidP="000A010F">
      <w:pPr>
        <w:rPr>
          <w:rFonts w:asciiTheme="majorHAnsi" w:hAnsiTheme="majorHAnsi"/>
        </w:rPr>
      </w:pPr>
      <w:bookmarkStart w:id="1" w:name="_Hlk484374959"/>
      <w:r w:rsidRPr="000A010F">
        <w:rPr>
          <w:rFonts w:asciiTheme="majorHAnsi" w:hAnsiTheme="majorHAnsi"/>
        </w:rPr>
        <w:t xml:space="preserve">The results of the </w:t>
      </w:r>
      <w:r w:rsidRPr="000A010F">
        <w:rPr>
          <w:rFonts w:asciiTheme="majorHAnsi" w:hAnsiTheme="majorHAnsi"/>
          <w:i/>
        </w:rPr>
        <w:t>n-gain</w:t>
      </w:r>
      <w:r w:rsidRPr="000A010F">
        <w:rPr>
          <w:rFonts w:asciiTheme="majorHAnsi" w:hAnsiTheme="majorHAnsi"/>
        </w:rPr>
        <w:t xml:space="preserve"> calculation are then interpreted using the classification from</w:t>
      </w:r>
      <w:r w:rsidR="00A1532F">
        <w:rPr>
          <w:rFonts w:asciiTheme="majorHAnsi" w:hAnsiTheme="majorHAnsi"/>
        </w:rPr>
        <w:t xml:space="preserve"> Hake </w:t>
      </w:r>
      <w:r w:rsidR="00A1532F">
        <w:rPr>
          <w:rFonts w:asciiTheme="majorHAnsi" w:hAnsiTheme="majorHAnsi"/>
        </w:rPr>
        <w:fldChar w:fldCharType="begin" w:fldLock="1"/>
      </w:r>
      <w:r w:rsidR="00BD5E85">
        <w:rPr>
          <w:rFonts w:asciiTheme="majorHAnsi" w:hAnsiTheme="majorHAnsi"/>
        </w:rPr>
        <w:instrText>ADDIN CSL_CITATION {"citationItems":[{"id":"ITEM-1","itemData":{"ISSN":"2040-2058","author":[{"dropping-particle":"","family":"Hake","given":"Richard R.","non-dropping-particle":"","parse-names":false,"suffix":""}],"container-title":"Unpublished.[online] URL: http://www. physics. indiana. edu/\\~ sdi/AnalyzingChange-Gain. pdf","id":"ITEM-1","issue":"7","issued":{"date-parts":[["1999"]]},"page":"1073-80","title":"Analyzing change/gain scores","type":"article-journal","volume":"16"},"suppress-author":1,"uris":["http://www.mendeley.com/documents/?uuid=c05963ac-65a9-44d8-8e8d-01a3db557fad"]}],"mendeley":{"formattedCitation":"(1999)","plainTextFormattedCitation":"(1999)","previouslyFormattedCitation":"(1999)"},"properties":{"noteIndex":0},"schema":"https://github.com/citation-style-language/schema/raw/master/csl-citation.json"}</w:instrText>
      </w:r>
      <w:r w:rsidR="00A1532F">
        <w:rPr>
          <w:rFonts w:asciiTheme="majorHAnsi" w:hAnsiTheme="majorHAnsi"/>
        </w:rPr>
        <w:fldChar w:fldCharType="separate"/>
      </w:r>
      <w:r w:rsidR="00A1532F" w:rsidRPr="00A1532F">
        <w:rPr>
          <w:rFonts w:asciiTheme="majorHAnsi" w:hAnsiTheme="majorHAnsi"/>
          <w:noProof/>
        </w:rPr>
        <w:t>(1999)</w:t>
      </w:r>
      <w:r w:rsidR="00A1532F">
        <w:rPr>
          <w:rFonts w:asciiTheme="majorHAnsi" w:hAnsiTheme="majorHAnsi"/>
        </w:rPr>
        <w:fldChar w:fldCharType="end"/>
      </w:r>
      <w:r w:rsidRPr="000A010F">
        <w:rPr>
          <w:rFonts w:asciiTheme="majorHAnsi" w:hAnsiTheme="majorHAnsi"/>
        </w:rPr>
        <w:t xml:space="preserve"> which can be seen in the following table.</w:t>
      </w:r>
    </w:p>
    <w:p w14:paraId="212143AA" w14:textId="77777777" w:rsidR="000A010F" w:rsidRPr="000A010F" w:rsidRDefault="000A010F" w:rsidP="000A010F">
      <w:pPr>
        <w:rPr>
          <w:rFonts w:asciiTheme="majorHAnsi" w:hAnsiTheme="majorHAnsi"/>
        </w:rPr>
      </w:pPr>
    </w:p>
    <w:p w14:paraId="142D82E3" w14:textId="08F3B91B" w:rsidR="000A010F" w:rsidRPr="000A010F" w:rsidRDefault="00A1532F" w:rsidP="000A010F">
      <w:pPr>
        <w:ind w:left="2880"/>
        <w:rPr>
          <w:rFonts w:asciiTheme="majorHAnsi" w:hAnsiTheme="majorHAnsi"/>
          <w:sz w:val="22"/>
        </w:rPr>
      </w:pPr>
      <w:r>
        <w:rPr>
          <w:rFonts w:asciiTheme="majorHAnsi" w:hAnsiTheme="majorHAnsi"/>
          <w:b/>
          <w:sz w:val="22"/>
        </w:rPr>
        <w:t xml:space="preserve">             </w:t>
      </w:r>
      <w:proofErr w:type="spellStart"/>
      <w:r w:rsidR="000A010F" w:rsidRPr="000A010F">
        <w:rPr>
          <w:rFonts w:asciiTheme="majorHAnsi" w:hAnsiTheme="majorHAnsi"/>
          <w:b/>
          <w:sz w:val="22"/>
        </w:rPr>
        <w:t>Tabel</w:t>
      </w:r>
      <w:proofErr w:type="spellEnd"/>
      <w:r w:rsidR="00CA51F4">
        <w:rPr>
          <w:rFonts w:asciiTheme="majorHAnsi" w:hAnsiTheme="majorHAnsi"/>
          <w:b/>
          <w:sz w:val="22"/>
        </w:rPr>
        <w:t xml:space="preserve"> 2. </w:t>
      </w:r>
      <w:r w:rsidR="000A010F" w:rsidRPr="000A010F">
        <w:rPr>
          <w:rFonts w:asciiTheme="majorHAnsi" w:hAnsiTheme="majorHAnsi"/>
          <w:i/>
          <w:sz w:val="22"/>
        </w:rPr>
        <w:t>n-gain</w:t>
      </w:r>
      <w:r w:rsidR="000A010F" w:rsidRPr="000A010F">
        <w:rPr>
          <w:rFonts w:asciiTheme="majorHAnsi" w:hAnsiTheme="majorHAnsi"/>
          <w:sz w:val="22"/>
        </w:rPr>
        <w:t xml:space="preserve"> (</w:t>
      </w:r>
      <w:r w:rsidR="000A010F" w:rsidRPr="000A010F">
        <w:rPr>
          <w:rFonts w:asciiTheme="majorHAnsi" w:hAnsiTheme="majorHAnsi"/>
          <w:i/>
          <w:sz w:val="22"/>
        </w:rPr>
        <w:t>g</w:t>
      </w:r>
      <w:r w:rsidR="000A010F" w:rsidRPr="000A010F">
        <w:rPr>
          <w:rFonts w:asciiTheme="majorHAnsi" w:hAnsiTheme="majorHAnsi"/>
          <w:sz w:val="22"/>
        </w:rPr>
        <w:t>)</w:t>
      </w:r>
      <w:bookmarkEnd w:id="1"/>
      <w:r w:rsidR="000A010F" w:rsidRPr="000A010F">
        <w:rPr>
          <w:rFonts w:asciiTheme="majorHAnsi" w:hAnsiTheme="majorHAnsi"/>
          <w:sz w:val="22"/>
        </w:rPr>
        <w:t xml:space="preserve"> Category</w:t>
      </w:r>
    </w:p>
    <w:tbl>
      <w:tblPr>
        <w:tblW w:w="2977" w:type="dxa"/>
        <w:tblInd w:w="3510" w:type="dxa"/>
        <w:tblBorders>
          <w:top w:val="single" w:sz="8" w:space="0" w:color="000000" w:themeColor="text1"/>
          <w:bottom w:val="single" w:sz="8" w:space="0" w:color="000000" w:themeColor="text1"/>
          <w:insideH w:val="single" w:sz="8" w:space="0" w:color="000000" w:themeColor="text1"/>
        </w:tblBorders>
        <w:tblLook w:val="00A0" w:firstRow="1" w:lastRow="0" w:firstColumn="1" w:lastColumn="0" w:noHBand="0" w:noVBand="0"/>
      </w:tblPr>
      <w:tblGrid>
        <w:gridCol w:w="1701"/>
        <w:gridCol w:w="1276"/>
      </w:tblGrid>
      <w:tr w:rsidR="000A010F" w:rsidRPr="000A010F" w14:paraId="5C760D1F" w14:textId="77777777" w:rsidTr="00E7329A">
        <w:trPr>
          <w:trHeight w:val="215"/>
        </w:trPr>
        <w:tc>
          <w:tcPr>
            <w:tcW w:w="1701" w:type="dxa"/>
            <w:tcBorders>
              <w:bottom w:val="single" w:sz="8" w:space="0" w:color="000000" w:themeColor="text1"/>
            </w:tcBorders>
            <w:hideMark/>
          </w:tcPr>
          <w:p w14:paraId="310305CC" w14:textId="77777777" w:rsidR="000A010F" w:rsidRPr="000A010F" w:rsidRDefault="000A010F" w:rsidP="00BB0AC0">
            <w:pPr>
              <w:jc w:val="center"/>
              <w:rPr>
                <w:rFonts w:asciiTheme="majorHAnsi" w:hAnsiTheme="majorHAnsi"/>
                <w:b/>
                <w:sz w:val="22"/>
                <w:lang w:val="id-ID"/>
              </w:rPr>
            </w:pPr>
            <w:r w:rsidRPr="000A010F">
              <w:rPr>
                <w:rFonts w:asciiTheme="majorHAnsi" w:hAnsiTheme="majorHAnsi"/>
                <w:b/>
                <w:i/>
                <w:sz w:val="22"/>
              </w:rPr>
              <w:t>n-gain</w:t>
            </w:r>
            <w:r w:rsidRPr="000A010F">
              <w:rPr>
                <w:rFonts w:asciiTheme="majorHAnsi" w:hAnsiTheme="majorHAnsi"/>
                <w:b/>
                <w:sz w:val="22"/>
              </w:rPr>
              <w:t xml:space="preserve"> (</w:t>
            </w:r>
            <w:r w:rsidRPr="000A010F">
              <w:rPr>
                <w:rFonts w:asciiTheme="majorHAnsi" w:hAnsiTheme="majorHAnsi"/>
                <w:b/>
                <w:i/>
                <w:sz w:val="22"/>
              </w:rPr>
              <w:t>g</w:t>
            </w:r>
            <w:r w:rsidRPr="000A010F">
              <w:rPr>
                <w:rFonts w:asciiTheme="majorHAnsi" w:hAnsiTheme="majorHAnsi"/>
                <w:b/>
                <w:sz w:val="22"/>
              </w:rPr>
              <w:t>)</w:t>
            </w:r>
          </w:p>
        </w:tc>
        <w:tc>
          <w:tcPr>
            <w:tcW w:w="1276" w:type="dxa"/>
            <w:tcBorders>
              <w:bottom w:val="single" w:sz="8" w:space="0" w:color="000000" w:themeColor="text1"/>
            </w:tcBorders>
            <w:hideMark/>
          </w:tcPr>
          <w:p w14:paraId="5C0239F3" w14:textId="77777777" w:rsidR="000A010F" w:rsidRPr="000A010F" w:rsidRDefault="000A010F" w:rsidP="00BB0AC0">
            <w:pPr>
              <w:jc w:val="center"/>
              <w:rPr>
                <w:rFonts w:asciiTheme="majorHAnsi" w:hAnsiTheme="majorHAnsi"/>
                <w:b/>
                <w:sz w:val="22"/>
                <w:lang w:val="id-ID"/>
              </w:rPr>
            </w:pPr>
            <w:proofErr w:type="spellStart"/>
            <w:r w:rsidRPr="000A010F">
              <w:rPr>
                <w:rFonts w:asciiTheme="majorHAnsi" w:hAnsiTheme="majorHAnsi"/>
                <w:b/>
                <w:sz w:val="22"/>
              </w:rPr>
              <w:t>Kategori</w:t>
            </w:r>
            <w:proofErr w:type="spellEnd"/>
          </w:p>
        </w:tc>
      </w:tr>
      <w:tr w:rsidR="000A010F" w:rsidRPr="00774AC1" w14:paraId="7B6C2F52" w14:textId="77777777" w:rsidTr="00E7329A">
        <w:trPr>
          <w:trHeight w:val="215"/>
        </w:trPr>
        <w:tc>
          <w:tcPr>
            <w:tcW w:w="1701" w:type="dxa"/>
            <w:tcBorders>
              <w:bottom w:val="single" w:sz="4" w:space="0" w:color="auto"/>
            </w:tcBorders>
            <w:hideMark/>
          </w:tcPr>
          <w:p w14:paraId="37E2430B" w14:textId="77777777" w:rsidR="000A010F" w:rsidRPr="000A010F" w:rsidRDefault="000A010F" w:rsidP="00BB0AC0">
            <w:pPr>
              <w:jc w:val="center"/>
              <w:rPr>
                <w:rFonts w:asciiTheme="majorHAnsi" w:hAnsiTheme="majorHAnsi"/>
                <w:sz w:val="22"/>
                <w:lang w:val="id-ID"/>
              </w:rPr>
            </w:pPr>
            <w:r w:rsidRPr="000A010F">
              <w:rPr>
                <w:rFonts w:asciiTheme="majorHAnsi" w:hAnsiTheme="majorHAnsi"/>
                <w:i/>
                <w:sz w:val="22"/>
              </w:rPr>
              <w:t xml:space="preserve">g </w:t>
            </w:r>
            <w:r w:rsidRPr="000A010F">
              <w:rPr>
                <w:rFonts w:asciiTheme="majorHAnsi" w:hAnsiTheme="majorHAnsi"/>
                <w:sz w:val="22"/>
              </w:rPr>
              <w:t>&lt; 0,3</w:t>
            </w:r>
          </w:p>
        </w:tc>
        <w:tc>
          <w:tcPr>
            <w:tcW w:w="1276" w:type="dxa"/>
            <w:tcBorders>
              <w:bottom w:val="single" w:sz="4" w:space="0" w:color="auto"/>
            </w:tcBorders>
            <w:hideMark/>
          </w:tcPr>
          <w:p w14:paraId="7E32BC3B" w14:textId="77777777" w:rsidR="000A010F" w:rsidRPr="000A010F" w:rsidRDefault="000A010F" w:rsidP="00BB0AC0">
            <w:pPr>
              <w:jc w:val="center"/>
              <w:rPr>
                <w:rFonts w:asciiTheme="majorHAnsi" w:hAnsiTheme="majorHAnsi"/>
                <w:sz w:val="22"/>
                <w:lang w:val="id-ID"/>
              </w:rPr>
            </w:pPr>
            <w:r w:rsidRPr="000A010F">
              <w:rPr>
                <w:rFonts w:asciiTheme="majorHAnsi" w:hAnsiTheme="majorHAnsi"/>
                <w:sz w:val="22"/>
              </w:rPr>
              <w:t>Low</w:t>
            </w:r>
          </w:p>
        </w:tc>
      </w:tr>
      <w:tr w:rsidR="000A010F" w:rsidRPr="00774AC1" w14:paraId="2F446F2E" w14:textId="77777777" w:rsidTr="00E7329A">
        <w:trPr>
          <w:trHeight w:val="276"/>
        </w:trPr>
        <w:tc>
          <w:tcPr>
            <w:tcW w:w="1701" w:type="dxa"/>
            <w:tcBorders>
              <w:top w:val="single" w:sz="4" w:space="0" w:color="auto"/>
              <w:bottom w:val="single" w:sz="4" w:space="0" w:color="auto"/>
            </w:tcBorders>
            <w:hideMark/>
          </w:tcPr>
          <w:p w14:paraId="006061CA" w14:textId="77777777" w:rsidR="000A010F" w:rsidRPr="000A010F" w:rsidRDefault="000A010F" w:rsidP="00BB0AC0">
            <w:pPr>
              <w:jc w:val="center"/>
              <w:rPr>
                <w:rFonts w:asciiTheme="majorHAnsi" w:hAnsiTheme="majorHAnsi"/>
                <w:sz w:val="22"/>
                <w:lang w:val="id-ID"/>
              </w:rPr>
            </w:pPr>
            <w:r w:rsidRPr="000A010F">
              <w:rPr>
                <w:rFonts w:asciiTheme="majorHAnsi" w:hAnsiTheme="majorHAnsi"/>
                <w:sz w:val="22"/>
              </w:rPr>
              <w:t xml:space="preserve">0,3 ≤ </w:t>
            </w:r>
            <w:r w:rsidRPr="000A010F">
              <w:rPr>
                <w:rFonts w:asciiTheme="majorHAnsi" w:hAnsiTheme="majorHAnsi"/>
                <w:i/>
                <w:sz w:val="22"/>
              </w:rPr>
              <w:t xml:space="preserve">g </w:t>
            </w:r>
            <w:r w:rsidRPr="000A010F">
              <w:rPr>
                <w:rFonts w:asciiTheme="majorHAnsi" w:hAnsiTheme="majorHAnsi"/>
                <w:sz w:val="22"/>
              </w:rPr>
              <w:t>&lt; 0,7</w:t>
            </w:r>
          </w:p>
        </w:tc>
        <w:tc>
          <w:tcPr>
            <w:tcW w:w="1276" w:type="dxa"/>
            <w:tcBorders>
              <w:top w:val="single" w:sz="4" w:space="0" w:color="auto"/>
              <w:bottom w:val="single" w:sz="4" w:space="0" w:color="auto"/>
            </w:tcBorders>
            <w:hideMark/>
          </w:tcPr>
          <w:p w14:paraId="0C9445BF" w14:textId="77777777" w:rsidR="000A010F" w:rsidRPr="000A010F" w:rsidRDefault="000A010F" w:rsidP="00BB0AC0">
            <w:pPr>
              <w:jc w:val="center"/>
              <w:rPr>
                <w:rFonts w:asciiTheme="majorHAnsi" w:hAnsiTheme="majorHAnsi"/>
                <w:sz w:val="22"/>
                <w:lang w:val="id-ID"/>
              </w:rPr>
            </w:pPr>
            <w:r w:rsidRPr="000A010F">
              <w:rPr>
                <w:rFonts w:asciiTheme="majorHAnsi" w:hAnsiTheme="majorHAnsi"/>
                <w:sz w:val="22"/>
              </w:rPr>
              <w:t>Medium</w:t>
            </w:r>
          </w:p>
        </w:tc>
      </w:tr>
      <w:tr w:rsidR="000A010F" w:rsidRPr="00774AC1" w14:paraId="74B91F66" w14:textId="77777777" w:rsidTr="00E7329A">
        <w:trPr>
          <w:trHeight w:val="276"/>
        </w:trPr>
        <w:tc>
          <w:tcPr>
            <w:tcW w:w="1701" w:type="dxa"/>
            <w:tcBorders>
              <w:top w:val="single" w:sz="4" w:space="0" w:color="auto"/>
              <w:bottom w:val="single" w:sz="4" w:space="0" w:color="auto"/>
            </w:tcBorders>
            <w:hideMark/>
          </w:tcPr>
          <w:p w14:paraId="6F6A01CE" w14:textId="77777777" w:rsidR="000A010F" w:rsidRPr="000A010F" w:rsidRDefault="000A010F" w:rsidP="00BB0AC0">
            <w:pPr>
              <w:jc w:val="center"/>
              <w:rPr>
                <w:rFonts w:asciiTheme="majorHAnsi" w:hAnsiTheme="majorHAnsi"/>
                <w:sz w:val="22"/>
                <w:lang w:val="id-ID"/>
              </w:rPr>
            </w:pPr>
            <w:r w:rsidRPr="000A010F">
              <w:rPr>
                <w:rFonts w:asciiTheme="majorHAnsi" w:hAnsiTheme="majorHAnsi"/>
                <w:i/>
                <w:sz w:val="22"/>
              </w:rPr>
              <w:t>g</w:t>
            </w:r>
            <w:r w:rsidRPr="000A010F">
              <w:rPr>
                <w:rFonts w:asciiTheme="majorHAnsi" w:hAnsiTheme="majorHAnsi"/>
                <w:sz w:val="22"/>
              </w:rPr>
              <w:t xml:space="preserve"> ≥ 0,70</w:t>
            </w:r>
          </w:p>
        </w:tc>
        <w:tc>
          <w:tcPr>
            <w:tcW w:w="1276" w:type="dxa"/>
            <w:tcBorders>
              <w:top w:val="single" w:sz="4" w:space="0" w:color="auto"/>
              <w:bottom w:val="single" w:sz="4" w:space="0" w:color="auto"/>
            </w:tcBorders>
            <w:hideMark/>
          </w:tcPr>
          <w:p w14:paraId="50D41F14" w14:textId="77777777" w:rsidR="000A010F" w:rsidRPr="000A010F" w:rsidRDefault="000A010F" w:rsidP="00BB0AC0">
            <w:pPr>
              <w:jc w:val="center"/>
              <w:rPr>
                <w:rFonts w:asciiTheme="majorHAnsi" w:hAnsiTheme="majorHAnsi"/>
                <w:sz w:val="22"/>
                <w:lang w:val="id-ID"/>
              </w:rPr>
            </w:pPr>
            <w:r w:rsidRPr="000A010F">
              <w:rPr>
                <w:rFonts w:asciiTheme="majorHAnsi" w:hAnsiTheme="majorHAnsi"/>
                <w:sz w:val="22"/>
              </w:rPr>
              <w:t>High</w:t>
            </w:r>
          </w:p>
        </w:tc>
      </w:tr>
    </w:tbl>
    <w:p w14:paraId="7ED7D5A0" w14:textId="77777777" w:rsidR="0032717A" w:rsidRPr="00AD3C84" w:rsidRDefault="0032717A" w:rsidP="00A1532F">
      <w:pPr>
        <w:pStyle w:val="IEEEParagraph"/>
        <w:spacing w:line="276" w:lineRule="auto"/>
        <w:ind w:firstLine="0"/>
        <w:rPr>
          <w:rFonts w:asciiTheme="majorHAnsi" w:hAnsiTheme="majorHAnsi"/>
          <w:lang w:val="sv-SE"/>
        </w:rPr>
      </w:pPr>
    </w:p>
    <w:p w14:paraId="392B582E" w14:textId="77777777" w:rsidR="00E70EE3" w:rsidRPr="00AD3C84" w:rsidRDefault="00062122" w:rsidP="00B3521D">
      <w:pPr>
        <w:pStyle w:val="IEEEHeading1"/>
        <w:numPr>
          <w:ilvl w:val="0"/>
          <w:numId w:val="11"/>
        </w:numPr>
        <w:spacing w:line="276" w:lineRule="auto"/>
        <w:jc w:val="left"/>
        <w:rPr>
          <w:rFonts w:asciiTheme="majorHAnsi" w:hAnsiTheme="majorHAnsi"/>
          <w:b/>
          <w:iCs/>
          <w:sz w:val="24"/>
          <w:lang w:val="id-ID"/>
        </w:rPr>
      </w:pPr>
      <w:r w:rsidRPr="00AD3C84">
        <w:rPr>
          <w:rFonts w:asciiTheme="majorHAnsi" w:hAnsiTheme="majorHAnsi"/>
          <w:b/>
          <w:iCs/>
          <w:sz w:val="24"/>
          <w:lang w:val="en-US"/>
        </w:rPr>
        <w:t>RESULT AND DISCUSSION</w:t>
      </w:r>
    </w:p>
    <w:p w14:paraId="4EE2BCB2" w14:textId="77777777" w:rsidR="002202B7" w:rsidRPr="00AD3C84" w:rsidRDefault="00BB0AC0" w:rsidP="003B2836">
      <w:pPr>
        <w:pStyle w:val="IEEEFigure"/>
        <w:numPr>
          <w:ilvl w:val="3"/>
          <w:numId w:val="18"/>
        </w:numPr>
        <w:tabs>
          <w:tab w:val="num" w:pos="567"/>
        </w:tabs>
        <w:spacing w:line="276" w:lineRule="auto"/>
        <w:jc w:val="left"/>
        <w:rPr>
          <w:rFonts w:asciiTheme="majorHAnsi" w:hAnsiTheme="majorHAnsi"/>
          <w:b/>
          <w:shd w:val="clear" w:color="auto" w:fill="FFFFFF"/>
        </w:rPr>
      </w:pPr>
      <w:r>
        <w:rPr>
          <w:rStyle w:val="mediumtext"/>
          <w:rFonts w:asciiTheme="majorHAnsi" w:hAnsiTheme="majorHAnsi"/>
          <w:b/>
          <w:shd w:val="clear" w:color="auto" w:fill="FFFFFF"/>
        </w:rPr>
        <w:t>Result</w:t>
      </w:r>
    </w:p>
    <w:p w14:paraId="6B6DC64A" w14:textId="77777777" w:rsidR="00CA5B49" w:rsidRPr="00F219CD" w:rsidRDefault="00CA5B49" w:rsidP="00F219CD">
      <w:pPr>
        <w:pStyle w:val="IEEEParagraph"/>
        <w:spacing w:line="276" w:lineRule="auto"/>
        <w:ind w:left="283"/>
        <w:rPr>
          <w:rFonts w:asciiTheme="majorHAnsi" w:hAnsiTheme="majorHAnsi"/>
        </w:rPr>
      </w:pPr>
      <w:r w:rsidRPr="00CA5B49">
        <w:rPr>
          <w:rFonts w:asciiTheme="majorHAnsi" w:hAnsiTheme="majorHAnsi"/>
        </w:rPr>
        <w:t>The pre</w:t>
      </w:r>
      <w:r>
        <w:rPr>
          <w:rFonts w:asciiTheme="majorHAnsi" w:hAnsiTheme="majorHAnsi"/>
        </w:rPr>
        <w:t>-</w:t>
      </w:r>
      <w:r w:rsidRPr="00CA5B49">
        <w:rPr>
          <w:rFonts w:asciiTheme="majorHAnsi" w:hAnsiTheme="majorHAnsi"/>
        </w:rPr>
        <w:t>test, post</w:t>
      </w:r>
      <w:r>
        <w:rPr>
          <w:rFonts w:asciiTheme="majorHAnsi" w:hAnsiTheme="majorHAnsi"/>
        </w:rPr>
        <w:t>-</w:t>
      </w:r>
      <w:r w:rsidRPr="00CA5B49">
        <w:rPr>
          <w:rFonts w:asciiTheme="majorHAnsi" w:hAnsiTheme="majorHAnsi"/>
        </w:rPr>
        <w:t xml:space="preserve">test, and n-gain scores of mathematical literacy </w:t>
      </w:r>
      <w:r w:rsidR="005F03CA">
        <w:rPr>
          <w:rFonts w:asciiTheme="majorHAnsi" w:hAnsiTheme="majorHAnsi"/>
        </w:rPr>
        <w:t>proficiency</w:t>
      </w:r>
      <w:r w:rsidRPr="00CA5B49">
        <w:rPr>
          <w:rFonts w:asciiTheme="majorHAnsi" w:hAnsiTheme="majorHAnsi"/>
        </w:rPr>
        <w:t xml:space="preserve"> of students who obtained ICM learning and who obtained normal learning were processed in descriptive and inferential statistics. Descriptive statistical calculations include determining the maximum score, minimum score, average score, and standard deviation of </w:t>
      </w:r>
      <w:r w:rsidRPr="00CA5B49">
        <w:rPr>
          <w:rFonts w:asciiTheme="majorHAnsi" w:hAnsiTheme="majorHAnsi"/>
        </w:rPr>
        <w:lastRenderedPageBreak/>
        <w:t xml:space="preserve">the score. A description of the mathematical literacy </w:t>
      </w:r>
      <w:r w:rsidR="005F03CA">
        <w:rPr>
          <w:rFonts w:asciiTheme="majorHAnsi" w:hAnsiTheme="majorHAnsi"/>
        </w:rPr>
        <w:t>proficiency</w:t>
      </w:r>
      <w:r w:rsidRPr="00CA5B49">
        <w:rPr>
          <w:rFonts w:asciiTheme="majorHAnsi" w:hAnsiTheme="majorHAnsi"/>
        </w:rPr>
        <w:t xml:space="preserve"> of students who obtained </w:t>
      </w:r>
      <w:r w:rsidR="002F6C7B" w:rsidRPr="00CA5B49">
        <w:rPr>
          <w:rFonts w:asciiTheme="majorHAnsi" w:hAnsiTheme="majorHAnsi"/>
        </w:rPr>
        <w:t xml:space="preserve">learning </w:t>
      </w:r>
      <w:r w:rsidR="002F6C7B">
        <w:rPr>
          <w:rFonts w:asciiTheme="majorHAnsi" w:hAnsiTheme="majorHAnsi"/>
        </w:rPr>
        <w:t xml:space="preserve">of </w:t>
      </w:r>
      <w:r w:rsidRPr="00CA5B49">
        <w:rPr>
          <w:rFonts w:asciiTheme="majorHAnsi" w:hAnsiTheme="majorHAnsi"/>
        </w:rPr>
        <w:t xml:space="preserve">ICM and </w:t>
      </w:r>
      <w:r w:rsidR="002F61F3">
        <w:rPr>
          <w:rFonts w:asciiTheme="majorHAnsi" w:hAnsiTheme="majorHAnsi"/>
        </w:rPr>
        <w:t>conventional</w:t>
      </w:r>
      <w:r w:rsidRPr="00CA5B49">
        <w:rPr>
          <w:rFonts w:asciiTheme="majorHAnsi" w:hAnsiTheme="majorHAnsi"/>
        </w:rPr>
        <w:t xml:space="preserve"> is presented in Table</w:t>
      </w:r>
      <w:r>
        <w:rPr>
          <w:rFonts w:asciiTheme="majorHAnsi" w:hAnsiTheme="majorHAnsi"/>
        </w:rPr>
        <w:t xml:space="preserve"> 3</w:t>
      </w:r>
    </w:p>
    <w:p w14:paraId="6D5CE59D" w14:textId="77777777" w:rsidR="00CA5B49" w:rsidRPr="00CA5B49" w:rsidRDefault="00CA5B49" w:rsidP="00CA5B49">
      <w:pPr>
        <w:jc w:val="center"/>
        <w:rPr>
          <w:rFonts w:asciiTheme="majorHAnsi" w:hAnsiTheme="majorHAnsi"/>
          <w:sz w:val="22"/>
        </w:rPr>
      </w:pPr>
      <w:r>
        <w:rPr>
          <w:rFonts w:asciiTheme="majorHAnsi" w:hAnsiTheme="majorHAnsi"/>
          <w:b/>
          <w:sz w:val="22"/>
        </w:rPr>
        <w:t>Table</w:t>
      </w:r>
      <w:r w:rsidRPr="00CA5B49">
        <w:rPr>
          <w:rFonts w:asciiTheme="majorHAnsi" w:hAnsiTheme="majorHAnsi"/>
          <w:b/>
          <w:sz w:val="22"/>
        </w:rPr>
        <w:t xml:space="preserve"> 3.</w:t>
      </w:r>
      <w:r w:rsidRPr="00CA5B49">
        <w:rPr>
          <w:rFonts w:asciiTheme="majorHAnsi" w:hAnsiTheme="majorHAnsi"/>
          <w:sz w:val="22"/>
        </w:rPr>
        <w:t xml:space="preserve"> Students’ Mathematical Literacy Proficiency Description</w:t>
      </w:r>
    </w:p>
    <w:tbl>
      <w:tblPr>
        <w:tblStyle w:val="TableGrid"/>
        <w:tblW w:w="7479" w:type="dxa"/>
        <w:tblInd w:w="993" w:type="dxa"/>
        <w:tblBorders>
          <w:insideH w:val="none" w:sz="0" w:space="0" w:color="auto"/>
          <w:insideV w:val="none" w:sz="0" w:space="0" w:color="auto"/>
        </w:tblBorders>
        <w:tblLayout w:type="fixed"/>
        <w:tblLook w:val="04A0" w:firstRow="1" w:lastRow="0" w:firstColumn="1" w:lastColumn="0" w:noHBand="0" w:noVBand="1"/>
      </w:tblPr>
      <w:tblGrid>
        <w:gridCol w:w="1242"/>
        <w:gridCol w:w="926"/>
        <w:gridCol w:w="851"/>
        <w:gridCol w:w="850"/>
        <w:gridCol w:w="916"/>
        <w:gridCol w:w="850"/>
        <w:gridCol w:w="851"/>
        <w:gridCol w:w="993"/>
      </w:tblGrid>
      <w:tr w:rsidR="00CA5B49" w:rsidRPr="008D256C" w14:paraId="7B7440CB" w14:textId="77777777" w:rsidTr="00CA5B49">
        <w:tc>
          <w:tcPr>
            <w:tcW w:w="1242" w:type="dxa"/>
            <w:vMerge w:val="restart"/>
            <w:tcBorders>
              <w:top w:val="single" w:sz="4" w:space="0" w:color="auto"/>
              <w:left w:val="nil"/>
              <w:bottom w:val="nil"/>
            </w:tcBorders>
            <w:vAlign w:val="center"/>
          </w:tcPr>
          <w:p w14:paraId="1FE1A50F" w14:textId="77777777" w:rsidR="00CA5B49" w:rsidRPr="00CA5B49" w:rsidRDefault="00CA5B49" w:rsidP="007F60D4">
            <w:pPr>
              <w:pStyle w:val="ListParagraph"/>
              <w:ind w:left="0"/>
              <w:jc w:val="center"/>
              <w:rPr>
                <w:rFonts w:asciiTheme="majorHAnsi" w:hAnsiTheme="majorHAnsi"/>
                <w:b/>
                <w:sz w:val="22"/>
                <w:szCs w:val="22"/>
              </w:rPr>
            </w:pPr>
            <w:bookmarkStart w:id="2" w:name="_Hlk483732431"/>
            <w:r w:rsidRPr="00CA5B49">
              <w:rPr>
                <w:rFonts w:asciiTheme="majorHAnsi" w:hAnsiTheme="majorHAnsi"/>
                <w:b/>
                <w:sz w:val="22"/>
                <w:szCs w:val="22"/>
              </w:rPr>
              <w:t>BMP Category</w:t>
            </w:r>
          </w:p>
        </w:tc>
        <w:tc>
          <w:tcPr>
            <w:tcW w:w="926" w:type="dxa"/>
            <w:vMerge w:val="restart"/>
            <w:tcBorders>
              <w:top w:val="single" w:sz="4" w:space="0" w:color="auto"/>
              <w:bottom w:val="nil"/>
            </w:tcBorders>
            <w:vAlign w:val="center"/>
          </w:tcPr>
          <w:p w14:paraId="2E85EF04" w14:textId="77777777" w:rsidR="00CA5B49" w:rsidRPr="00CA5B49" w:rsidRDefault="00CA5B49" w:rsidP="007F60D4">
            <w:pPr>
              <w:pStyle w:val="ListParagraph"/>
              <w:ind w:left="0"/>
              <w:jc w:val="center"/>
              <w:rPr>
                <w:rFonts w:asciiTheme="majorHAnsi" w:hAnsiTheme="majorHAnsi"/>
                <w:b/>
                <w:sz w:val="22"/>
                <w:szCs w:val="22"/>
              </w:rPr>
            </w:pPr>
          </w:p>
          <w:p w14:paraId="632F39A1" w14:textId="77777777" w:rsidR="00CA5B49" w:rsidRPr="00CA5B49" w:rsidRDefault="00CA5B49" w:rsidP="007F60D4">
            <w:pPr>
              <w:pStyle w:val="ListParagraph"/>
              <w:ind w:left="0"/>
              <w:jc w:val="center"/>
              <w:rPr>
                <w:rFonts w:asciiTheme="majorHAnsi" w:hAnsiTheme="majorHAnsi"/>
                <w:b/>
                <w:sz w:val="22"/>
                <w:szCs w:val="22"/>
              </w:rPr>
            </w:pPr>
          </w:p>
        </w:tc>
        <w:tc>
          <w:tcPr>
            <w:tcW w:w="2617" w:type="dxa"/>
            <w:gridSpan w:val="3"/>
            <w:tcBorders>
              <w:top w:val="single" w:sz="4" w:space="0" w:color="auto"/>
              <w:bottom w:val="nil"/>
            </w:tcBorders>
            <w:vAlign w:val="center"/>
          </w:tcPr>
          <w:p w14:paraId="25C2B2C7" w14:textId="77777777" w:rsidR="00CA5B49" w:rsidRPr="00CA5B49" w:rsidRDefault="00CA5B49" w:rsidP="00CA5B49">
            <w:pPr>
              <w:pStyle w:val="ListParagraph"/>
              <w:ind w:left="0"/>
              <w:jc w:val="center"/>
              <w:rPr>
                <w:rFonts w:asciiTheme="majorHAnsi" w:hAnsiTheme="majorHAnsi"/>
                <w:b/>
                <w:sz w:val="22"/>
                <w:szCs w:val="22"/>
              </w:rPr>
            </w:pPr>
            <w:r w:rsidRPr="00CA5B49">
              <w:rPr>
                <w:rFonts w:asciiTheme="majorHAnsi" w:hAnsiTheme="majorHAnsi"/>
                <w:b/>
                <w:sz w:val="22"/>
                <w:szCs w:val="22"/>
              </w:rPr>
              <w:t xml:space="preserve">ICM </w:t>
            </w:r>
          </w:p>
        </w:tc>
        <w:tc>
          <w:tcPr>
            <w:tcW w:w="2694" w:type="dxa"/>
            <w:gridSpan w:val="3"/>
            <w:tcBorders>
              <w:top w:val="single" w:sz="4" w:space="0" w:color="auto"/>
              <w:bottom w:val="nil"/>
              <w:right w:val="nil"/>
            </w:tcBorders>
            <w:vAlign w:val="center"/>
          </w:tcPr>
          <w:p w14:paraId="3951353D" w14:textId="77777777" w:rsidR="00CA5B49" w:rsidRPr="00CA5B49" w:rsidRDefault="00CA5B49" w:rsidP="007F60D4">
            <w:pPr>
              <w:pStyle w:val="ListParagraph"/>
              <w:ind w:left="0"/>
              <w:jc w:val="center"/>
              <w:rPr>
                <w:rFonts w:asciiTheme="majorHAnsi" w:hAnsiTheme="majorHAnsi"/>
                <w:b/>
                <w:sz w:val="22"/>
                <w:szCs w:val="22"/>
              </w:rPr>
            </w:pPr>
            <w:r w:rsidRPr="00CA5B49">
              <w:rPr>
                <w:rFonts w:asciiTheme="majorHAnsi" w:hAnsiTheme="majorHAnsi"/>
                <w:b/>
                <w:sz w:val="22"/>
                <w:szCs w:val="22"/>
              </w:rPr>
              <w:t>CL</w:t>
            </w:r>
          </w:p>
        </w:tc>
      </w:tr>
      <w:tr w:rsidR="00CA5B49" w:rsidRPr="008D256C" w14:paraId="73D022D1" w14:textId="77777777" w:rsidTr="00E7329A">
        <w:tc>
          <w:tcPr>
            <w:tcW w:w="1242" w:type="dxa"/>
            <w:vMerge/>
            <w:tcBorders>
              <w:top w:val="nil"/>
              <w:left w:val="nil"/>
              <w:bottom w:val="single" w:sz="4" w:space="0" w:color="auto"/>
            </w:tcBorders>
            <w:vAlign w:val="center"/>
          </w:tcPr>
          <w:p w14:paraId="35E6B192" w14:textId="77777777" w:rsidR="00CA5B49" w:rsidRPr="00CA5B49" w:rsidRDefault="00CA5B49" w:rsidP="007F60D4">
            <w:pPr>
              <w:pStyle w:val="ListParagraph"/>
              <w:ind w:left="0"/>
              <w:jc w:val="center"/>
              <w:rPr>
                <w:rFonts w:asciiTheme="majorHAnsi" w:hAnsiTheme="majorHAnsi"/>
                <w:b/>
                <w:sz w:val="22"/>
                <w:szCs w:val="22"/>
              </w:rPr>
            </w:pPr>
          </w:p>
        </w:tc>
        <w:tc>
          <w:tcPr>
            <w:tcW w:w="926" w:type="dxa"/>
            <w:vMerge/>
            <w:tcBorders>
              <w:top w:val="nil"/>
              <w:bottom w:val="single" w:sz="4" w:space="0" w:color="auto"/>
            </w:tcBorders>
            <w:vAlign w:val="center"/>
          </w:tcPr>
          <w:p w14:paraId="6E36F166" w14:textId="77777777" w:rsidR="00CA5B49" w:rsidRPr="00CA5B49" w:rsidRDefault="00CA5B49" w:rsidP="007F60D4">
            <w:pPr>
              <w:pStyle w:val="ListParagraph"/>
              <w:ind w:left="0"/>
              <w:jc w:val="center"/>
              <w:rPr>
                <w:rFonts w:asciiTheme="majorHAnsi" w:hAnsiTheme="majorHAnsi"/>
                <w:b/>
                <w:sz w:val="22"/>
                <w:szCs w:val="22"/>
              </w:rPr>
            </w:pPr>
          </w:p>
        </w:tc>
        <w:tc>
          <w:tcPr>
            <w:tcW w:w="851" w:type="dxa"/>
            <w:tcBorders>
              <w:top w:val="nil"/>
              <w:bottom w:val="single" w:sz="4" w:space="0" w:color="auto"/>
            </w:tcBorders>
            <w:vAlign w:val="center"/>
          </w:tcPr>
          <w:p w14:paraId="4CD7BB35" w14:textId="77777777" w:rsidR="00CA5B49" w:rsidRPr="00CA5B49" w:rsidRDefault="00CA5B49" w:rsidP="007F60D4">
            <w:pPr>
              <w:pStyle w:val="ListParagraph"/>
              <w:ind w:left="0"/>
              <w:jc w:val="center"/>
              <w:rPr>
                <w:rFonts w:asciiTheme="majorHAnsi" w:hAnsiTheme="majorHAnsi"/>
                <w:b/>
                <w:sz w:val="22"/>
                <w:szCs w:val="22"/>
              </w:rPr>
            </w:pPr>
            <w:r w:rsidRPr="00CA5B49">
              <w:rPr>
                <w:rFonts w:asciiTheme="majorHAnsi" w:hAnsiTheme="majorHAnsi"/>
                <w:b/>
                <w:sz w:val="22"/>
                <w:szCs w:val="22"/>
              </w:rPr>
              <w:t>Pre-Test</w:t>
            </w:r>
          </w:p>
        </w:tc>
        <w:tc>
          <w:tcPr>
            <w:tcW w:w="850" w:type="dxa"/>
            <w:tcBorders>
              <w:top w:val="nil"/>
              <w:bottom w:val="single" w:sz="4" w:space="0" w:color="auto"/>
            </w:tcBorders>
            <w:vAlign w:val="center"/>
          </w:tcPr>
          <w:p w14:paraId="0B35C27D" w14:textId="77777777" w:rsidR="00CA5B49" w:rsidRPr="00CA5B49" w:rsidRDefault="00CA5B49" w:rsidP="007F60D4">
            <w:pPr>
              <w:pStyle w:val="ListParagraph"/>
              <w:ind w:left="0"/>
              <w:jc w:val="center"/>
              <w:rPr>
                <w:rFonts w:asciiTheme="majorHAnsi" w:hAnsiTheme="majorHAnsi"/>
                <w:b/>
                <w:sz w:val="22"/>
                <w:szCs w:val="22"/>
              </w:rPr>
            </w:pPr>
            <w:r w:rsidRPr="00CA5B49">
              <w:rPr>
                <w:rFonts w:asciiTheme="majorHAnsi" w:hAnsiTheme="majorHAnsi"/>
                <w:b/>
                <w:sz w:val="22"/>
                <w:szCs w:val="22"/>
              </w:rPr>
              <w:t>Post-Test</w:t>
            </w:r>
          </w:p>
        </w:tc>
        <w:tc>
          <w:tcPr>
            <w:tcW w:w="916" w:type="dxa"/>
            <w:tcBorders>
              <w:top w:val="nil"/>
              <w:bottom w:val="single" w:sz="4" w:space="0" w:color="auto"/>
            </w:tcBorders>
            <w:vAlign w:val="center"/>
          </w:tcPr>
          <w:p w14:paraId="2872EDE8" w14:textId="77777777" w:rsidR="00CA5B49" w:rsidRPr="00CA5B49" w:rsidRDefault="00CA5B49" w:rsidP="007F60D4">
            <w:pPr>
              <w:pStyle w:val="ListParagraph"/>
              <w:ind w:left="0"/>
              <w:jc w:val="center"/>
              <w:rPr>
                <w:rFonts w:asciiTheme="majorHAnsi" w:hAnsiTheme="majorHAnsi"/>
                <w:b/>
                <w:i/>
                <w:sz w:val="22"/>
                <w:szCs w:val="22"/>
              </w:rPr>
            </w:pPr>
            <w:r w:rsidRPr="00CA5B49">
              <w:rPr>
                <w:rFonts w:asciiTheme="majorHAnsi" w:hAnsiTheme="majorHAnsi"/>
                <w:b/>
                <w:i/>
                <w:sz w:val="22"/>
                <w:szCs w:val="22"/>
              </w:rPr>
              <w:t>n-gain</w:t>
            </w:r>
          </w:p>
        </w:tc>
        <w:tc>
          <w:tcPr>
            <w:tcW w:w="850" w:type="dxa"/>
            <w:tcBorders>
              <w:top w:val="nil"/>
              <w:bottom w:val="single" w:sz="4" w:space="0" w:color="auto"/>
            </w:tcBorders>
            <w:vAlign w:val="center"/>
          </w:tcPr>
          <w:p w14:paraId="5C1DB578" w14:textId="77777777" w:rsidR="00CA5B49" w:rsidRPr="00CA5B49" w:rsidRDefault="00CA5B49" w:rsidP="007F60D4">
            <w:pPr>
              <w:pStyle w:val="ListParagraph"/>
              <w:ind w:left="0"/>
              <w:jc w:val="center"/>
              <w:rPr>
                <w:rFonts w:asciiTheme="majorHAnsi" w:hAnsiTheme="majorHAnsi"/>
                <w:b/>
                <w:sz w:val="22"/>
                <w:szCs w:val="22"/>
              </w:rPr>
            </w:pPr>
            <w:r w:rsidRPr="00CA5B49">
              <w:rPr>
                <w:rFonts w:asciiTheme="majorHAnsi" w:hAnsiTheme="majorHAnsi"/>
                <w:b/>
                <w:sz w:val="22"/>
                <w:szCs w:val="22"/>
              </w:rPr>
              <w:t>Pre-Test</w:t>
            </w:r>
          </w:p>
        </w:tc>
        <w:tc>
          <w:tcPr>
            <w:tcW w:w="851" w:type="dxa"/>
            <w:tcBorders>
              <w:top w:val="nil"/>
              <w:bottom w:val="single" w:sz="4" w:space="0" w:color="auto"/>
            </w:tcBorders>
            <w:vAlign w:val="center"/>
          </w:tcPr>
          <w:p w14:paraId="7AC7B4C7" w14:textId="77777777" w:rsidR="00CA5B49" w:rsidRPr="00CA5B49" w:rsidRDefault="00CA5B49" w:rsidP="007F60D4">
            <w:pPr>
              <w:pStyle w:val="ListParagraph"/>
              <w:ind w:left="0"/>
              <w:jc w:val="center"/>
              <w:rPr>
                <w:rFonts w:asciiTheme="majorHAnsi" w:hAnsiTheme="majorHAnsi"/>
                <w:b/>
                <w:sz w:val="22"/>
                <w:szCs w:val="22"/>
              </w:rPr>
            </w:pPr>
            <w:r w:rsidRPr="00CA5B49">
              <w:rPr>
                <w:rFonts w:asciiTheme="majorHAnsi" w:hAnsiTheme="majorHAnsi"/>
                <w:b/>
                <w:sz w:val="22"/>
                <w:szCs w:val="22"/>
              </w:rPr>
              <w:t>Post-Test</w:t>
            </w:r>
          </w:p>
        </w:tc>
        <w:tc>
          <w:tcPr>
            <w:tcW w:w="993" w:type="dxa"/>
            <w:tcBorders>
              <w:top w:val="nil"/>
              <w:bottom w:val="single" w:sz="4" w:space="0" w:color="auto"/>
              <w:right w:val="nil"/>
            </w:tcBorders>
            <w:vAlign w:val="center"/>
          </w:tcPr>
          <w:p w14:paraId="5A6F1D9E" w14:textId="77777777" w:rsidR="00CA5B49" w:rsidRPr="00CA5B49" w:rsidRDefault="00CA5B49" w:rsidP="007F60D4">
            <w:pPr>
              <w:pStyle w:val="ListParagraph"/>
              <w:ind w:left="0"/>
              <w:jc w:val="center"/>
              <w:rPr>
                <w:rFonts w:asciiTheme="majorHAnsi" w:hAnsiTheme="majorHAnsi"/>
                <w:b/>
                <w:i/>
                <w:sz w:val="22"/>
                <w:szCs w:val="22"/>
              </w:rPr>
            </w:pPr>
            <w:r w:rsidRPr="00CA5B49">
              <w:rPr>
                <w:rFonts w:asciiTheme="majorHAnsi" w:hAnsiTheme="majorHAnsi"/>
                <w:b/>
                <w:i/>
                <w:sz w:val="22"/>
                <w:szCs w:val="22"/>
              </w:rPr>
              <w:t>n-gain</w:t>
            </w:r>
          </w:p>
        </w:tc>
      </w:tr>
      <w:tr w:rsidR="00CA5B49" w:rsidRPr="008D256C" w14:paraId="5ECC80BA" w14:textId="77777777" w:rsidTr="00E7329A">
        <w:tc>
          <w:tcPr>
            <w:tcW w:w="1242" w:type="dxa"/>
            <w:tcBorders>
              <w:top w:val="single" w:sz="4" w:space="0" w:color="auto"/>
              <w:left w:val="nil"/>
              <w:bottom w:val="nil"/>
            </w:tcBorders>
            <w:vAlign w:val="center"/>
          </w:tcPr>
          <w:p w14:paraId="12D4A5C3"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High</w:t>
            </w:r>
          </w:p>
        </w:tc>
        <w:tc>
          <w:tcPr>
            <w:tcW w:w="926" w:type="dxa"/>
            <w:tcBorders>
              <w:top w:val="single" w:sz="4" w:space="0" w:color="auto"/>
              <w:bottom w:val="nil"/>
            </w:tcBorders>
          </w:tcPr>
          <w:p w14:paraId="02E7EACF" w14:textId="77777777" w:rsidR="00CA5B49" w:rsidRPr="00CA5B49" w:rsidRDefault="008A061B" w:rsidP="007F60D4">
            <w:pPr>
              <w:pStyle w:val="ListParagraph"/>
              <w:ind w:left="0"/>
              <w:jc w:val="both"/>
              <w:rPr>
                <w:rFonts w:asciiTheme="majorHAnsi" w:eastAsiaTheme="minorEastAsia" w:hAnsiTheme="majorHAnsi"/>
                <w:sz w:val="22"/>
                <w:szCs w:val="22"/>
              </w:rPr>
            </w:pPr>
            <m:oMathPara>
              <m:oMath>
                <m:acc>
                  <m:accPr>
                    <m:chr m:val="̅"/>
                    <m:ctrlPr>
                      <w:rPr>
                        <w:rFonts w:ascii="Cambria Math" w:eastAsia="Calibri" w:hAnsiTheme="majorHAnsi"/>
                        <w:i/>
                        <w:sz w:val="22"/>
                        <w:szCs w:val="22"/>
                      </w:rPr>
                    </m:ctrlPr>
                  </m:accPr>
                  <m:e>
                    <m:r>
                      <w:rPr>
                        <w:rFonts w:ascii="Cambria Math" w:hAnsi="Cambria Math"/>
                        <w:sz w:val="22"/>
                        <w:szCs w:val="22"/>
                      </w:rPr>
                      <m:t>x</m:t>
                    </m:r>
                    <m:ctrlPr>
                      <w:rPr>
                        <w:rFonts w:ascii="Cambria Math" w:hAnsiTheme="majorHAnsi"/>
                        <w:i/>
                        <w:sz w:val="22"/>
                        <w:szCs w:val="22"/>
                      </w:rPr>
                    </m:ctrlPr>
                  </m:e>
                </m:acc>
              </m:oMath>
            </m:oMathPara>
          </w:p>
          <w:p w14:paraId="1627A6D2" w14:textId="77777777" w:rsidR="00CA5B49" w:rsidRPr="00CA5B49" w:rsidRDefault="00CA5B49" w:rsidP="007F60D4">
            <w:pPr>
              <w:pStyle w:val="ListParagraph"/>
              <w:ind w:left="0"/>
              <w:jc w:val="both"/>
              <w:rPr>
                <w:rFonts w:asciiTheme="majorHAnsi" w:hAnsiTheme="majorHAnsi"/>
                <w:sz w:val="22"/>
                <w:szCs w:val="22"/>
              </w:rPr>
            </w:pPr>
            <m:oMathPara>
              <m:oMath>
                <m:r>
                  <w:rPr>
                    <w:rFonts w:ascii="Cambria Math" w:eastAsia="Calibri" w:hAnsiTheme="majorHAnsi"/>
                    <w:sz w:val="22"/>
                    <w:szCs w:val="22"/>
                  </w:rPr>
                  <m:t>(%)</m:t>
                </m:r>
              </m:oMath>
            </m:oMathPara>
          </w:p>
        </w:tc>
        <w:tc>
          <w:tcPr>
            <w:tcW w:w="851" w:type="dxa"/>
            <w:tcBorders>
              <w:top w:val="single" w:sz="4" w:space="0" w:color="auto"/>
              <w:bottom w:val="nil"/>
            </w:tcBorders>
          </w:tcPr>
          <w:p w14:paraId="0A3792CC"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7</w:t>
            </w:r>
          </w:p>
          <w:p w14:paraId="110751B0"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20</w:t>
            </w:r>
          </w:p>
        </w:tc>
        <w:tc>
          <w:tcPr>
            <w:tcW w:w="850" w:type="dxa"/>
            <w:tcBorders>
              <w:top w:val="single" w:sz="4" w:space="0" w:color="auto"/>
              <w:bottom w:val="nil"/>
            </w:tcBorders>
          </w:tcPr>
          <w:p w14:paraId="60D57B8B"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22</w:t>
            </w:r>
          </w:p>
          <w:p w14:paraId="78F15C95"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62,86</w:t>
            </w:r>
          </w:p>
        </w:tc>
        <w:tc>
          <w:tcPr>
            <w:tcW w:w="916" w:type="dxa"/>
            <w:tcBorders>
              <w:top w:val="single" w:sz="4" w:space="0" w:color="auto"/>
              <w:bottom w:val="nil"/>
            </w:tcBorders>
          </w:tcPr>
          <w:p w14:paraId="5E79BF35"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0,54</w:t>
            </w:r>
          </w:p>
          <w:p w14:paraId="7FA9307D"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53,64</w:t>
            </w:r>
          </w:p>
        </w:tc>
        <w:tc>
          <w:tcPr>
            <w:tcW w:w="850" w:type="dxa"/>
            <w:tcBorders>
              <w:top w:val="single" w:sz="4" w:space="0" w:color="auto"/>
              <w:bottom w:val="nil"/>
            </w:tcBorders>
          </w:tcPr>
          <w:p w14:paraId="18B61C41"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7,29</w:t>
            </w:r>
          </w:p>
          <w:p w14:paraId="1D66B25F"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20,82</w:t>
            </w:r>
          </w:p>
        </w:tc>
        <w:tc>
          <w:tcPr>
            <w:tcW w:w="851" w:type="dxa"/>
            <w:tcBorders>
              <w:top w:val="single" w:sz="4" w:space="0" w:color="auto"/>
              <w:bottom w:val="nil"/>
            </w:tcBorders>
          </w:tcPr>
          <w:p w14:paraId="07D5A84D"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16,71</w:t>
            </w:r>
          </w:p>
          <w:p w14:paraId="2AA657E2"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47,76</w:t>
            </w:r>
          </w:p>
        </w:tc>
        <w:tc>
          <w:tcPr>
            <w:tcW w:w="993" w:type="dxa"/>
            <w:tcBorders>
              <w:top w:val="single" w:sz="4" w:space="0" w:color="auto"/>
              <w:bottom w:val="nil"/>
              <w:right w:val="nil"/>
            </w:tcBorders>
          </w:tcPr>
          <w:p w14:paraId="4A863EA2"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0,34</w:t>
            </w:r>
          </w:p>
          <w:p w14:paraId="1B1DBC46"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33,88</w:t>
            </w:r>
          </w:p>
        </w:tc>
      </w:tr>
      <w:tr w:rsidR="00CA5B49" w:rsidRPr="008D256C" w14:paraId="0D3638AF" w14:textId="77777777" w:rsidTr="00E7329A">
        <w:tc>
          <w:tcPr>
            <w:tcW w:w="1242" w:type="dxa"/>
            <w:tcBorders>
              <w:top w:val="nil"/>
              <w:left w:val="nil"/>
              <w:bottom w:val="single" w:sz="4" w:space="0" w:color="auto"/>
            </w:tcBorders>
            <w:vAlign w:val="center"/>
          </w:tcPr>
          <w:p w14:paraId="66733B5B" w14:textId="77777777" w:rsidR="00CA5B49" w:rsidRPr="00CA5B49" w:rsidRDefault="00CA5B49" w:rsidP="007F60D4">
            <w:pPr>
              <w:pStyle w:val="ListParagraph"/>
              <w:ind w:left="0"/>
              <w:jc w:val="center"/>
              <w:rPr>
                <w:rFonts w:asciiTheme="majorHAnsi" w:hAnsiTheme="majorHAnsi"/>
                <w:sz w:val="22"/>
                <w:szCs w:val="22"/>
              </w:rPr>
            </w:pPr>
          </w:p>
        </w:tc>
        <w:tc>
          <w:tcPr>
            <w:tcW w:w="926" w:type="dxa"/>
            <w:tcBorders>
              <w:top w:val="nil"/>
              <w:bottom w:val="single" w:sz="4" w:space="0" w:color="auto"/>
            </w:tcBorders>
          </w:tcPr>
          <w:p w14:paraId="6DB8FF74" w14:textId="77777777" w:rsidR="00CA5B49" w:rsidRPr="00CA5B49" w:rsidRDefault="00CA5B49" w:rsidP="007F60D4">
            <w:pPr>
              <w:pStyle w:val="ListParagraph"/>
              <w:ind w:left="0"/>
              <w:jc w:val="both"/>
              <w:rPr>
                <w:rFonts w:asciiTheme="majorHAnsi" w:hAnsiTheme="majorHAnsi"/>
                <w:sz w:val="22"/>
                <w:szCs w:val="22"/>
              </w:rPr>
            </w:pPr>
            <m:oMathPara>
              <m:oMath>
                <m:r>
                  <w:rPr>
                    <w:rFonts w:ascii="Cambria Math" w:eastAsia="Calibri" w:hAnsi="Cambria Math"/>
                    <w:sz w:val="22"/>
                    <w:szCs w:val="22"/>
                  </w:rPr>
                  <m:t>s</m:t>
                </m:r>
              </m:oMath>
            </m:oMathPara>
          </w:p>
        </w:tc>
        <w:tc>
          <w:tcPr>
            <w:tcW w:w="851" w:type="dxa"/>
            <w:tcBorders>
              <w:top w:val="nil"/>
              <w:bottom w:val="single" w:sz="4" w:space="0" w:color="auto"/>
            </w:tcBorders>
          </w:tcPr>
          <w:p w14:paraId="6D2CE678"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1,92</w:t>
            </w:r>
          </w:p>
        </w:tc>
        <w:tc>
          <w:tcPr>
            <w:tcW w:w="850" w:type="dxa"/>
            <w:tcBorders>
              <w:top w:val="nil"/>
              <w:bottom w:val="single" w:sz="4" w:space="0" w:color="auto"/>
            </w:tcBorders>
          </w:tcPr>
          <w:p w14:paraId="6E9287FF"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3,59</w:t>
            </w:r>
          </w:p>
        </w:tc>
        <w:tc>
          <w:tcPr>
            <w:tcW w:w="916" w:type="dxa"/>
            <w:tcBorders>
              <w:top w:val="nil"/>
              <w:bottom w:val="single" w:sz="4" w:space="0" w:color="auto"/>
            </w:tcBorders>
          </w:tcPr>
          <w:p w14:paraId="06782BF7"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0,12</w:t>
            </w:r>
          </w:p>
        </w:tc>
        <w:tc>
          <w:tcPr>
            <w:tcW w:w="850" w:type="dxa"/>
            <w:tcBorders>
              <w:top w:val="nil"/>
              <w:bottom w:val="single" w:sz="4" w:space="0" w:color="auto"/>
            </w:tcBorders>
          </w:tcPr>
          <w:p w14:paraId="4B3B4C9D"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1,70</w:t>
            </w:r>
          </w:p>
        </w:tc>
        <w:tc>
          <w:tcPr>
            <w:tcW w:w="851" w:type="dxa"/>
            <w:tcBorders>
              <w:top w:val="nil"/>
              <w:bottom w:val="single" w:sz="4" w:space="0" w:color="auto"/>
            </w:tcBorders>
          </w:tcPr>
          <w:p w14:paraId="3CF7117B"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2,14</w:t>
            </w:r>
          </w:p>
        </w:tc>
        <w:tc>
          <w:tcPr>
            <w:tcW w:w="993" w:type="dxa"/>
            <w:tcBorders>
              <w:top w:val="nil"/>
              <w:bottom w:val="single" w:sz="4" w:space="0" w:color="auto"/>
              <w:right w:val="nil"/>
            </w:tcBorders>
          </w:tcPr>
          <w:p w14:paraId="6D666B7B"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0,08</w:t>
            </w:r>
          </w:p>
        </w:tc>
      </w:tr>
      <w:tr w:rsidR="00CA5B49" w:rsidRPr="008D256C" w14:paraId="3A285C8A" w14:textId="77777777" w:rsidTr="00E7329A">
        <w:tc>
          <w:tcPr>
            <w:tcW w:w="1242" w:type="dxa"/>
            <w:tcBorders>
              <w:top w:val="single" w:sz="4" w:space="0" w:color="auto"/>
              <w:left w:val="nil"/>
              <w:bottom w:val="nil"/>
            </w:tcBorders>
            <w:vAlign w:val="center"/>
          </w:tcPr>
          <w:p w14:paraId="742953BC"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Medium</w:t>
            </w:r>
          </w:p>
        </w:tc>
        <w:tc>
          <w:tcPr>
            <w:tcW w:w="926" w:type="dxa"/>
            <w:tcBorders>
              <w:top w:val="single" w:sz="4" w:space="0" w:color="auto"/>
              <w:bottom w:val="nil"/>
            </w:tcBorders>
          </w:tcPr>
          <w:p w14:paraId="707E3C0B" w14:textId="77777777" w:rsidR="00CA5B49" w:rsidRPr="00CA5B49" w:rsidRDefault="008A061B" w:rsidP="007F60D4">
            <w:pPr>
              <w:pStyle w:val="ListParagraph"/>
              <w:ind w:left="0"/>
              <w:jc w:val="both"/>
              <w:rPr>
                <w:rFonts w:asciiTheme="majorHAnsi" w:eastAsiaTheme="minorEastAsia" w:hAnsiTheme="majorHAnsi"/>
                <w:sz w:val="22"/>
                <w:szCs w:val="22"/>
              </w:rPr>
            </w:pPr>
            <m:oMathPara>
              <m:oMath>
                <m:acc>
                  <m:accPr>
                    <m:chr m:val="̅"/>
                    <m:ctrlPr>
                      <w:rPr>
                        <w:rFonts w:ascii="Cambria Math" w:eastAsia="Calibri" w:hAnsiTheme="majorHAnsi"/>
                        <w:i/>
                        <w:sz w:val="22"/>
                        <w:szCs w:val="22"/>
                      </w:rPr>
                    </m:ctrlPr>
                  </m:accPr>
                  <m:e>
                    <m:r>
                      <w:rPr>
                        <w:rFonts w:ascii="Cambria Math" w:hAnsi="Cambria Math"/>
                        <w:sz w:val="22"/>
                        <w:szCs w:val="22"/>
                      </w:rPr>
                      <m:t>x</m:t>
                    </m:r>
                    <m:ctrlPr>
                      <w:rPr>
                        <w:rFonts w:ascii="Cambria Math" w:hAnsiTheme="majorHAnsi"/>
                        <w:i/>
                        <w:sz w:val="22"/>
                        <w:szCs w:val="22"/>
                      </w:rPr>
                    </m:ctrlPr>
                  </m:e>
                </m:acc>
              </m:oMath>
            </m:oMathPara>
          </w:p>
          <w:p w14:paraId="35D26FCD" w14:textId="77777777" w:rsidR="00CA5B49" w:rsidRPr="00CA5B49" w:rsidRDefault="00CA5B49" w:rsidP="007F60D4">
            <w:pPr>
              <w:pStyle w:val="ListParagraph"/>
              <w:ind w:left="0"/>
              <w:jc w:val="both"/>
              <w:rPr>
                <w:rFonts w:asciiTheme="majorHAnsi" w:hAnsiTheme="majorHAnsi"/>
                <w:sz w:val="22"/>
                <w:szCs w:val="22"/>
              </w:rPr>
            </w:pPr>
            <m:oMathPara>
              <m:oMath>
                <m:r>
                  <w:rPr>
                    <w:rFonts w:ascii="Cambria Math" w:eastAsia="Calibri" w:hAnsiTheme="majorHAnsi"/>
                    <w:sz w:val="22"/>
                    <w:szCs w:val="22"/>
                  </w:rPr>
                  <m:t>(%)</m:t>
                </m:r>
              </m:oMath>
            </m:oMathPara>
          </w:p>
        </w:tc>
        <w:tc>
          <w:tcPr>
            <w:tcW w:w="851" w:type="dxa"/>
            <w:tcBorders>
              <w:top w:val="single" w:sz="4" w:space="0" w:color="auto"/>
              <w:bottom w:val="nil"/>
            </w:tcBorders>
          </w:tcPr>
          <w:p w14:paraId="6517E46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5,65</w:t>
            </w:r>
          </w:p>
          <w:p w14:paraId="60A2814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16,57</w:t>
            </w:r>
          </w:p>
        </w:tc>
        <w:tc>
          <w:tcPr>
            <w:tcW w:w="850" w:type="dxa"/>
            <w:tcBorders>
              <w:top w:val="single" w:sz="4" w:space="0" w:color="auto"/>
              <w:bottom w:val="nil"/>
            </w:tcBorders>
          </w:tcPr>
          <w:p w14:paraId="5546B1FF"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19,50</w:t>
            </w:r>
          </w:p>
          <w:p w14:paraId="142773BC"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55,71</w:t>
            </w:r>
          </w:p>
        </w:tc>
        <w:tc>
          <w:tcPr>
            <w:tcW w:w="916" w:type="dxa"/>
            <w:tcBorders>
              <w:top w:val="single" w:sz="4" w:space="0" w:color="auto"/>
              <w:bottom w:val="nil"/>
            </w:tcBorders>
          </w:tcPr>
          <w:p w14:paraId="488F9C95"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0,47</w:t>
            </w:r>
          </w:p>
          <w:p w14:paraId="4876DD31"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47,11</w:t>
            </w:r>
          </w:p>
        </w:tc>
        <w:tc>
          <w:tcPr>
            <w:tcW w:w="850" w:type="dxa"/>
            <w:tcBorders>
              <w:top w:val="single" w:sz="4" w:space="0" w:color="auto"/>
              <w:bottom w:val="nil"/>
            </w:tcBorders>
          </w:tcPr>
          <w:p w14:paraId="13106B35"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6,44</w:t>
            </w:r>
          </w:p>
          <w:p w14:paraId="77ED91E3"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18,41</w:t>
            </w:r>
          </w:p>
        </w:tc>
        <w:tc>
          <w:tcPr>
            <w:tcW w:w="851" w:type="dxa"/>
            <w:tcBorders>
              <w:top w:val="single" w:sz="4" w:space="0" w:color="auto"/>
              <w:bottom w:val="nil"/>
            </w:tcBorders>
          </w:tcPr>
          <w:p w14:paraId="7002B62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16,61</w:t>
            </w:r>
          </w:p>
          <w:p w14:paraId="3313371C"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47,46</w:t>
            </w:r>
          </w:p>
        </w:tc>
        <w:tc>
          <w:tcPr>
            <w:tcW w:w="993" w:type="dxa"/>
            <w:tcBorders>
              <w:top w:val="single" w:sz="4" w:space="0" w:color="auto"/>
              <w:bottom w:val="nil"/>
              <w:right w:val="nil"/>
            </w:tcBorders>
          </w:tcPr>
          <w:p w14:paraId="0335FC86"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0,35</w:t>
            </w:r>
          </w:p>
          <w:p w14:paraId="492561DE"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35</w:t>
            </w:r>
          </w:p>
        </w:tc>
      </w:tr>
      <w:tr w:rsidR="00CA5B49" w:rsidRPr="008D256C" w14:paraId="18B0FB4E" w14:textId="77777777" w:rsidTr="00E7329A">
        <w:tc>
          <w:tcPr>
            <w:tcW w:w="1242" w:type="dxa"/>
            <w:tcBorders>
              <w:top w:val="nil"/>
              <w:left w:val="nil"/>
              <w:bottom w:val="single" w:sz="4" w:space="0" w:color="auto"/>
            </w:tcBorders>
          </w:tcPr>
          <w:p w14:paraId="3972F146" w14:textId="77777777" w:rsidR="00CA5B49" w:rsidRPr="00CA5B49" w:rsidRDefault="00CA5B49" w:rsidP="007F60D4">
            <w:pPr>
              <w:pStyle w:val="ListParagraph"/>
              <w:ind w:left="0"/>
              <w:jc w:val="center"/>
              <w:rPr>
                <w:rFonts w:asciiTheme="majorHAnsi" w:hAnsiTheme="majorHAnsi"/>
                <w:sz w:val="22"/>
                <w:szCs w:val="22"/>
              </w:rPr>
            </w:pPr>
          </w:p>
        </w:tc>
        <w:tc>
          <w:tcPr>
            <w:tcW w:w="926" w:type="dxa"/>
            <w:tcBorders>
              <w:top w:val="nil"/>
              <w:bottom w:val="single" w:sz="4" w:space="0" w:color="auto"/>
            </w:tcBorders>
          </w:tcPr>
          <w:p w14:paraId="099EEDCA" w14:textId="77777777" w:rsidR="00CA5B49" w:rsidRPr="00CA5B49" w:rsidRDefault="00CA5B49" w:rsidP="007F60D4">
            <w:pPr>
              <w:pStyle w:val="ListParagraph"/>
              <w:ind w:left="0"/>
              <w:jc w:val="both"/>
              <w:rPr>
                <w:rFonts w:asciiTheme="majorHAnsi" w:hAnsiTheme="majorHAnsi"/>
                <w:sz w:val="22"/>
                <w:szCs w:val="22"/>
              </w:rPr>
            </w:pPr>
            <m:oMathPara>
              <m:oMath>
                <m:r>
                  <w:rPr>
                    <w:rFonts w:ascii="Cambria Math" w:eastAsia="Calibri" w:hAnsi="Cambria Math"/>
                    <w:sz w:val="22"/>
                    <w:szCs w:val="22"/>
                  </w:rPr>
                  <m:t>s</m:t>
                </m:r>
              </m:oMath>
            </m:oMathPara>
          </w:p>
        </w:tc>
        <w:tc>
          <w:tcPr>
            <w:tcW w:w="851" w:type="dxa"/>
            <w:tcBorders>
              <w:top w:val="nil"/>
              <w:bottom w:val="single" w:sz="4" w:space="0" w:color="auto"/>
            </w:tcBorders>
          </w:tcPr>
          <w:p w14:paraId="31150C51"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1,56</w:t>
            </w:r>
          </w:p>
        </w:tc>
        <w:tc>
          <w:tcPr>
            <w:tcW w:w="850" w:type="dxa"/>
            <w:tcBorders>
              <w:top w:val="nil"/>
              <w:bottom w:val="single" w:sz="4" w:space="0" w:color="auto"/>
            </w:tcBorders>
          </w:tcPr>
          <w:p w14:paraId="0F86402B"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4,21</w:t>
            </w:r>
          </w:p>
        </w:tc>
        <w:tc>
          <w:tcPr>
            <w:tcW w:w="916" w:type="dxa"/>
            <w:tcBorders>
              <w:top w:val="nil"/>
              <w:bottom w:val="single" w:sz="4" w:space="0" w:color="auto"/>
            </w:tcBorders>
          </w:tcPr>
          <w:p w14:paraId="2C5862B3"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0,14</w:t>
            </w:r>
          </w:p>
        </w:tc>
        <w:tc>
          <w:tcPr>
            <w:tcW w:w="850" w:type="dxa"/>
            <w:tcBorders>
              <w:top w:val="nil"/>
              <w:bottom w:val="single" w:sz="4" w:space="0" w:color="auto"/>
            </w:tcBorders>
          </w:tcPr>
          <w:p w14:paraId="55CF45E4"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1,69</w:t>
            </w:r>
          </w:p>
        </w:tc>
        <w:tc>
          <w:tcPr>
            <w:tcW w:w="851" w:type="dxa"/>
            <w:tcBorders>
              <w:top w:val="nil"/>
              <w:bottom w:val="single" w:sz="4" w:space="0" w:color="auto"/>
            </w:tcBorders>
          </w:tcPr>
          <w:p w14:paraId="0BB92601"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1,68</w:t>
            </w:r>
          </w:p>
        </w:tc>
        <w:tc>
          <w:tcPr>
            <w:tcW w:w="993" w:type="dxa"/>
            <w:tcBorders>
              <w:top w:val="nil"/>
              <w:bottom w:val="single" w:sz="4" w:space="0" w:color="auto"/>
              <w:right w:val="nil"/>
            </w:tcBorders>
          </w:tcPr>
          <w:p w14:paraId="58F3B69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0,06</w:t>
            </w:r>
          </w:p>
        </w:tc>
      </w:tr>
      <w:tr w:rsidR="00CA5B49" w:rsidRPr="008D256C" w14:paraId="3303FF3D" w14:textId="77777777" w:rsidTr="00E7329A">
        <w:tc>
          <w:tcPr>
            <w:tcW w:w="1242" w:type="dxa"/>
            <w:tcBorders>
              <w:top w:val="single" w:sz="4" w:space="0" w:color="auto"/>
              <w:left w:val="nil"/>
              <w:bottom w:val="nil"/>
            </w:tcBorders>
          </w:tcPr>
          <w:p w14:paraId="58A58C24"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Low</w:t>
            </w:r>
          </w:p>
        </w:tc>
        <w:tc>
          <w:tcPr>
            <w:tcW w:w="926" w:type="dxa"/>
            <w:tcBorders>
              <w:top w:val="single" w:sz="4" w:space="0" w:color="auto"/>
              <w:bottom w:val="nil"/>
            </w:tcBorders>
          </w:tcPr>
          <w:p w14:paraId="61FE32BE" w14:textId="77777777" w:rsidR="00CA5B49" w:rsidRPr="00CA5B49" w:rsidRDefault="008A061B" w:rsidP="007F60D4">
            <w:pPr>
              <w:pStyle w:val="ListParagraph"/>
              <w:ind w:left="0"/>
              <w:jc w:val="both"/>
              <w:rPr>
                <w:rFonts w:asciiTheme="majorHAnsi" w:eastAsiaTheme="minorEastAsia" w:hAnsiTheme="majorHAnsi"/>
                <w:sz w:val="22"/>
                <w:szCs w:val="22"/>
              </w:rPr>
            </w:pPr>
            <m:oMathPara>
              <m:oMath>
                <m:acc>
                  <m:accPr>
                    <m:chr m:val="̅"/>
                    <m:ctrlPr>
                      <w:rPr>
                        <w:rFonts w:ascii="Cambria Math" w:eastAsia="Calibri" w:hAnsiTheme="majorHAnsi"/>
                        <w:i/>
                        <w:sz w:val="22"/>
                        <w:szCs w:val="22"/>
                      </w:rPr>
                    </m:ctrlPr>
                  </m:accPr>
                  <m:e>
                    <m:r>
                      <w:rPr>
                        <w:rFonts w:ascii="Cambria Math" w:hAnsi="Cambria Math"/>
                        <w:sz w:val="22"/>
                        <w:szCs w:val="22"/>
                      </w:rPr>
                      <m:t>x</m:t>
                    </m:r>
                    <m:ctrlPr>
                      <w:rPr>
                        <w:rFonts w:ascii="Cambria Math" w:hAnsiTheme="majorHAnsi"/>
                        <w:i/>
                        <w:sz w:val="22"/>
                        <w:szCs w:val="22"/>
                      </w:rPr>
                    </m:ctrlPr>
                  </m:e>
                </m:acc>
              </m:oMath>
            </m:oMathPara>
          </w:p>
          <w:p w14:paraId="6FED91EA" w14:textId="77777777" w:rsidR="00CA5B49" w:rsidRPr="00CA5B49" w:rsidRDefault="00CA5B49" w:rsidP="007F60D4">
            <w:pPr>
              <w:pStyle w:val="ListParagraph"/>
              <w:ind w:left="0"/>
              <w:jc w:val="both"/>
              <w:rPr>
                <w:rFonts w:asciiTheme="majorHAnsi" w:hAnsiTheme="majorHAnsi"/>
                <w:sz w:val="22"/>
                <w:szCs w:val="22"/>
              </w:rPr>
            </w:pPr>
            <m:oMathPara>
              <m:oMath>
                <m:r>
                  <w:rPr>
                    <w:rFonts w:ascii="Cambria Math" w:eastAsia="Calibri" w:hAnsiTheme="majorHAnsi"/>
                    <w:sz w:val="22"/>
                    <w:szCs w:val="22"/>
                  </w:rPr>
                  <m:t>(%)</m:t>
                </m:r>
              </m:oMath>
            </m:oMathPara>
          </w:p>
        </w:tc>
        <w:tc>
          <w:tcPr>
            <w:tcW w:w="851" w:type="dxa"/>
            <w:tcBorders>
              <w:top w:val="single" w:sz="4" w:space="0" w:color="auto"/>
              <w:bottom w:val="nil"/>
            </w:tcBorders>
          </w:tcPr>
          <w:p w14:paraId="0803B79F"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5,43</w:t>
            </w:r>
          </w:p>
          <w:p w14:paraId="11A7FABF"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15,51</w:t>
            </w:r>
          </w:p>
        </w:tc>
        <w:tc>
          <w:tcPr>
            <w:tcW w:w="850" w:type="dxa"/>
            <w:tcBorders>
              <w:top w:val="single" w:sz="4" w:space="0" w:color="auto"/>
              <w:bottom w:val="nil"/>
            </w:tcBorders>
          </w:tcPr>
          <w:p w14:paraId="744B3CC3"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19,29</w:t>
            </w:r>
          </w:p>
          <w:p w14:paraId="0566FAB5"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55,10</w:t>
            </w:r>
          </w:p>
        </w:tc>
        <w:tc>
          <w:tcPr>
            <w:tcW w:w="916" w:type="dxa"/>
            <w:tcBorders>
              <w:top w:val="single" w:sz="4" w:space="0" w:color="auto"/>
              <w:bottom w:val="nil"/>
            </w:tcBorders>
          </w:tcPr>
          <w:p w14:paraId="5AAC9A97"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0,46</w:t>
            </w:r>
          </w:p>
          <w:p w14:paraId="2AB36C7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46,81</w:t>
            </w:r>
          </w:p>
        </w:tc>
        <w:tc>
          <w:tcPr>
            <w:tcW w:w="850" w:type="dxa"/>
            <w:tcBorders>
              <w:top w:val="single" w:sz="4" w:space="0" w:color="auto"/>
              <w:bottom w:val="nil"/>
            </w:tcBorders>
          </w:tcPr>
          <w:p w14:paraId="40551AB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4,8</w:t>
            </w:r>
          </w:p>
          <w:p w14:paraId="1BEF10F6"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13,71</w:t>
            </w:r>
          </w:p>
        </w:tc>
        <w:tc>
          <w:tcPr>
            <w:tcW w:w="851" w:type="dxa"/>
            <w:tcBorders>
              <w:top w:val="single" w:sz="4" w:space="0" w:color="auto"/>
              <w:bottom w:val="nil"/>
            </w:tcBorders>
          </w:tcPr>
          <w:p w14:paraId="3D6A7A78"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15,8</w:t>
            </w:r>
          </w:p>
          <w:p w14:paraId="38E923E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45,14</w:t>
            </w:r>
          </w:p>
        </w:tc>
        <w:tc>
          <w:tcPr>
            <w:tcW w:w="993" w:type="dxa"/>
            <w:tcBorders>
              <w:top w:val="single" w:sz="4" w:space="0" w:color="auto"/>
              <w:bottom w:val="nil"/>
              <w:right w:val="nil"/>
            </w:tcBorders>
          </w:tcPr>
          <w:p w14:paraId="63138513"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0,36</w:t>
            </w:r>
          </w:p>
          <w:p w14:paraId="7EE50529"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36</w:t>
            </w:r>
          </w:p>
        </w:tc>
      </w:tr>
      <w:tr w:rsidR="00CA5B49" w:rsidRPr="008D256C" w14:paraId="2622C8F6" w14:textId="77777777" w:rsidTr="00E7329A">
        <w:tc>
          <w:tcPr>
            <w:tcW w:w="1242" w:type="dxa"/>
            <w:tcBorders>
              <w:top w:val="nil"/>
              <w:left w:val="nil"/>
              <w:bottom w:val="single" w:sz="4" w:space="0" w:color="auto"/>
            </w:tcBorders>
          </w:tcPr>
          <w:p w14:paraId="3B639F0D" w14:textId="77777777" w:rsidR="00CA5B49" w:rsidRPr="00CA5B49" w:rsidRDefault="00CA5B49" w:rsidP="007F60D4">
            <w:pPr>
              <w:pStyle w:val="ListParagraph"/>
              <w:ind w:left="0"/>
              <w:jc w:val="center"/>
              <w:rPr>
                <w:rFonts w:asciiTheme="majorHAnsi" w:hAnsiTheme="majorHAnsi"/>
                <w:sz w:val="22"/>
                <w:szCs w:val="22"/>
              </w:rPr>
            </w:pPr>
          </w:p>
        </w:tc>
        <w:tc>
          <w:tcPr>
            <w:tcW w:w="926" w:type="dxa"/>
            <w:tcBorders>
              <w:top w:val="nil"/>
              <w:bottom w:val="single" w:sz="4" w:space="0" w:color="auto"/>
            </w:tcBorders>
          </w:tcPr>
          <w:p w14:paraId="77D99208" w14:textId="77777777" w:rsidR="00CA5B49" w:rsidRPr="00CA5B49" w:rsidRDefault="00CA5B49" w:rsidP="007F60D4">
            <w:pPr>
              <w:pStyle w:val="ListParagraph"/>
              <w:ind w:left="0"/>
              <w:jc w:val="both"/>
              <w:rPr>
                <w:rFonts w:asciiTheme="majorHAnsi" w:hAnsiTheme="majorHAnsi"/>
                <w:sz w:val="22"/>
                <w:szCs w:val="22"/>
              </w:rPr>
            </w:pPr>
            <m:oMathPara>
              <m:oMath>
                <m:r>
                  <w:rPr>
                    <w:rFonts w:ascii="Cambria Math" w:eastAsia="Calibri" w:hAnsi="Cambria Math"/>
                    <w:sz w:val="22"/>
                    <w:szCs w:val="22"/>
                  </w:rPr>
                  <m:t>s</m:t>
                </m:r>
              </m:oMath>
            </m:oMathPara>
          </w:p>
        </w:tc>
        <w:tc>
          <w:tcPr>
            <w:tcW w:w="851" w:type="dxa"/>
            <w:tcBorders>
              <w:top w:val="nil"/>
              <w:bottom w:val="single" w:sz="4" w:space="0" w:color="auto"/>
            </w:tcBorders>
          </w:tcPr>
          <w:p w14:paraId="70C434B7"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0,53</w:t>
            </w:r>
          </w:p>
        </w:tc>
        <w:tc>
          <w:tcPr>
            <w:tcW w:w="850" w:type="dxa"/>
            <w:tcBorders>
              <w:top w:val="nil"/>
              <w:bottom w:val="single" w:sz="4" w:space="0" w:color="auto"/>
            </w:tcBorders>
          </w:tcPr>
          <w:p w14:paraId="32273B68"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4,79</w:t>
            </w:r>
          </w:p>
        </w:tc>
        <w:tc>
          <w:tcPr>
            <w:tcW w:w="916" w:type="dxa"/>
            <w:tcBorders>
              <w:top w:val="nil"/>
              <w:bottom w:val="single" w:sz="4" w:space="0" w:color="auto"/>
            </w:tcBorders>
          </w:tcPr>
          <w:p w14:paraId="261EC00D"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0,16</w:t>
            </w:r>
          </w:p>
        </w:tc>
        <w:tc>
          <w:tcPr>
            <w:tcW w:w="850" w:type="dxa"/>
            <w:tcBorders>
              <w:top w:val="nil"/>
              <w:bottom w:val="single" w:sz="4" w:space="0" w:color="auto"/>
            </w:tcBorders>
          </w:tcPr>
          <w:p w14:paraId="04BA8034"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1,55</w:t>
            </w:r>
          </w:p>
        </w:tc>
        <w:tc>
          <w:tcPr>
            <w:tcW w:w="851" w:type="dxa"/>
            <w:tcBorders>
              <w:top w:val="nil"/>
              <w:bottom w:val="single" w:sz="4" w:space="0" w:color="auto"/>
            </w:tcBorders>
          </w:tcPr>
          <w:p w14:paraId="01D4F754"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1,39</w:t>
            </w:r>
          </w:p>
        </w:tc>
        <w:tc>
          <w:tcPr>
            <w:tcW w:w="993" w:type="dxa"/>
            <w:tcBorders>
              <w:top w:val="nil"/>
              <w:bottom w:val="single" w:sz="4" w:space="0" w:color="auto"/>
              <w:right w:val="nil"/>
            </w:tcBorders>
          </w:tcPr>
          <w:p w14:paraId="6220F9FA" w14:textId="77777777" w:rsidR="00CA5B49" w:rsidRPr="00CA5B49" w:rsidRDefault="00CA5B49" w:rsidP="007F60D4">
            <w:pPr>
              <w:pStyle w:val="ListParagraph"/>
              <w:ind w:left="0"/>
              <w:jc w:val="center"/>
              <w:rPr>
                <w:rFonts w:asciiTheme="majorHAnsi" w:hAnsiTheme="majorHAnsi"/>
                <w:sz w:val="22"/>
                <w:szCs w:val="22"/>
              </w:rPr>
            </w:pPr>
            <w:r w:rsidRPr="00CA5B49">
              <w:rPr>
                <w:rFonts w:asciiTheme="majorHAnsi" w:hAnsiTheme="majorHAnsi"/>
                <w:sz w:val="22"/>
                <w:szCs w:val="22"/>
              </w:rPr>
              <w:t>0,05</w:t>
            </w:r>
          </w:p>
        </w:tc>
      </w:tr>
      <w:tr w:rsidR="00CA5B49" w:rsidRPr="008D256C" w14:paraId="30B32F0D" w14:textId="77777777" w:rsidTr="00E7329A">
        <w:tc>
          <w:tcPr>
            <w:tcW w:w="7479" w:type="dxa"/>
            <w:gridSpan w:val="8"/>
            <w:tcBorders>
              <w:top w:val="single" w:sz="4" w:space="0" w:color="auto"/>
              <w:left w:val="nil"/>
              <w:bottom w:val="single" w:sz="4" w:space="0" w:color="auto"/>
              <w:right w:val="nil"/>
            </w:tcBorders>
          </w:tcPr>
          <w:p w14:paraId="1F844762" w14:textId="77777777" w:rsidR="00CA5B49" w:rsidRPr="00CA5B49" w:rsidRDefault="00CA5B49" w:rsidP="007F60D4">
            <w:pPr>
              <w:pStyle w:val="ListParagraph"/>
              <w:ind w:left="0"/>
              <w:jc w:val="both"/>
              <w:rPr>
                <w:rFonts w:asciiTheme="majorHAnsi" w:hAnsiTheme="majorHAnsi"/>
                <w:sz w:val="22"/>
                <w:szCs w:val="22"/>
              </w:rPr>
            </w:pPr>
            <w:r w:rsidRPr="00CA5B49">
              <w:rPr>
                <w:rFonts w:asciiTheme="majorHAnsi" w:hAnsiTheme="majorHAnsi"/>
                <w:sz w:val="22"/>
                <w:szCs w:val="22"/>
              </w:rPr>
              <w:t xml:space="preserve">Ideal score = 35 and ideal </w:t>
            </w:r>
            <w:r w:rsidRPr="00CA5B49">
              <w:rPr>
                <w:rFonts w:asciiTheme="majorHAnsi" w:hAnsiTheme="majorHAnsi"/>
                <w:i/>
                <w:sz w:val="22"/>
                <w:szCs w:val="22"/>
              </w:rPr>
              <w:t xml:space="preserve">n-gain </w:t>
            </w:r>
            <w:r w:rsidRPr="00CA5B49">
              <w:rPr>
                <w:rFonts w:asciiTheme="majorHAnsi" w:hAnsiTheme="majorHAnsi"/>
                <w:sz w:val="22"/>
                <w:szCs w:val="22"/>
              </w:rPr>
              <w:t>= 1</w:t>
            </w:r>
          </w:p>
        </w:tc>
      </w:tr>
      <w:bookmarkEnd w:id="2"/>
    </w:tbl>
    <w:p w14:paraId="6520E541" w14:textId="77777777" w:rsidR="00CA5B49" w:rsidRDefault="00CA5B49" w:rsidP="00CA5B49">
      <w:pPr>
        <w:spacing w:line="360" w:lineRule="auto"/>
        <w:jc w:val="both"/>
      </w:pPr>
    </w:p>
    <w:p w14:paraId="3A07DF28" w14:textId="77777777" w:rsidR="002F61F3" w:rsidRDefault="002F6C7B" w:rsidP="002F61F3">
      <w:pPr>
        <w:pStyle w:val="IEEEParagraph"/>
        <w:spacing w:line="276" w:lineRule="auto"/>
        <w:ind w:left="283"/>
        <w:rPr>
          <w:rFonts w:asciiTheme="majorHAnsi" w:hAnsiTheme="majorHAnsi"/>
        </w:rPr>
      </w:pPr>
      <w:r>
        <w:rPr>
          <w:rFonts w:asciiTheme="majorHAnsi" w:hAnsiTheme="majorHAnsi"/>
        </w:rPr>
        <w:t>R</w:t>
      </w:r>
      <w:r w:rsidR="00CA5B49" w:rsidRPr="002F61F3">
        <w:rPr>
          <w:rFonts w:asciiTheme="majorHAnsi" w:hAnsiTheme="majorHAnsi"/>
        </w:rPr>
        <w:t>efer</w:t>
      </w:r>
      <w:r>
        <w:rPr>
          <w:rFonts w:asciiTheme="majorHAnsi" w:hAnsiTheme="majorHAnsi"/>
        </w:rPr>
        <w:t>ring</w:t>
      </w:r>
      <w:r w:rsidR="00CA5B49" w:rsidRPr="002F61F3">
        <w:rPr>
          <w:rFonts w:asciiTheme="majorHAnsi" w:hAnsiTheme="majorHAnsi"/>
        </w:rPr>
        <w:t xml:space="preserve"> to Table </w:t>
      </w:r>
      <w:r w:rsidR="002F61F3">
        <w:rPr>
          <w:rFonts w:asciiTheme="majorHAnsi" w:hAnsiTheme="majorHAnsi"/>
        </w:rPr>
        <w:t>3</w:t>
      </w:r>
      <w:r>
        <w:rPr>
          <w:rFonts w:asciiTheme="majorHAnsi" w:hAnsiTheme="majorHAnsi"/>
        </w:rPr>
        <w:t>,</w:t>
      </w:r>
      <w:r w:rsidR="00CA5B49" w:rsidRPr="002F61F3">
        <w:rPr>
          <w:rFonts w:asciiTheme="majorHAnsi" w:hAnsiTheme="majorHAnsi"/>
        </w:rPr>
        <w:t xml:space="preserve"> the </w:t>
      </w:r>
      <w:r w:rsidR="002F61F3">
        <w:rPr>
          <w:rFonts w:asciiTheme="majorHAnsi" w:hAnsiTheme="majorHAnsi"/>
        </w:rPr>
        <w:t>basic</w:t>
      </w:r>
      <w:r w:rsidR="00CA5B49" w:rsidRPr="002F61F3">
        <w:rPr>
          <w:rFonts w:asciiTheme="majorHAnsi" w:hAnsiTheme="majorHAnsi"/>
        </w:rPr>
        <w:t xml:space="preserve"> mathematical literacy </w:t>
      </w:r>
      <w:r w:rsidR="002F61F3">
        <w:rPr>
          <w:rFonts w:asciiTheme="majorHAnsi" w:hAnsiTheme="majorHAnsi"/>
        </w:rPr>
        <w:t>proficiency</w:t>
      </w:r>
      <w:r w:rsidR="00CA5B49" w:rsidRPr="002F61F3">
        <w:rPr>
          <w:rFonts w:asciiTheme="majorHAnsi" w:hAnsiTheme="majorHAnsi"/>
        </w:rPr>
        <w:t xml:space="preserve"> of high and medium BMP students who get </w:t>
      </w:r>
      <w:r w:rsidR="002F61F3">
        <w:rPr>
          <w:rFonts w:asciiTheme="majorHAnsi" w:hAnsiTheme="majorHAnsi"/>
        </w:rPr>
        <w:t>conventional</w:t>
      </w:r>
      <w:r w:rsidR="00CA5B49" w:rsidRPr="002F61F3">
        <w:rPr>
          <w:rFonts w:asciiTheme="majorHAnsi" w:hAnsiTheme="majorHAnsi"/>
        </w:rPr>
        <w:t xml:space="preserve"> learning is higher than students who receive ICM learning. However, for the low BMP category, the initial literacy </w:t>
      </w:r>
      <w:r w:rsidR="002F61F3">
        <w:rPr>
          <w:rFonts w:asciiTheme="majorHAnsi" w:hAnsiTheme="majorHAnsi"/>
        </w:rPr>
        <w:t>proficiency</w:t>
      </w:r>
      <w:r w:rsidR="00CA5B49" w:rsidRPr="002F61F3">
        <w:rPr>
          <w:rFonts w:asciiTheme="majorHAnsi" w:hAnsiTheme="majorHAnsi"/>
        </w:rPr>
        <w:t xml:space="preserve"> of students who get ICM learning is higher than students who get conventional learning. While</w:t>
      </w:r>
      <w:r w:rsidR="0083587F">
        <w:rPr>
          <w:rFonts w:asciiTheme="majorHAnsi" w:hAnsiTheme="majorHAnsi"/>
        </w:rPr>
        <w:t xml:space="preserve"> </w:t>
      </w:r>
      <w:r w:rsidR="002A3963" w:rsidRPr="002F61F3">
        <w:rPr>
          <w:rFonts w:asciiTheme="majorHAnsi" w:hAnsiTheme="majorHAnsi"/>
        </w:rPr>
        <w:t xml:space="preserve">the final achievement of the mathematical literacy </w:t>
      </w:r>
      <w:r w:rsidR="002A3963">
        <w:rPr>
          <w:rFonts w:asciiTheme="majorHAnsi" w:hAnsiTheme="majorHAnsi"/>
        </w:rPr>
        <w:t>proficiency</w:t>
      </w:r>
      <w:r w:rsidR="002A3963" w:rsidRPr="002F61F3">
        <w:rPr>
          <w:rFonts w:asciiTheme="majorHAnsi" w:hAnsiTheme="majorHAnsi"/>
        </w:rPr>
        <w:t xml:space="preserve"> of the experimental class students</w:t>
      </w:r>
      <w:r w:rsidR="002A3963">
        <w:rPr>
          <w:rFonts w:asciiTheme="majorHAnsi" w:hAnsiTheme="majorHAnsi"/>
        </w:rPr>
        <w:t xml:space="preserve"> based on </w:t>
      </w:r>
      <w:r w:rsidR="00CA5B49" w:rsidRPr="002F61F3">
        <w:rPr>
          <w:rFonts w:asciiTheme="majorHAnsi" w:hAnsiTheme="majorHAnsi"/>
        </w:rPr>
        <w:t>the high, medium and low BMP categories were</w:t>
      </w:r>
      <w:r w:rsidR="002A3963" w:rsidRPr="002F61F3">
        <w:rPr>
          <w:rFonts w:asciiTheme="majorHAnsi" w:hAnsiTheme="majorHAnsi"/>
        </w:rPr>
        <w:t>respectively</w:t>
      </w:r>
      <w:r w:rsidR="00CA5B49" w:rsidRPr="002F61F3">
        <w:rPr>
          <w:rFonts w:asciiTheme="majorHAnsi" w:hAnsiTheme="majorHAnsi"/>
        </w:rPr>
        <w:t>62.86%, 55.71%, and 55.1% of the ideal score.</w:t>
      </w:r>
      <w:r w:rsidR="0083587F">
        <w:rPr>
          <w:rFonts w:asciiTheme="majorHAnsi" w:hAnsiTheme="majorHAnsi"/>
        </w:rPr>
        <w:t xml:space="preserve"> </w:t>
      </w:r>
      <w:r w:rsidR="00CA5B49" w:rsidRPr="002F61F3">
        <w:rPr>
          <w:rFonts w:asciiTheme="majorHAnsi" w:hAnsiTheme="majorHAnsi"/>
        </w:rPr>
        <w:t>However, the percentage of post</w:t>
      </w:r>
      <w:r w:rsidR="002F61F3">
        <w:rPr>
          <w:rFonts w:asciiTheme="majorHAnsi" w:hAnsiTheme="majorHAnsi"/>
        </w:rPr>
        <w:t>-</w:t>
      </w:r>
      <w:r w:rsidR="00CA5B49" w:rsidRPr="002F61F3">
        <w:rPr>
          <w:rFonts w:asciiTheme="majorHAnsi" w:hAnsiTheme="majorHAnsi"/>
        </w:rPr>
        <w:t>test achievement of control class students in the high, medium, and low BMP categories was</w:t>
      </w:r>
      <w:r w:rsidR="002A3963" w:rsidRPr="002F61F3">
        <w:rPr>
          <w:rFonts w:asciiTheme="majorHAnsi" w:hAnsiTheme="majorHAnsi"/>
        </w:rPr>
        <w:t>respectively</w:t>
      </w:r>
      <w:r w:rsidR="00CA5B49" w:rsidRPr="002F61F3">
        <w:rPr>
          <w:rFonts w:asciiTheme="majorHAnsi" w:hAnsiTheme="majorHAnsi"/>
        </w:rPr>
        <w:t>47.76%, 47.46%, and 45.14% of the ideal score. Post-test scores of experimental class students when viewed from BMP are more diverse than control class students. Pre-test and post</w:t>
      </w:r>
      <w:r w:rsidR="002F61F3">
        <w:rPr>
          <w:rFonts w:asciiTheme="majorHAnsi" w:hAnsiTheme="majorHAnsi"/>
        </w:rPr>
        <w:t>-</w:t>
      </w:r>
      <w:r w:rsidR="00CA5B49" w:rsidRPr="002F61F3">
        <w:rPr>
          <w:rFonts w:asciiTheme="majorHAnsi" w:hAnsiTheme="majorHAnsi"/>
        </w:rPr>
        <w:t xml:space="preserve">test scores were processed to obtain n-gain values. The n-gain value serves to measure the increase </w:t>
      </w:r>
      <w:r w:rsidR="002A3963">
        <w:rPr>
          <w:rFonts w:asciiTheme="majorHAnsi" w:hAnsiTheme="majorHAnsi"/>
        </w:rPr>
        <w:t>of</w:t>
      </w:r>
      <w:r w:rsidR="00CA5B49" w:rsidRPr="002F61F3">
        <w:rPr>
          <w:rFonts w:asciiTheme="majorHAnsi" w:hAnsiTheme="majorHAnsi"/>
        </w:rPr>
        <w:t xml:space="preserve"> students' mathematical literacy </w:t>
      </w:r>
      <w:r w:rsidR="005F03CA">
        <w:rPr>
          <w:rFonts w:asciiTheme="majorHAnsi" w:hAnsiTheme="majorHAnsi"/>
        </w:rPr>
        <w:t>proficiency</w:t>
      </w:r>
      <w:r w:rsidR="00CA5B49" w:rsidRPr="002F61F3">
        <w:rPr>
          <w:rFonts w:asciiTheme="majorHAnsi" w:hAnsiTheme="majorHAnsi"/>
        </w:rPr>
        <w:t>. When viewed from the BMP category, the average percentage of n-gain categories of the high, medium, and low BMP who obtained ICM learning was higher than students who obtained normal learning.</w:t>
      </w:r>
    </w:p>
    <w:p w14:paraId="5B08D4A0" w14:textId="77777777" w:rsidR="002F61F3" w:rsidRDefault="00CA5B49" w:rsidP="002F61F3">
      <w:pPr>
        <w:pStyle w:val="IEEEParagraph"/>
        <w:spacing w:line="276" w:lineRule="auto"/>
        <w:ind w:left="283"/>
        <w:rPr>
          <w:rFonts w:asciiTheme="majorHAnsi" w:hAnsiTheme="majorHAnsi"/>
        </w:rPr>
      </w:pPr>
      <w:r w:rsidRPr="002F61F3">
        <w:rPr>
          <w:rFonts w:asciiTheme="majorHAnsi" w:hAnsiTheme="majorHAnsi"/>
        </w:rPr>
        <w:t xml:space="preserve">The n-gain data test of mathematical literacy </w:t>
      </w:r>
      <w:r w:rsidR="002F61F3">
        <w:rPr>
          <w:rFonts w:asciiTheme="majorHAnsi" w:hAnsiTheme="majorHAnsi"/>
        </w:rPr>
        <w:t>proficiency</w:t>
      </w:r>
      <w:r w:rsidRPr="002F61F3">
        <w:rPr>
          <w:rFonts w:asciiTheme="majorHAnsi" w:hAnsiTheme="majorHAnsi"/>
        </w:rPr>
        <w:t xml:space="preserve"> based on the BMP category is used to test the hypothesis </w:t>
      </w:r>
      <w:r w:rsidR="00360473">
        <w:rPr>
          <w:rFonts w:asciiTheme="majorHAnsi" w:hAnsiTheme="majorHAnsi"/>
        </w:rPr>
        <w:t>that</w:t>
      </w:r>
      <w:r w:rsidRPr="002F61F3">
        <w:rPr>
          <w:rFonts w:asciiTheme="majorHAnsi" w:hAnsiTheme="majorHAnsi"/>
        </w:rPr>
        <w:t xml:space="preserve"> students who get ICM learning</w:t>
      </w:r>
      <w:r w:rsidR="00360473">
        <w:rPr>
          <w:rFonts w:asciiTheme="majorHAnsi" w:hAnsiTheme="majorHAnsi"/>
        </w:rPr>
        <w:t xml:space="preserve"> is</w:t>
      </w:r>
      <w:r w:rsidRPr="002F61F3">
        <w:rPr>
          <w:rFonts w:asciiTheme="majorHAnsi" w:hAnsiTheme="majorHAnsi"/>
        </w:rPr>
        <w:t xml:space="preserve"> better than students who obtain conventional learning </w:t>
      </w:r>
      <w:r w:rsidR="00360473">
        <w:rPr>
          <w:rFonts w:asciiTheme="majorHAnsi" w:hAnsiTheme="majorHAnsi"/>
        </w:rPr>
        <w:t xml:space="preserve">in </w:t>
      </w:r>
      <w:r w:rsidR="00360473" w:rsidRPr="002F61F3">
        <w:rPr>
          <w:rFonts w:asciiTheme="majorHAnsi" w:hAnsiTheme="majorHAnsi"/>
        </w:rPr>
        <w:t xml:space="preserve">increasing mathematical literacy </w:t>
      </w:r>
      <w:r w:rsidR="00360473">
        <w:rPr>
          <w:rFonts w:asciiTheme="majorHAnsi" w:hAnsiTheme="majorHAnsi"/>
        </w:rPr>
        <w:t>proficiency</w:t>
      </w:r>
      <w:r w:rsidR="0083587F">
        <w:rPr>
          <w:rFonts w:asciiTheme="majorHAnsi" w:hAnsiTheme="majorHAnsi"/>
        </w:rPr>
        <w:t xml:space="preserve"> </w:t>
      </w:r>
      <w:r w:rsidRPr="002F61F3">
        <w:rPr>
          <w:rFonts w:asciiTheme="majorHAnsi" w:hAnsiTheme="majorHAnsi"/>
        </w:rPr>
        <w:t xml:space="preserve">when viewed from the initial mathematical </w:t>
      </w:r>
      <w:r w:rsidR="002F61F3">
        <w:rPr>
          <w:rFonts w:asciiTheme="majorHAnsi" w:hAnsiTheme="majorHAnsi"/>
        </w:rPr>
        <w:t>proficiency</w:t>
      </w:r>
      <w:r w:rsidRPr="002F61F3">
        <w:rPr>
          <w:rFonts w:asciiTheme="majorHAnsi" w:hAnsiTheme="majorHAnsi"/>
        </w:rPr>
        <w:t xml:space="preserve"> (high, medium, low).Previously, the prerequisite tests</w:t>
      </w:r>
      <w:r w:rsidR="00360473">
        <w:rPr>
          <w:rFonts w:asciiTheme="majorHAnsi" w:hAnsiTheme="majorHAnsi"/>
        </w:rPr>
        <w:t>,</w:t>
      </w:r>
      <w:r w:rsidR="00360473" w:rsidRPr="002F61F3">
        <w:rPr>
          <w:rFonts w:asciiTheme="majorHAnsi" w:hAnsiTheme="majorHAnsi"/>
        </w:rPr>
        <w:t xml:space="preserve"> normality and homogeneity tests</w:t>
      </w:r>
      <w:r w:rsidR="00360473">
        <w:rPr>
          <w:rFonts w:asciiTheme="majorHAnsi" w:hAnsiTheme="majorHAnsi"/>
        </w:rPr>
        <w:t>,</w:t>
      </w:r>
      <w:r w:rsidRPr="002F61F3">
        <w:rPr>
          <w:rFonts w:asciiTheme="majorHAnsi" w:hAnsiTheme="majorHAnsi"/>
        </w:rPr>
        <w:t xml:space="preserve"> were carried out first. The normality test used is the Shapiro Wilk test at the significance level α = 0.05. Shapiro Wilk's test results showed that the n-gain of each BMP category in both classes was normally distributed. While for the homogeneity test, a </w:t>
      </w:r>
      <w:proofErr w:type="spellStart"/>
      <w:r w:rsidRPr="002F61F3">
        <w:rPr>
          <w:rFonts w:asciiTheme="majorHAnsi" w:hAnsiTheme="majorHAnsi"/>
        </w:rPr>
        <w:t>Levene</w:t>
      </w:r>
      <w:proofErr w:type="spellEnd"/>
      <w:r w:rsidRPr="002F61F3">
        <w:rPr>
          <w:rFonts w:asciiTheme="majorHAnsi" w:hAnsiTheme="majorHAnsi"/>
        </w:rPr>
        <w:t xml:space="preserve"> test with significance level α = 0.05 was used. </w:t>
      </w:r>
      <w:proofErr w:type="spellStart"/>
      <w:r w:rsidRPr="002F61F3">
        <w:rPr>
          <w:rFonts w:asciiTheme="majorHAnsi" w:hAnsiTheme="majorHAnsi"/>
        </w:rPr>
        <w:t>Levene</w:t>
      </w:r>
      <w:proofErr w:type="spellEnd"/>
      <w:r w:rsidRPr="002F61F3">
        <w:rPr>
          <w:rFonts w:asciiTheme="majorHAnsi" w:hAnsiTheme="majorHAnsi"/>
        </w:rPr>
        <w:t xml:space="preserve"> test results revealed that the high and low n-gain BMP had homogeneous variance. These results indicate an increase in the mathematical literacy </w:t>
      </w:r>
      <w:r w:rsidR="002F61F3">
        <w:rPr>
          <w:rFonts w:asciiTheme="majorHAnsi" w:hAnsiTheme="majorHAnsi"/>
        </w:rPr>
        <w:t>proficiency</w:t>
      </w:r>
      <w:r w:rsidRPr="002F61F3">
        <w:rPr>
          <w:rFonts w:asciiTheme="majorHAnsi" w:hAnsiTheme="majorHAnsi"/>
        </w:rPr>
        <w:t xml:space="preserve"> of high and low BMP students to spread evenly. Conversely, n-gain BMP is having an inhomogeneous variance.</w:t>
      </w:r>
    </w:p>
    <w:p w14:paraId="7CD1E8D2" w14:textId="77777777" w:rsidR="00CA5B49" w:rsidRPr="002F61F3" w:rsidRDefault="00CA5B49" w:rsidP="007119E5">
      <w:pPr>
        <w:pStyle w:val="IEEEParagraph"/>
        <w:spacing w:line="276" w:lineRule="auto"/>
        <w:ind w:left="283"/>
        <w:rPr>
          <w:rFonts w:asciiTheme="majorHAnsi" w:hAnsiTheme="majorHAnsi"/>
        </w:rPr>
      </w:pPr>
      <w:r w:rsidRPr="002F61F3">
        <w:rPr>
          <w:rFonts w:asciiTheme="majorHAnsi" w:hAnsiTheme="majorHAnsi"/>
        </w:rPr>
        <w:t xml:space="preserve">After concluding that the n-gain mathematical literacy </w:t>
      </w:r>
      <w:r w:rsidR="002F61F3">
        <w:rPr>
          <w:rFonts w:asciiTheme="majorHAnsi" w:hAnsiTheme="majorHAnsi"/>
        </w:rPr>
        <w:t>proficiency</w:t>
      </w:r>
      <w:r w:rsidRPr="002F61F3">
        <w:rPr>
          <w:rFonts w:asciiTheme="majorHAnsi" w:hAnsiTheme="majorHAnsi"/>
        </w:rPr>
        <w:t xml:space="preserve"> of high BMP is normal and homogeneous distribution, then the average difference test with a t-test is performed. While the n-gain mathematical literacy </w:t>
      </w:r>
      <w:r w:rsidR="002F61F3">
        <w:rPr>
          <w:rFonts w:asciiTheme="majorHAnsi" w:hAnsiTheme="majorHAnsi"/>
        </w:rPr>
        <w:t>proficiency</w:t>
      </w:r>
      <w:r w:rsidRPr="002F61F3">
        <w:rPr>
          <w:rFonts w:asciiTheme="majorHAnsi" w:hAnsiTheme="majorHAnsi"/>
        </w:rPr>
        <w:t xml:space="preserve"> of medium and low BMP is normally </w:t>
      </w:r>
      <w:r w:rsidRPr="002F61F3">
        <w:rPr>
          <w:rFonts w:asciiTheme="majorHAnsi" w:hAnsiTheme="majorHAnsi"/>
        </w:rPr>
        <w:lastRenderedPageBreak/>
        <w:t>distributed but not homogeneous, then it is continued with a t-test with a significance level α = 0.05 as shown in</w:t>
      </w:r>
      <w:r w:rsidR="007119E5">
        <w:rPr>
          <w:rFonts w:asciiTheme="majorHAnsi" w:hAnsiTheme="majorHAnsi"/>
        </w:rPr>
        <w:t xml:space="preserve"> </w:t>
      </w:r>
      <w:r w:rsidRPr="002F61F3">
        <w:rPr>
          <w:rFonts w:asciiTheme="majorHAnsi" w:hAnsiTheme="majorHAnsi"/>
        </w:rPr>
        <w:t xml:space="preserve">Table </w:t>
      </w:r>
      <w:r w:rsidR="002F61F3">
        <w:rPr>
          <w:rFonts w:asciiTheme="majorHAnsi" w:hAnsiTheme="majorHAnsi"/>
        </w:rPr>
        <w:t>4</w:t>
      </w:r>
      <w:r w:rsidRPr="002F61F3">
        <w:rPr>
          <w:rFonts w:asciiTheme="majorHAnsi" w:hAnsiTheme="majorHAnsi"/>
        </w:rPr>
        <w:t>.</w:t>
      </w:r>
    </w:p>
    <w:p w14:paraId="1BDDB34E" w14:textId="77777777" w:rsidR="00CA5B49" w:rsidRPr="00E7329A" w:rsidRDefault="005F03CA" w:rsidP="005F03CA">
      <w:pPr>
        <w:jc w:val="center"/>
        <w:rPr>
          <w:rFonts w:asciiTheme="majorHAnsi" w:hAnsiTheme="majorHAnsi"/>
          <w:sz w:val="22"/>
        </w:rPr>
      </w:pPr>
      <w:r>
        <w:rPr>
          <w:rFonts w:asciiTheme="majorHAnsi" w:hAnsiTheme="majorHAnsi"/>
          <w:b/>
          <w:sz w:val="22"/>
        </w:rPr>
        <w:t>Table 4</w:t>
      </w:r>
      <w:r w:rsidR="00CA5B49" w:rsidRPr="005F03CA">
        <w:rPr>
          <w:rFonts w:asciiTheme="majorHAnsi" w:hAnsiTheme="majorHAnsi"/>
          <w:b/>
          <w:sz w:val="22"/>
        </w:rPr>
        <w:t xml:space="preserve">. </w:t>
      </w:r>
      <w:r w:rsidR="00CA5B49" w:rsidRPr="00E7329A">
        <w:rPr>
          <w:rFonts w:asciiTheme="majorHAnsi" w:hAnsiTheme="majorHAnsi"/>
          <w:sz w:val="22"/>
        </w:rPr>
        <w:t>n-gain</w:t>
      </w:r>
      <w:r w:rsidR="0083587F">
        <w:rPr>
          <w:rFonts w:asciiTheme="majorHAnsi" w:hAnsiTheme="majorHAnsi"/>
          <w:sz w:val="22"/>
        </w:rPr>
        <w:t xml:space="preserve"> </w:t>
      </w:r>
      <w:r w:rsidR="00E7329A">
        <w:rPr>
          <w:rFonts w:asciiTheme="majorHAnsi" w:hAnsiTheme="majorHAnsi"/>
          <w:sz w:val="22"/>
        </w:rPr>
        <w:t>Difference Test Result Base on BMP</w:t>
      </w:r>
    </w:p>
    <w:tbl>
      <w:tblPr>
        <w:tblStyle w:val="TableGrid"/>
        <w:tblW w:w="7512" w:type="dxa"/>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756"/>
        <w:gridCol w:w="756"/>
        <w:gridCol w:w="650"/>
        <w:gridCol w:w="1168"/>
        <w:gridCol w:w="1360"/>
        <w:gridCol w:w="1831"/>
      </w:tblGrid>
      <w:tr w:rsidR="00CA5B49" w:rsidRPr="005F03CA" w14:paraId="16DA7454" w14:textId="77777777" w:rsidTr="00E7329A">
        <w:tc>
          <w:tcPr>
            <w:tcW w:w="950" w:type="dxa"/>
            <w:tcBorders>
              <w:top w:val="single" w:sz="4" w:space="0" w:color="auto"/>
              <w:bottom w:val="single" w:sz="4" w:space="0" w:color="auto"/>
            </w:tcBorders>
            <w:vAlign w:val="center"/>
          </w:tcPr>
          <w:p w14:paraId="23348A49" w14:textId="77777777" w:rsidR="00CA5B49" w:rsidRPr="004C2FD3" w:rsidRDefault="00CA5B49" w:rsidP="007F60D4">
            <w:pPr>
              <w:tabs>
                <w:tab w:val="left" w:pos="720"/>
                <w:tab w:val="left" w:pos="3690"/>
              </w:tabs>
              <w:jc w:val="center"/>
              <w:rPr>
                <w:rFonts w:asciiTheme="majorHAnsi" w:hAnsiTheme="majorHAnsi"/>
                <w:b/>
                <w:sz w:val="22"/>
              </w:rPr>
            </w:pPr>
            <w:r w:rsidRPr="004C2FD3">
              <w:rPr>
                <w:rFonts w:asciiTheme="majorHAnsi" w:hAnsiTheme="majorHAnsi"/>
                <w:b/>
                <w:sz w:val="22"/>
              </w:rPr>
              <w:t>BMP</w:t>
            </w:r>
          </w:p>
        </w:tc>
        <w:tc>
          <w:tcPr>
            <w:tcW w:w="756" w:type="dxa"/>
            <w:tcBorders>
              <w:top w:val="single" w:sz="4" w:space="0" w:color="auto"/>
              <w:bottom w:val="single" w:sz="4" w:space="0" w:color="auto"/>
            </w:tcBorders>
            <w:vAlign w:val="center"/>
          </w:tcPr>
          <w:p w14:paraId="31A9C8EB" w14:textId="77777777" w:rsidR="00CA5B49" w:rsidRPr="004C2FD3" w:rsidRDefault="00360473" w:rsidP="007F60D4">
            <w:pPr>
              <w:tabs>
                <w:tab w:val="left" w:pos="720"/>
                <w:tab w:val="left" w:pos="3690"/>
              </w:tabs>
              <w:jc w:val="center"/>
              <w:rPr>
                <w:rFonts w:asciiTheme="majorHAnsi" w:hAnsiTheme="majorHAnsi"/>
                <w:b/>
                <w:sz w:val="22"/>
              </w:rPr>
            </w:pPr>
            <w:r w:rsidRPr="004C2FD3">
              <w:rPr>
                <w:rFonts w:asciiTheme="majorHAnsi" w:hAnsiTheme="majorHAnsi"/>
                <w:b/>
                <w:i/>
                <w:sz w:val="22"/>
              </w:rPr>
              <w:t>T</w:t>
            </w:r>
          </w:p>
        </w:tc>
        <w:tc>
          <w:tcPr>
            <w:tcW w:w="756" w:type="dxa"/>
            <w:tcBorders>
              <w:top w:val="single" w:sz="4" w:space="0" w:color="auto"/>
              <w:bottom w:val="single" w:sz="4" w:space="0" w:color="auto"/>
            </w:tcBorders>
            <w:vAlign w:val="center"/>
          </w:tcPr>
          <w:p w14:paraId="598DB443" w14:textId="77777777" w:rsidR="00CA5B49" w:rsidRPr="004C2FD3" w:rsidRDefault="00CA5B49" w:rsidP="007F60D4">
            <w:pPr>
              <w:tabs>
                <w:tab w:val="left" w:pos="720"/>
                <w:tab w:val="left" w:pos="3690"/>
              </w:tabs>
              <w:jc w:val="center"/>
              <w:rPr>
                <w:rFonts w:asciiTheme="majorHAnsi" w:hAnsiTheme="majorHAnsi"/>
                <w:b/>
                <w:i/>
                <w:sz w:val="22"/>
              </w:rPr>
            </w:pPr>
            <w:r w:rsidRPr="004C2FD3">
              <w:rPr>
                <w:rFonts w:asciiTheme="majorHAnsi" w:hAnsiTheme="majorHAnsi"/>
                <w:b/>
                <w:i/>
                <w:sz w:val="22"/>
              </w:rPr>
              <w:t>t'</w:t>
            </w:r>
          </w:p>
        </w:tc>
        <w:tc>
          <w:tcPr>
            <w:tcW w:w="656" w:type="dxa"/>
            <w:tcBorders>
              <w:top w:val="single" w:sz="4" w:space="0" w:color="auto"/>
              <w:bottom w:val="single" w:sz="4" w:space="0" w:color="auto"/>
            </w:tcBorders>
            <w:vAlign w:val="center"/>
          </w:tcPr>
          <w:p w14:paraId="2C4966D3" w14:textId="77777777" w:rsidR="00CA5B49" w:rsidRPr="004C2FD3" w:rsidRDefault="004C2FD3" w:rsidP="007F60D4">
            <w:pPr>
              <w:tabs>
                <w:tab w:val="left" w:pos="720"/>
                <w:tab w:val="left" w:pos="3690"/>
              </w:tabs>
              <w:jc w:val="center"/>
              <w:rPr>
                <w:rFonts w:asciiTheme="majorHAnsi" w:hAnsiTheme="majorHAnsi"/>
                <w:b/>
                <w:i/>
                <w:sz w:val="22"/>
              </w:rPr>
            </w:pPr>
            <m:oMathPara>
              <m:oMath>
                <m:r>
                  <m:rPr>
                    <m:sty m:val="bi"/>
                  </m:rPr>
                  <w:rPr>
                    <w:rFonts w:ascii="Cambria Math" w:eastAsiaTheme="minorEastAsia" w:hAnsi="Cambria Math"/>
                    <w:sz w:val="22"/>
                  </w:rPr>
                  <m:t>df</m:t>
                </m:r>
              </m:oMath>
            </m:oMathPara>
          </w:p>
        </w:tc>
        <w:tc>
          <w:tcPr>
            <w:tcW w:w="1178" w:type="dxa"/>
            <w:tcBorders>
              <w:top w:val="single" w:sz="4" w:space="0" w:color="auto"/>
              <w:bottom w:val="single" w:sz="4" w:space="0" w:color="auto"/>
            </w:tcBorders>
            <w:vAlign w:val="center"/>
          </w:tcPr>
          <w:p w14:paraId="16FA897E" w14:textId="77777777" w:rsidR="00CA5B49" w:rsidRPr="004C2FD3" w:rsidRDefault="004C2FD3" w:rsidP="007F60D4">
            <w:pPr>
              <w:tabs>
                <w:tab w:val="left" w:pos="720"/>
                <w:tab w:val="left" w:pos="3690"/>
              </w:tabs>
              <w:jc w:val="center"/>
              <w:rPr>
                <w:rFonts w:asciiTheme="majorHAnsi" w:eastAsiaTheme="minorEastAsia" w:hAnsiTheme="majorHAnsi"/>
                <w:b/>
                <w:sz w:val="22"/>
              </w:rPr>
            </w:pPr>
            <m:oMathPara>
              <m:oMath>
                <m:r>
                  <m:rPr>
                    <m:sty m:val="bi"/>
                  </m:rPr>
                  <w:rPr>
                    <w:rFonts w:ascii="Cambria Math" w:eastAsiaTheme="minorEastAsia" w:hAnsi="Cambria Math"/>
                    <w:sz w:val="22"/>
                  </w:rPr>
                  <m:t>Sig</m:t>
                </m:r>
                <m:r>
                  <m:rPr>
                    <m:sty m:val="bi"/>
                  </m:rPr>
                  <w:rPr>
                    <w:rFonts w:ascii="Cambria Math" w:eastAsiaTheme="minorEastAsia" w:hAnsiTheme="majorHAnsi"/>
                    <w:sz w:val="22"/>
                  </w:rPr>
                  <m:t>.</m:t>
                </m:r>
              </m:oMath>
            </m:oMathPara>
          </w:p>
          <w:p w14:paraId="24795C46" w14:textId="77777777" w:rsidR="00CA5B49" w:rsidRPr="004C2FD3" w:rsidRDefault="00CA5B49" w:rsidP="007F60D4">
            <w:pPr>
              <w:tabs>
                <w:tab w:val="left" w:pos="720"/>
                <w:tab w:val="left" w:pos="3690"/>
              </w:tabs>
              <w:jc w:val="center"/>
              <w:rPr>
                <w:rFonts w:asciiTheme="majorHAnsi" w:hAnsiTheme="majorHAnsi"/>
                <w:b/>
                <w:sz w:val="22"/>
              </w:rPr>
            </w:pPr>
            <w:r w:rsidRPr="004C2FD3">
              <w:rPr>
                <w:rFonts w:asciiTheme="majorHAnsi" w:hAnsiTheme="majorHAnsi"/>
                <w:b/>
                <w:i/>
                <w:sz w:val="22"/>
              </w:rPr>
              <w:t>(1-tailed)</w:t>
            </w:r>
          </w:p>
        </w:tc>
        <w:tc>
          <w:tcPr>
            <w:tcW w:w="1369" w:type="dxa"/>
            <w:tcBorders>
              <w:top w:val="single" w:sz="4" w:space="0" w:color="auto"/>
              <w:bottom w:val="single" w:sz="4" w:space="0" w:color="auto"/>
            </w:tcBorders>
            <w:vAlign w:val="center"/>
          </w:tcPr>
          <w:p w14:paraId="5ED5B76E" w14:textId="77777777" w:rsidR="00CA5B49" w:rsidRPr="004C2FD3" w:rsidRDefault="00B23E27" w:rsidP="007F60D4">
            <w:pPr>
              <w:tabs>
                <w:tab w:val="left" w:pos="720"/>
                <w:tab w:val="left" w:pos="3690"/>
              </w:tabs>
              <w:jc w:val="center"/>
              <w:rPr>
                <w:rFonts w:asciiTheme="majorHAnsi" w:hAnsiTheme="majorHAnsi"/>
                <w:b/>
                <w:sz w:val="22"/>
              </w:rPr>
            </w:pPr>
            <w:r>
              <w:rPr>
                <w:rFonts w:asciiTheme="majorHAnsi" w:hAnsiTheme="majorHAnsi"/>
                <w:b/>
                <w:sz w:val="22"/>
              </w:rPr>
              <w:t>Decision</w:t>
            </w:r>
          </w:p>
        </w:tc>
        <w:tc>
          <w:tcPr>
            <w:tcW w:w="1847" w:type="dxa"/>
            <w:tcBorders>
              <w:top w:val="single" w:sz="4" w:space="0" w:color="auto"/>
              <w:bottom w:val="single" w:sz="4" w:space="0" w:color="auto"/>
            </w:tcBorders>
            <w:vAlign w:val="center"/>
          </w:tcPr>
          <w:p w14:paraId="47EAD42C" w14:textId="77777777" w:rsidR="00CA5B49" w:rsidRPr="004C2FD3" w:rsidRDefault="00B23E27" w:rsidP="007F60D4">
            <w:pPr>
              <w:tabs>
                <w:tab w:val="left" w:pos="720"/>
                <w:tab w:val="left" w:pos="3690"/>
              </w:tabs>
              <w:jc w:val="center"/>
              <w:rPr>
                <w:rFonts w:asciiTheme="majorHAnsi" w:hAnsiTheme="majorHAnsi"/>
                <w:b/>
                <w:sz w:val="22"/>
              </w:rPr>
            </w:pPr>
            <w:r>
              <w:rPr>
                <w:rFonts w:asciiTheme="majorHAnsi" w:hAnsiTheme="majorHAnsi"/>
                <w:b/>
                <w:sz w:val="22"/>
              </w:rPr>
              <w:t>Annotation</w:t>
            </w:r>
          </w:p>
        </w:tc>
      </w:tr>
      <w:tr w:rsidR="00CA5B49" w:rsidRPr="005F03CA" w14:paraId="3CF4D20A" w14:textId="77777777" w:rsidTr="00E7329A">
        <w:tc>
          <w:tcPr>
            <w:tcW w:w="950" w:type="dxa"/>
            <w:tcBorders>
              <w:top w:val="single" w:sz="4" w:space="0" w:color="auto"/>
              <w:bottom w:val="single" w:sz="4" w:space="0" w:color="auto"/>
              <w:right w:val="nil"/>
            </w:tcBorders>
          </w:tcPr>
          <w:p w14:paraId="55AD73E9" w14:textId="77777777" w:rsidR="00CA5B49" w:rsidRPr="005F03CA" w:rsidRDefault="005F03CA" w:rsidP="005F03CA">
            <w:pPr>
              <w:tabs>
                <w:tab w:val="left" w:pos="720"/>
                <w:tab w:val="left" w:pos="3690"/>
              </w:tabs>
              <w:jc w:val="center"/>
              <w:rPr>
                <w:rFonts w:asciiTheme="majorHAnsi" w:hAnsiTheme="majorHAnsi"/>
                <w:sz w:val="22"/>
              </w:rPr>
            </w:pPr>
            <w:r>
              <w:rPr>
                <w:rFonts w:asciiTheme="majorHAnsi" w:hAnsiTheme="majorHAnsi"/>
                <w:sz w:val="22"/>
              </w:rPr>
              <w:t>High</w:t>
            </w:r>
          </w:p>
        </w:tc>
        <w:tc>
          <w:tcPr>
            <w:tcW w:w="756" w:type="dxa"/>
            <w:tcBorders>
              <w:top w:val="single" w:sz="4" w:space="0" w:color="auto"/>
              <w:left w:val="nil"/>
              <w:bottom w:val="single" w:sz="4" w:space="0" w:color="auto"/>
              <w:right w:val="nil"/>
            </w:tcBorders>
          </w:tcPr>
          <w:p w14:paraId="7A4490BA"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3,634</w:t>
            </w:r>
          </w:p>
        </w:tc>
        <w:tc>
          <w:tcPr>
            <w:tcW w:w="756" w:type="dxa"/>
            <w:tcBorders>
              <w:top w:val="single" w:sz="4" w:space="0" w:color="auto"/>
              <w:left w:val="nil"/>
              <w:bottom w:val="single" w:sz="4" w:space="0" w:color="auto"/>
              <w:right w:val="nil"/>
            </w:tcBorders>
          </w:tcPr>
          <w:p w14:paraId="33711CAB"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w:t>
            </w:r>
          </w:p>
        </w:tc>
        <w:tc>
          <w:tcPr>
            <w:tcW w:w="656" w:type="dxa"/>
            <w:tcBorders>
              <w:top w:val="single" w:sz="4" w:space="0" w:color="auto"/>
              <w:left w:val="nil"/>
              <w:bottom w:val="single" w:sz="4" w:space="0" w:color="auto"/>
              <w:right w:val="nil"/>
            </w:tcBorders>
          </w:tcPr>
          <w:p w14:paraId="15659195" w14:textId="77777777" w:rsidR="00CA5B49" w:rsidRPr="005F03CA" w:rsidRDefault="00CA5B49" w:rsidP="007F60D4">
            <w:pPr>
              <w:tabs>
                <w:tab w:val="left" w:pos="720"/>
                <w:tab w:val="left" w:pos="3690"/>
              </w:tabs>
              <w:jc w:val="center"/>
              <w:rPr>
                <w:rFonts w:asciiTheme="majorHAnsi" w:eastAsia="Calibri" w:hAnsiTheme="majorHAnsi"/>
                <w:sz w:val="22"/>
              </w:rPr>
            </w:pPr>
            <w:r w:rsidRPr="005F03CA">
              <w:rPr>
                <w:rFonts w:asciiTheme="majorHAnsi" w:eastAsia="Calibri" w:hAnsiTheme="majorHAnsi"/>
                <w:sz w:val="22"/>
              </w:rPr>
              <w:t>13</w:t>
            </w:r>
          </w:p>
        </w:tc>
        <w:tc>
          <w:tcPr>
            <w:tcW w:w="1178" w:type="dxa"/>
            <w:tcBorders>
              <w:top w:val="single" w:sz="4" w:space="0" w:color="auto"/>
              <w:left w:val="nil"/>
              <w:bottom w:val="single" w:sz="4" w:space="0" w:color="auto"/>
              <w:right w:val="nil"/>
            </w:tcBorders>
          </w:tcPr>
          <w:p w14:paraId="748EC336"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0,0015</w:t>
            </w:r>
          </w:p>
        </w:tc>
        <w:tc>
          <w:tcPr>
            <w:tcW w:w="1369" w:type="dxa"/>
            <w:tcBorders>
              <w:top w:val="single" w:sz="4" w:space="0" w:color="auto"/>
              <w:left w:val="nil"/>
              <w:bottom w:val="single" w:sz="4" w:space="0" w:color="auto"/>
              <w:right w:val="nil"/>
            </w:tcBorders>
          </w:tcPr>
          <w:p w14:paraId="23E3F6C4" w14:textId="77777777" w:rsidR="00CA5B49" w:rsidRPr="005F03CA" w:rsidRDefault="00CA5B49" w:rsidP="00B23E27">
            <w:pPr>
              <w:tabs>
                <w:tab w:val="left" w:pos="720"/>
                <w:tab w:val="left" w:pos="3690"/>
              </w:tabs>
              <w:jc w:val="center"/>
              <w:rPr>
                <w:rFonts w:asciiTheme="majorHAnsi" w:hAnsiTheme="majorHAnsi"/>
                <w:sz w:val="22"/>
              </w:rPr>
            </w:pPr>
            <w:r w:rsidRPr="005F03CA">
              <w:rPr>
                <w:rFonts w:asciiTheme="majorHAnsi" w:hAnsiTheme="majorHAnsi"/>
                <w:i/>
                <w:sz w:val="22"/>
              </w:rPr>
              <w:t>H</w:t>
            </w:r>
            <w:r w:rsidRPr="005F03CA">
              <w:rPr>
                <w:rFonts w:asciiTheme="majorHAnsi" w:hAnsiTheme="majorHAnsi"/>
                <w:i/>
                <w:sz w:val="22"/>
                <w:vertAlign w:val="subscript"/>
              </w:rPr>
              <w:t>0</w:t>
            </w:r>
            <w:r w:rsidR="007119E5">
              <w:rPr>
                <w:rFonts w:asciiTheme="majorHAnsi" w:hAnsiTheme="majorHAnsi"/>
                <w:i/>
                <w:sz w:val="22"/>
                <w:vertAlign w:val="subscript"/>
              </w:rPr>
              <w:t xml:space="preserve"> </w:t>
            </w:r>
            <w:r w:rsidR="005F03CA">
              <w:rPr>
                <w:rFonts w:asciiTheme="majorHAnsi" w:hAnsiTheme="majorHAnsi"/>
                <w:sz w:val="22"/>
              </w:rPr>
              <w:t>Rejected</w:t>
            </w:r>
          </w:p>
        </w:tc>
        <w:tc>
          <w:tcPr>
            <w:tcW w:w="1847" w:type="dxa"/>
            <w:tcBorders>
              <w:top w:val="single" w:sz="4" w:space="0" w:color="auto"/>
              <w:left w:val="nil"/>
              <w:bottom w:val="single" w:sz="4" w:space="0" w:color="auto"/>
            </w:tcBorders>
          </w:tcPr>
          <w:p w14:paraId="7B7E7253" w14:textId="77777777" w:rsidR="00CA5B49" w:rsidRPr="005F03CA" w:rsidRDefault="00B23E27" w:rsidP="00B23E27">
            <w:pPr>
              <w:tabs>
                <w:tab w:val="left" w:pos="720"/>
                <w:tab w:val="left" w:pos="3690"/>
              </w:tabs>
              <w:jc w:val="center"/>
              <w:rPr>
                <w:rFonts w:asciiTheme="majorHAnsi" w:hAnsiTheme="majorHAnsi"/>
                <w:sz w:val="22"/>
              </w:rPr>
            </w:pPr>
            <w:r>
              <w:rPr>
                <w:rFonts w:asciiTheme="majorHAnsi" w:hAnsiTheme="majorHAnsi"/>
                <w:sz w:val="22"/>
              </w:rPr>
              <w:t>Better</w:t>
            </w:r>
          </w:p>
        </w:tc>
      </w:tr>
      <w:tr w:rsidR="00CA5B49" w:rsidRPr="005F03CA" w14:paraId="3AA03C19" w14:textId="77777777" w:rsidTr="00E7329A">
        <w:tc>
          <w:tcPr>
            <w:tcW w:w="950" w:type="dxa"/>
            <w:tcBorders>
              <w:top w:val="single" w:sz="4" w:space="0" w:color="auto"/>
              <w:bottom w:val="single" w:sz="4" w:space="0" w:color="auto"/>
              <w:right w:val="nil"/>
            </w:tcBorders>
          </w:tcPr>
          <w:p w14:paraId="172A9517" w14:textId="77777777" w:rsidR="00CA5B49" w:rsidRPr="005F03CA" w:rsidRDefault="005F03CA" w:rsidP="005F03CA">
            <w:pPr>
              <w:tabs>
                <w:tab w:val="left" w:pos="720"/>
                <w:tab w:val="left" w:pos="3690"/>
              </w:tabs>
              <w:jc w:val="center"/>
              <w:rPr>
                <w:rFonts w:asciiTheme="majorHAnsi" w:hAnsiTheme="majorHAnsi"/>
                <w:sz w:val="22"/>
              </w:rPr>
            </w:pPr>
            <w:r>
              <w:rPr>
                <w:rFonts w:asciiTheme="majorHAnsi" w:hAnsiTheme="majorHAnsi"/>
                <w:sz w:val="22"/>
              </w:rPr>
              <w:t>Medium</w:t>
            </w:r>
          </w:p>
        </w:tc>
        <w:tc>
          <w:tcPr>
            <w:tcW w:w="756" w:type="dxa"/>
            <w:tcBorders>
              <w:top w:val="single" w:sz="4" w:space="0" w:color="auto"/>
              <w:left w:val="nil"/>
              <w:bottom w:val="single" w:sz="4" w:space="0" w:color="auto"/>
              <w:right w:val="nil"/>
            </w:tcBorders>
          </w:tcPr>
          <w:p w14:paraId="57A64375"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w:t>
            </w:r>
          </w:p>
        </w:tc>
        <w:tc>
          <w:tcPr>
            <w:tcW w:w="756" w:type="dxa"/>
            <w:tcBorders>
              <w:top w:val="single" w:sz="4" w:space="0" w:color="auto"/>
              <w:left w:val="nil"/>
              <w:bottom w:val="single" w:sz="4" w:space="0" w:color="auto"/>
              <w:right w:val="nil"/>
            </w:tcBorders>
          </w:tcPr>
          <w:p w14:paraId="2076D0DF"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3,184</w:t>
            </w:r>
          </w:p>
        </w:tc>
        <w:tc>
          <w:tcPr>
            <w:tcW w:w="656" w:type="dxa"/>
            <w:tcBorders>
              <w:top w:val="single" w:sz="4" w:space="0" w:color="auto"/>
              <w:left w:val="nil"/>
              <w:bottom w:val="single" w:sz="4" w:space="0" w:color="auto"/>
              <w:right w:val="nil"/>
            </w:tcBorders>
          </w:tcPr>
          <w:p w14:paraId="0937CE09" w14:textId="77777777" w:rsidR="00CA5B49" w:rsidRPr="005F03CA" w:rsidRDefault="00CA5B49" w:rsidP="007F60D4">
            <w:pPr>
              <w:tabs>
                <w:tab w:val="left" w:pos="720"/>
                <w:tab w:val="left" w:pos="3690"/>
              </w:tabs>
              <w:jc w:val="center"/>
              <w:rPr>
                <w:rFonts w:asciiTheme="majorHAnsi" w:eastAsia="Calibri" w:hAnsiTheme="majorHAnsi"/>
                <w:sz w:val="22"/>
              </w:rPr>
            </w:pPr>
            <w:r w:rsidRPr="005F03CA">
              <w:rPr>
                <w:rFonts w:asciiTheme="majorHAnsi" w:eastAsia="Calibri" w:hAnsiTheme="majorHAnsi"/>
                <w:sz w:val="22"/>
              </w:rPr>
              <w:t>36</w:t>
            </w:r>
          </w:p>
        </w:tc>
        <w:tc>
          <w:tcPr>
            <w:tcW w:w="1178" w:type="dxa"/>
            <w:tcBorders>
              <w:top w:val="single" w:sz="4" w:space="0" w:color="auto"/>
              <w:left w:val="nil"/>
              <w:bottom w:val="single" w:sz="4" w:space="0" w:color="auto"/>
              <w:right w:val="nil"/>
            </w:tcBorders>
          </w:tcPr>
          <w:p w14:paraId="3CE7ECA3"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0,002</w:t>
            </w:r>
          </w:p>
        </w:tc>
        <w:tc>
          <w:tcPr>
            <w:tcW w:w="1369" w:type="dxa"/>
            <w:tcBorders>
              <w:top w:val="single" w:sz="4" w:space="0" w:color="auto"/>
              <w:left w:val="nil"/>
              <w:bottom w:val="single" w:sz="4" w:space="0" w:color="auto"/>
              <w:right w:val="nil"/>
            </w:tcBorders>
          </w:tcPr>
          <w:p w14:paraId="286DF9FD" w14:textId="0910EC7F" w:rsidR="00CA5B49" w:rsidRPr="005F03CA" w:rsidRDefault="00CA5B49" w:rsidP="00B23E27">
            <w:pPr>
              <w:tabs>
                <w:tab w:val="left" w:pos="720"/>
                <w:tab w:val="left" w:pos="3690"/>
              </w:tabs>
              <w:jc w:val="center"/>
              <w:rPr>
                <w:rFonts w:asciiTheme="majorHAnsi" w:hAnsiTheme="majorHAnsi"/>
                <w:sz w:val="22"/>
              </w:rPr>
            </w:pPr>
            <w:r w:rsidRPr="005F03CA">
              <w:rPr>
                <w:rFonts w:asciiTheme="majorHAnsi" w:hAnsiTheme="majorHAnsi"/>
                <w:i/>
                <w:sz w:val="22"/>
              </w:rPr>
              <w:t>H</w:t>
            </w:r>
            <w:r w:rsidRPr="005F03CA">
              <w:rPr>
                <w:rFonts w:asciiTheme="majorHAnsi" w:hAnsiTheme="majorHAnsi"/>
                <w:i/>
                <w:sz w:val="22"/>
                <w:vertAlign w:val="subscript"/>
              </w:rPr>
              <w:t xml:space="preserve">0 </w:t>
            </w:r>
            <w:r w:rsidR="005F03CA">
              <w:rPr>
                <w:rFonts w:asciiTheme="majorHAnsi" w:hAnsiTheme="majorHAnsi"/>
                <w:sz w:val="22"/>
              </w:rPr>
              <w:t>Rejected</w:t>
            </w:r>
          </w:p>
        </w:tc>
        <w:tc>
          <w:tcPr>
            <w:tcW w:w="1847" w:type="dxa"/>
            <w:tcBorders>
              <w:top w:val="single" w:sz="4" w:space="0" w:color="auto"/>
              <w:left w:val="nil"/>
              <w:bottom w:val="single" w:sz="4" w:space="0" w:color="auto"/>
            </w:tcBorders>
          </w:tcPr>
          <w:p w14:paraId="1E1C3169" w14:textId="77777777" w:rsidR="00CA5B49" w:rsidRPr="005F03CA" w:rsidRDefault="00B23E27" w:rsidP="00B23E27">
            <w:pPr>
              <w:tabs>
                <w:tab w:val="left" w:pos="720"/>
                <w:tab w:val="left" w:pos="3690"/>
              </w:tabs>
              <w:jc w:val="center"/>
              <w:rPr>
                <w:rFonts w:asciiTheme="majorHAnsi" w:hAnsiTheme="majorHAnsi"/>
                <w:sz w:val="22"/>
              </w:rPr>
            </w:pPr>
            <w:r>
              <w:rPr>
                <w:rFonts w:asciiTheme="majorHAnsi" w:hAnsiTheme="majorHAnsi"/>
                <w:sz w:val="22"/>
              </w:rPr>
              <w:t>Better</w:t>
            </w:r>
          </w:p>
        </w:tc>
      </w:tr>
      <w:tr w:rsidR="00CA5B49" w:rsidRPr="005F03CA" w14:paraId="33A0EB69" w14:textId="77777777" w:rsidTr="00E7329A">
        <w:tc>
          <w:tcPr>
            <w:tcW w:w="950" w:type="dxa"/>
            <w:tcBorders>
              <w:top w:val="single" w:sz="4" w:space="0" w:color="auto"/>
              <w:bottom w:val="single" w:sz="4" w:space="0" w:color="auto"/>
              <w:right w:val="nil"/>
            </w:tcBorders>
          </w:tcPr>
          <w:p w14:paraId="302E5257" w14:textId="77777777" w:rsidR="00CA5B49" w:rsidRPr="005F03CA" w:rsidRDefault="005F03CA" w:rsidP="005F03CA">
            <w:pPr>
              <w:tabs>
                <w:tab w:val="left" w:pos="720"/>
                <w:tab w:val="left" w:pos="3690"/>
              </w:tabs>
              <w:jc w:val="center"/>
              <w:rPr>
                <w:rFonts w:asciiTheme="majorHAnsi" w:hAnsiTheme="majorHAnsi"/>
                <w:sz w:val="22"/>
              </w:rPr>
            </w:pPr>
            <w:r>
              <w:rPr>
                <w:rFonts w:asciiTheme="majorHAnsi" w:hAnsiTheme="majorHAnsi"/>
                <w:sz w:val="22"/>
              </w:rPr>
              <w:t>Low</w:t>
            </w:r>
          </w:p>
        </w:tc>
        <w:tc>
          <w:tcPr>
            <w:tcW w:w="756" w:type="dxa"/>
            <w:tcBorders>
              <w:top w:val="single" w:sz="4" w:space="0" w:color="auto"/>
              <w:left w:val="nil"/>
              <w:bottom w:val="single" w:sz="4" w:space="0" w:color="auto"/>
              <w:right w:val="nil"/>
            </w:tcBorders>
          </w:tcPr>
          <w:p w14:paraId="7C19A37A"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w:t>
            </w:r>
          </w:p>
        </w:tc>
        <w:tc>
          <w:tcPr>
            <w:tcW w:w="756" w:type="dxa"/>
            <w:tcBorders>
              <w:top w:val="single" w:sz="4" w:space="0" w:color="auto"/>
              <w:left w:val="nil"/>
              <w:bottom w:val="single" w:sz="4" w:space="0" w:color="auto"/>
              <w:right w:val="nil"/>
            </w:tcBorders>
          </w:tcPr>
          <w:p w14:paraId="7EA17148"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1,712</w:t>
            </w:r>
          </w:p>
        </w:tc>
        <w:tc>
          <w:tcPr>
            <w:tcW w:w="656" w:type="dxa"/>
            <w:tcBorders>
              <w:top w:val="single" w:sz="4" w:space="0" w:color="auto"/>
              <w:left w:val="nil"/>
              <w:bottom w:val="single" w:sz="4" w:space="0" w:color="auto"/>
              <w:right w:val="nil"/>
            </w:tcBorders>
          </w:tcPr>
          <w:p w14:paraId="1283E200" w14:textId="77777777" w:rsidR="00CA5B49" w:rsidRPr="005F03CA" w:rsidRDefault="00CA5B49" w:rsidP="007F60D4">
            <w:pPr>
              <w:tabs>
                <w:tab w:val="left" w:pos="720"/>
                <w:tab w:val="left" w:pos="3690"/>
              </w:tabs>
              <w:jc w:val="center"/>
              <w:rPr>
                <w:rFonts w:asciiTheme="majorHAnsi" w:eastAsia="Calibri" w:hAnsiTheme="majorHAnsi"/>
                <w:sz w:val="22"/>
              </w:rPr>
            </w:pPr>
            <w:r w:rsidRPr="005F03CA">
              <w:rPr>
                <w:rFonts w:asciiTheme="majorHAnsi" w:eastAsia="Calibri" w:hAnsiTheme="majorHAnsi"/>
                <w:sz w:val="22"/>
              </w:rPr>
              <w:t>13</w:t>
            </w:r>
          </w:p>
        </w:tc>
        <w:tc>
          <w:tcPr>
            <w:tcW w:w="1178" w:type="dxa"/>
            <w:tcBorders>
              <w:top w:val="single" w:sz="4" w:space="0" w:color="auto"/>
              <w:left w:val="nil"/>
              <w:bottom w:val="single" w:sz="4" w:space="0" w:color="auto"/>
              <w:right w:val="nil"/>
            </w:tcBorders>
          </w:tcPr>
          <w:p w14:paraId="6881E3CD" w14:textId="77777777" w:rsidR="00CA5B49" w:rsidRPr="005F03CA" w:rsidRDefault="00CA5B49" w:rsidP="007F60D4">
            <w:pPr>
              <w:tabs>
                <w:tab w:val="left" w:pos="720"/>
                <w:tab w:val="left" w:pos="3690"/>
              </w:tabs>
              <w:jc w:val="center"/>
              <w:rPr>
                <w:rFonts w:asciiTheme="majorHAnsi" w:hAnsiTheme="majorHAnsi"/>
                <w:sz w:val="22"/>
              </w:rPr>
            </w:pPr>
            <w:r w:rsidRPr="005F03CA">
              <w:rPr>
                <w:rFonts w:asciiTheme="majorHAnsi" w:hAnsiTheme="majorHAnsi"/>
                <w:sz w:val="22"/>
              </w:rPr>
              <w:t>0,066</w:t>
            </w:r>
          </w:p>
        </w:tc>
        <w:tc>
          <w:tcPr>
            <w:tcW w:w="1369" w:type="dxa"/>
            <w:tcBorders>
              <w:top w:val="single" w:sz="4" w:space="0" w:color="auto"/>
              <w:left w:val="nil"/>
              <w:bottom w:val="single" w:sz="4" w:space="0" w:color="auto"/>
              <w:right w:val="nil"/>
            </w:tcBorders>
          </w:tcPr>
          <w:p w14:paraId="5A0D2C74" w14:textId="694D73A4" w:rsidR="00CA5B49" w:rsidRPr="005F03CA" w:rsidRDefault="00CA5B49" w:rsidP="00B23E27">
            <w:pPr>
              <w:tabs>
                <w:tab w:val="left" w:pos="720"/>
                <w:tab w:val="left" w:pos="3690"/>
              </w:tabs>
              <w:jc w:val="center"/>
              <w:rPr>
                <w:rFonts w:asciiTheme="majorHAnsi" w:hAnsiTheme="majorHAnsi"/>
                <w:sz w:val="22"/>
              </w:rPr>
            </w:pPr>
            <w:r w:rsidRPr="005F03CA">
              <w:rPr>
                <w:rFonts w:asciiTheme="majorHAnsi" w:hAnsiTheme="majorHAnsi"/>
                <w:i/>
                <w:sz w:val="22"/>
              </w:rPr>
              <w:t>H</w:t>
            </w:r>
            <w:r w:rsidRPr="005F03CA">
              <w:rPr>
                <w:rFonts w:asciiTheme="majorHAnsi" w:hAnsiTheme="majorHAnsi"/>
                <w:i/>
                <w:sz w:val="22"/>
                <w:vertAlign w:val="subscript"/>
              </w:rPr>
              <w:t xml:space="preserve">0 </w:t>
            </w:r>
            <w:r w:rsidR="005F03CA">
              <w:rPr>
                <w:rFonts w:asciiTheme="majorHAnsi" w:hAnsiTheme="majorHAnsi"/>
                <w:sz w:val="22"/>
              </w:rPr>
              <w:t>Rejected</w:t>
            </w:r>
          </w:p>
        </w:tc>
        <w:tc>
          <w:tcPr>
            <w:tcW w:w="1847" w:type="dxa"/>
            <w:tcBorders>
              <w:top w:val="single" w:sz="4" w:space="0" w:color="auto"/>
              <w:left w:val="nil"/>
              <w:bottom w:val="single" w:sz="4" w:space="0" w:color="auto"/>
            </w:tcBorders>
          </w:tcPr>
          <w:p w14:paraId="466F3715" w14:textId="77777777" w:rsidR="00CA5B49" w:rsidRPr="005F03CA" w:rsidRDefault="00B23E27" w:rsidP="00B23E27">
            <w:pPr>
              <w:tabs>
                <w:tab w:val="left" w:pos="720"/>
                <w:tab w:val="left" w:pos="3690"/>
              </w:tabs>
              <w:jc w:val="center"/>
              <w:rPr>
                <w:rFonts w:asciiTheme="majorHAnsi" w:hAnsiTheme="majorHAnsi"/>
                <w:sz w:val="22"/>
              </w:rPr>
            </w:pPr>
            <w:r>
              <w:rPr>
                <w:rFonts w:asciiTheme="majorHAnsi" w:hAnsiTheme="majorHAnsi"/>
                <w:sz w:val="22"/>
              </w:rPr>
              <w:t>Not Better</w:t>
            </w:r>
          </w:p>
        </w:tc>
      </w:tr>
    </w:tbl>
    <w:p w14:paraId="3F73D943" w14:textId="77777777" w:rsidR="00CA5B49" w:rsidRPr="005F03CA" w:rsidRDefault="00CA5B49" w:rsidP="00CA5B49">
      <w:pPr>
        <w:ind w:left="1701" w:firstLine="426"/>
        <w:jc w:val="both"/>
        <w:rPr>
          <w:rFonts w:asciiTheme="majorHAnsi" w:hAnsiTheme="majorHAnsi"/>
          <w:sz w:val="22"/>
        </w:rPr>
      </w:pPr>
    </w:p>
    <w:p w14:paraId="5A62A911" w14:textId="77777777" w:rsidR="004C2FD3" w:rsidRPr="001B5783" w:rsidRDefault="005F03CA" w:rsidP="004C2FD3">
      <w:pPr>
        <w:pStyle w:val="IEEEParagraph"/>
        <w:spacing w:line="276" w:lineRule="auto"/>
        <w:ind w:left="283"/>
        <w:rPr>
          <w:rFonts w:asciiTheme="majorHAnsi" w:hAnsiTheme="majorHAnsi" w:cstheme="minorHAnsi"/>
        </w:rPr>
      </w:pPr>
      <w:r w:rsidRPr="001B5783">
        <w:rPr>
          <w:rFonts w:asciiTheme="majorHAnsi" w:hAnsiTheme="majorHAnsi" w:cstheme="minorHAnsi"/>
        </w:rPr>
        <w:t>Refer</w:t>
      </w:r>
      <w:r w:rsidR="00360473">
        <w:rPr>
          <w:rFonts w:asciiTheme="majorHAnsi" w:hAnsiTheme="majorHAnsi" w:cstheme="minorHAnsi"/>
        </w:rPr>
        <w:t>ring</w:t>
      </w:r>
      <w:r w:rsidRPr="001B5783">
        <w:rPr>
          <w:rFonts w:asciiTheme="majorHAnsi" w:hAnsiTheme="majorHAnsi" w:cstheme="minorHAnsi"/>
        </w:rPr>
        <w:t xml:space="preserve"> to Table 4, </w:t>
      </w:r>
      <w:r w:rsidR="00CA5B49" w:rsidRPr="001B5783">
        <w:rPr>
          <w:rFonts w:asciiTheme="majorHAnsi" w:hAnsiTheme="majorHAnsi" w:cstheme="minorHAnsi"/>
        </w:rPr>
        <w:t xml:space="preserve">it can be concluded that students who </w:t>
      </w:r>
      <w:r w:rsidR="00FD50AD">
        <w:rPr>
          <w:rFonts w:asciiTheme="majorHAnsi" w:hAnsiTheme="majorHAnsi" w:cstheme="minorHAnsi"/>
        </w:rPr>
        <w:t>obtain</w:t>
      </w:r>
      <w:r w:rsidR="00CA5B49" w:rsidRPr="001B5783">
        <w:rPr>
          <w:rFonts w:asciiTheme="majorHAnsi" w:hAnsiTheme="majorHAnsi" w:cstheme="minorHAnsi"/>
        </w:rPr>
        <w:t xml:space="preserve"> ICM learning</w:t>
      </w:r>
      <w:r w:rsidR="00FD50AD">
        <w:rPr>
          <w:rFonts w:asciiTheme="majorHAnsi" w:hAnsiTheme="majorHAnsi" w:cstheme="minorHAnsi"/>
        </w:rPr>
        <w:t xml:space="preserve"> is</w:t>
      </w:r>
      <w:r w:rsidR="00CA5B49" w:rsidRPr="001B5783">
        <w:rPr>
          <w:rFonts w:asciiTheme="majorHAnsi" w:hAnsiTheme="majorHAnsi" w:cstheme="minorHAnsi"/>
        </w:rPr>
        <w:t xml:space="preserve"> significantly better than students who obtain normal learning</w:t>
      </w:r>
      <w:r w:rsidR="0083587F">
        <w:rPr>
          <w:rFonts w:asciiTheme="majorHAnsi" w:hAnsiTheme="majorHAnsi" w:cstheme="minorHAnsi"/>
        </w:rPr>
        <w:t xml:space="preserve"> </w:t>
      </w:r>
      <w:r w:rsidR="00FD50AD" w:rsidRPr="001B5783">
        <w:rPr>
          <w:rFonts w:asciiTheme="majorHAnsi" w:hAnsiTheme="majorHAnsi" w:cstheme="minorHAnsi"/>
        </w:rPr>
        <w:t xml:space="preserve">in the high and medium BMP category students </w:t>
      </w:r>
      <w:r w:rsidR="00FD50AD">
        <w:rPr>
          <w:rFonts w:asciiTheme="majorHAnsi" w:hAnsiTheme="majorHAnsi" w:cstheme="minorHAnsi"/>
        </w:rPr>
        <w:t xml:space="preserve">who </w:t>
      </w:r>
      <w:r w:rsidR="00FD50AD" w:rsidRPr="001B5783">
        <w:rPr>
          <w:rFonts w:asciiTheme="majorHAnsi" w:hAnsiTheme="majorHAnsi" w:cstheme="minorHAnsi"/>
        </w:rPr>
        <w:t>have an average n-gain mathematical literacy proficiency</w:t>
      </w:r>
      <w:r w:rsidR="00CA5B49" w:rsidRPr="001B5783">
        <w:rPr>
          <w:rFonts w:asciiTheme="majorHAnsi" w:hAnsiTheme="majorHAnsi" w:cstheme="minorHAnsi"/>
        </w:rPr>
        <w:t>.</w:t>
      </w:r>
      <w:r w:rsidR="0083587F">
        <w:rPr>
          <w:rFonts w:asciiTheme="majorHAnsi" w:hAnsiTheme="majorHAnsi" w:cstheme="minorHAnsi"/>
        </w:rPr>
        <w:t xml:space="preserve"> </w:t>
      </w:r>
      <w:r w:rsidR="00CA5B49" w:rsidRPr="001B5783">
        <w:rPr>
          <w:rFonts w:asciiTheme="majorHAnsi" w:hAnsiTheme="majorHAnsi" w:cstheme="minorHAnsi"/>
        </w:rPr>
        <w:t xml:space="preserve">On the other hand, low BMP students who get ICM learning are no better than low BMP students who get </w:t>
      </w:r>
      <w:r w:rsidR="002F61F3" w:rsidRPr="001B5783">
        <w:rPr>
          <w:rFonts w:asciiTheme="majorHAnsi" w:hAnsiTheme="majorHAnsi" w:cstheme="minorHAnsi"/>
        </w:rPr>
        <w:t>conventional</w:t>
      </w:r>
      <w:r w:rsidR="00CA5B49" w:rsidRPr="001B5783">
        <w:rPr>
          <w:rFonts w:asciiTheme="majorHAnsi" w:hAnsiTheme="majorHAnsi" w:cstheme="minorHAnsi"/>
        </w:rPr>
        <w:t xml:space="preserve"> learning.</w:t>
      </w:r>
    </w:p>
    <w:p w14:paraId="15FCE731" w14:textId="77777777" w:rsidR="00CA5B49" w:rsidRPr="001B5783" w:rsidRDefault="00CA5B49" w:rsidP="002A4373">
      <w:pPr>
        <w:pStyle w:val="IEEEParagraph"/>
        <w:spacing w:line="276" w:lineRule="auto"/>
        <w:ind w:left="283"/>
        <w:rPr>
          <w:rFonts w:asciiTheme="majorHAnsi" w:hAnsiTheme="majorHAnsi"/>
        </w:rPr>
      </w:pPr>
      <w:r w:rsidRPr="001B5783">
        <w:rPr>
          <w:rFonts w:asciiTheme="majorHAnsi" w:hAnsiTheme="majorHAnsi" w:cstheme="minorHAnsi"/>
        </w:rPr>
        <w:t xml:space="preserve">Hypothesis testing is then carried out to determine differences in the increase </w:t>
      </w:r>
      <w:r w:rsidR="00FD50AD">
        <w:rPr>
          <w:rFonts w:asciiTheme="majorHAnsi" w:hAnsiTheme="majorHAnsi" w:cstheme="minorHAnsi"/>
        </w:rPr>
        <w:t>of</w:t>
      </w:r>
      <w:r w:rsidRPr="001B5783">
        <w:rPr>
          <w:rFonts w:asciiTheme="majorHAnsi" w:hAnsiTheme="majorHAnsi" w:cstheme="minorHAnsi"/>
        </w:rPr>
        <w:t xml:space="preserve"> mathematical literacy </w:t>
      </w:r>
      <w:r w:rsidR="005F03CA" w:rsidRPr="001B5783">
        <w:rPr>
          <w:rFonts w:asciiTheme="majorHAnsi" w:hAnsiTheme="majorHAnsi" w:cstheme="minorHAnsi"/>
        </w:rPr>
        <w:t>proficiency</w:t>
      </w:r>
      <w:r w:rsidRPr="001B5783">
        <w:rPr>
          <w:rFonts w:asciiTheme="majorHAnsi" w:hAnsiTheme="majorHAnsi" w:cstheme="minorHAnsi"/>
        </w:rPr>
        <w:t xml:space="preserve"> of students in each BMP category who obtained ICM learning. Previously, a homogeneity test was carried out through the </w:t>
      </w:r>
      <w:proofErr w:type="spellStart"/>
      <w:r w:rsidRPr="001B5783">
        <w:rPr>
          <w:rFonts w:asciiTheme="majorHAnsi" w:hAnsiTheme="majorHAnsi" w:cstheme="minorHAnsi"/>
        </w:rPr>
        <w:t>Levene</w:t>
      </w:r>
      <w:proofErr w:type="spellEnd"/>
      <w:r w:rsidRPr="001B5783">
        <w:rPr>
          <w:rFonts w:asciiTheme="majorHAnsi" w:hAnsiTheme="majorHAnsi" w:cstheme="minorHAnsi"/>
        </w:rPr>
        <w:t xml:space="preserve"> test with the significance level α = 0.05. </w:t>
      </w:r>
      <w:proofErr w:type="spellStart"/>
      <w:r w:rsidRPr="001B5783">
        <w:rPr>
          <w:rFonts w:asciiTheme="majorHAnsi" w:hAnsiTheme="majorHAnsi" w:cstheme="minorHAnsi"/>
        </w:rPr>
        <w:t>Levene</w:t>
      </w:r>
      <w:proofErr w:type="spellEnd"/>
      <w:r w:rsidRPr="001B5783">
        <w:rPr>
          <w:rFonts w:asciiTheme="majorHAnsi" w:hAnsiTheme="majorHAnsi" w:cstheme="minorHAnsi"/>
        </w:rPr>
        <w:t xml:space="preserve"> test results show that overall n-gain has a homogeneous variance. So that </w:t>
      </w:r>
      <w:r w:rsidR="00FD50AD">
        <w:rPr>
          <w:rFonts w:asciiTheme="majorHAnsi" w:hAnsiTheme="majorHAnsi" w:cstheme="minorHAnsi"/>
        </w:rPr>
        <w:t xml:space="preserve">the test </w:t>
      </w:r>
      <w:r w:rsidRPr="001B5783">
        <w:rPr>
          <w:rFonts w:asciiTheme="majorHAnsi" w:hAnsiTheme="majorHAnsi" w:cstheme="minorHAnsi"/>
        </w:rPr>
        <w:t xml:space="preserve">continued with </w:t>
      </w:r>
      <w:r w:rsidR="00A11D7B">
        <w:rPr>
          <w:rFonts w:asciiTheme="majorHAnsi" w:hAnsiTheme="majorHAnsi" w:cstheme="minorHAnsi"/>
        </w:rPr>
        <w:t>O</w:t>
      </w:r>
      <w:r w:rsidR="00FD50AD">
        <w:rPr>
          <w:rFonts w:asciiTheme="majorHAnsi" w:hAnsiTheme="majorHAnsi" w:cstheme="minorHAnsi"/>
        </w:rPr>
        <w:t xml:space="preserve">ne </w:t>
      </w:r>
      <w:r w:rsidR="00A11D7B">
        <w:rPr>
          <w:rFonts w:asciiTheme="majorHAnsi" w:hAnsiTheme="majorHAnsi" w:cstheme="minorHAnsi"/>
        </w:rPr>
        <w:t>W</w:t>
      </w:r>
      <w:r w:rsidR="00FD50AD">
        <w:rPr>
          <w:rFonts w:asciiTheme="majorHAnsi" w:hAnsiTheme="majorHAnsi" w:cstheme="minorHAnsi"/>
        </w:rPr>
        <w:t>ay</w:t>
      </w:r>
      <w:r w:rsidRPr="001B5783">
        <w:rPr>
          <w:rFonts w:asciiTheme="majorHAnsi" w:hAnsiTheme="majorHAnsi" w:cstheme="minorHAnsi"/>
        </w:rPr>
        <w:t xml:space="preserve"> ANOVA test at the level of significance</w:t>
      </w:r>
      <w:r w:rsidR="004C2FD3" w:rsidRPr="001B5783">
        <w:rPr>
          <w:rFonts w:asciiTheme="majorHAnsi" w:hAnsiTheme="majorHAnsi" w:cstheme="minorHAnsi"/>
        </w:rPr>
        <w:t xml:space="preserve"> α = 0.05 as shown in Table 5</w:t>
      </w:r>
      <w:r w:rsidRPr="001B5783">
        <w:rPr>
          <w:rFonts w:asciiTheme="majorHAnsi" w:hAnsiTheme="majorHAnsi" w:cstheme="minorHAnsi"/>
        </w:rPr>
        <w:t>.</w:t>
      </w:r>
    </w:p>
    <w:p w14:paraId="223DF980" w14:textId="77777777" w:rsidR="00CA5B49" w:rsidRPr="002A4373" w:rsidRDefault="002A4373" w:rsidP="002A4373">
      <w:pPr>
        <w:jc w:val="center"/>
        <w:rPr>
          <w:rFonts w:asciiTheme="majorHAnsi" w:hAnsiTheme="majorHAnsi"/>
          <w:sz w:val="22"/>
        </w:rPr>
      </w:pPr>
      <w:r>
        <w:rPr>
          <w:rFonts w:asciiTheme="majorHAnsi" w:hAnsiTheme="majorHAnsi"/>
          <w:b/>
          <w:sz w:val="22"/>
        </w:rPr>
        <w:t>Table 5</w:t>
      </w:r>
      <w:r w:rsidR="00CA5B49" w:rsidRPr="002A4373">
        <w:rPr>
          <w:rFonts w:asciiTheme="majorHAnsi" w:hAnsiTheme="majorHAnsi"/>
          <w:b/>
          <w:sz w:val="22"/>
        </w:rPr>
        <w:t xml:space="preserve">. </w:t>
      </w:r>
      <w:r w:rsidR="00E7329A">
        <w:rPr>
          <w:rFonts w:asciiTheme="majorHAnsi" w:hAnsiTheme="majorHAnsi"/>
          <w:sz w:val="22"/>
        </w:rPr>
        <w:t xml:space="preserve">The Result of </w:t>
      </w:r>
      <w:proofErr w:type="gramStart"/>
      <w:r w:rsidR="00E7329A">
        <w:rPr>
          <w:rFonts w:asciiTheme="majorHAnsi" w:hAnsiTheme="majorHAnsi"/>
          <w:sz w:val="22"/>
        </w:rPr>
        <w:t>One</w:t>
      </w:r>
      <w:r w:rsidR="007119E5">
        <w:rPr>
          <w:rFonts w:asciiTheme="majorHAnsi" w:hAnsiTheme="majorHAnsi"/>
          <w:sz w:val="22"/>
        </w:rPr>
        <w:t xml:space="preserve"> </w:t>
      </w:r>
      <w:r w:rsidR="00E7329A">
        <w:rPr>
          <w:rFonts w:asciiTheme="majorHAnsi" w:hAnsiTheme="majorHAnsi"/>
          <w:sz w:val="22"/>
        </w:rPr>
        <w:t>Way</w:t>
      </w:r>
      <w:proofErr w:type="gramEnd"/>
      <w:r w:rsidR="00E7329A">
        <w:rPr>
          <w:rFonts w:asciiTheme="majorHAnsi" w:hAnsiTheme="majorHAnsi"/>
          <w:sz w:val="22"/>
        </w:rPr>
        <w:t xml:space="preserve"> ANOVA</w:t>
      </w:r>
    </w:p>
    <w:tbl>
      <w:tblPr>
        <w:tblStyle w:val="TableGrid"/>
        <w:tblW w:w="7310" w:type="dxa"/>
        <w:tblInd w:w="12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984"/>
        <w:gridCol w:w="1384"/>
        <w:gridCol w:w="3091"/>
      </w:tblGrid>
      <w:tr w:rsidR="00E7329A" w:rsidRPr="002A4373" w14:paraId="260455B7" w14:textId="77777777" w:rsidTr="007F60D4">
        <w:tc>
          <w:tcPr>
            <w:tcW w:w="851" w:type="dxa"/>
            <w:tcBorders>
              <w:top w:val="single" w:sz="4" w:space="0" w:color="auto"/>
              <w:bottom w:val="single" w:sz="4" w:space="0" w:color="auto"/>
            </w:tcBorders>
          </w:tcPr>
          <w:p w14:paraId="3E996DE7" w14:textId="77777777" w:rsidR="00E7329A" w:rsidRPr="002A4373" w:rsidRDefault="00E7329A" w:rsidP="007F60D4">
            <w:pPr>
              <w:tabs>
                <w:tab w:val="left" w:pos="720"/>
                <w:tab w:val="left" w:pos="3690"/>
              </w:tabs>
              <w:jc w:val="center"/>
              <w:rPr>
                <w:rFonts w:asciiTheme="majorHAnsi" w:hAnsiTheme="majorHAnsi"/>
                <w:b/>
                <w:sz w:val="22"/>
              </w:rPr>
            </w:pPr>
            <w:r w:rsidRPr="002A4373">
              <w:rPr>
                <w:rFonts w:asciiTheme="majorHAnsi" w:hAnsiTheme="majorHAnsi"/>
                <w:b/>
                <w:position w:val="-4"/>
                <w:sz w:val="22"/>
              </w:rPr>
              <w:object w:dxaOrig="260" w:dyaOrig="260" w14:anchorId="6FD67AFD">
                <v:shape id="_x0000_i1029" type="#_x0000_t75" style="width:12.75pt;height:12.75pt" o:ole="">
                  <v:imagedata r:id="rId25" o:title=""/>
                </v:shape>
                <o:OLEObject Type="Embed" ProgID="Equation.DSMT4" ShapeID="_x0000_i1029" DrawAspect="Content" ObjectID="_1644862354" r:id="rId26"/>
              </w:object>
            </w:r>
          </w:p>
        </w:tc>
        <w:tc>
          <w:tcPr>
            <w:tcW w:w="1984" w:type="dxa"/>
            <w:tcBorders>
              <w:top w:val="single" w:sz="4" w:space="0" w:color="auto"/>
              <w:bottom w:val="single" w:sz="4" w:space="0" w:color="auto"/>
            </w:tcBorders>
          </w:tcPr>
          <w:p w14:paraId="1F1A1EEC" w14:textId="77777777" w:rsidR="00E7329A" w:rsidRPr="002A4373" w:rsidRDefault="00E7329A" w:rsidP="007F60D4">
            <w:pPr>
              <w:tabs>
                <w:tab w:val="left" w:pos="720"/>
                <w:tab w:val="left" w:pos="3690"/>
              </w:tabs>
              <w:jc w:val="center"/>
              <w:rPr>
                <w:rFonts w:asciiTheme="majorHAnsi" w:hAnsiTheme="majorHAnsi"/>
                <w:b/>
                <w:sz w:val="22"/>
              </w:rPr>
            </w:pPr>
            <m:oMathPara>
              <m:oMath>
                <m:r>
                  <m:rPr>
                    <m:sty m:val="bi"/>
                  </m:rPr>
                  <w:rPr>
                    <w:rFonts w:ascii="Cambria Math" w:eastAsiaTheme="minorEastAsia" w:hAnsi="Cambria Math"/>
                    <w:sz w:val="22"/>
                  </w:rPr>
                  <m:t>Sig</m:t>
                </m:r>
                <m:r>
                  <m:rPr>
                    <m:sty m:val="bi"/>
                  </m:rPr>
                  <w:rPr>
                    <w:rFonts w:ascii="Cambria Math" w:eastAsiaTheme="minorEastAsia" w:hAnsiTheme="majorHAnsi"/>
                    <w:sz w:val="22"/>
                  </w:rPr>
                  <m:t>.</m:t>
                </m:r>
                <m:d>
                  <m:dPr>
                    <m:ctrlPr>
                      <w:rPr>
                        <w:rFonts w:ascii="Cambria Math" w:eastAsiaTheme="minorEastAsia" w:hAnsiTheme="majorHAnsi"/>
                        <w:b/>
                        <w:i/>
                        <w:sz w:val="22"/>
                      </w:rPr>
                    </m:ctrlPr>
                  </m:dPr>
                  <m:e>
                    <m:r>
                      <m:rPr>
                        <m:sty m:val="bi"/>
                      </m:rPr>
                      <w:rPr>
                        <w:rFonts w:ascii="Cambria Math" w:eastAsiaTheme="minorEastAsia" w:hAnsiTheme="majorHAnsi"/>
                        <w:sz w:val="22"/>
                      </w:rPr>
                      <m:t>2</m:t>
                    </m:r>
                    <m:r>
                      <m:rPr>
                        <m:sty m:val="bi"/>
                      </m:rPr>
                      <w:rPr>
                        <w:rFonts w:ascii="Cambria Math" w:eastAsiaTheme="minorEastAsia" w:hAnsiTheme="majorHAnsi"/>
                        <w:sz w:val="22"/>
                      </w:rPr>
                      <m:t>-</m:t>
                    </m:r>
                    <m:r>
                      <m:rPr>
                        <m:sty m:val="bi"/>
                      </m:rPr>
                      <w:rPr>
                        <w:rFonts w:ascii="Cambria Math" w:eastAsiaTheme="minorEastAsia" w:hAnsi="Cambria Math"/>
                        <w:sz w:val="22"/>
                      </w:rPr>
                      <m:t>tailed</m:t>
                    </m:r>
                  </m:e>
                </m:d>
              </m:oMath>
            </m:oMathPara>
          </w:p>
        </w:tc>
        <w:tc>
          <w:tcPr>
            <w:tcW w:w="1384" w:type="dxa"/>
            <w:tcBorders>
              <w:top w:val="single" w:sz="4" w:space="0" w:color="auto"/>
              <w:bottom w:val="single" w:sz="4" w:space="0" w:color="auto"/>
            </w:tcBorders>
            <w:vAlign w:val="center"/>
          </w:tcPr>
          <w:p w14:paraId="4820FBB5" w14:textId="77777777" w:rsidR="00E7329A" w:rsidRPr="004C2FD3" w:rsidRDefault="00E7329A" w:rsidP="007F60D4">
            <w:pPr>
              <w:tabs>
                <w:tab w:val="left" w:pos="720"/>
                <w:tab w:val="left" w:pos="3690"/>
              </w:tabs>
              <w:jc w:val="center"/>
              <w:rPr>
                <w:rFonts w:asciiTheme="majorHAnsi" w:hAnsiTheme="majorHAnsi"/>
                <w:b/>
                <w:sz w:val="22"/>
              </w:rPr>
            </w:pPr>
            <w:r>
              <w:rPr>
                <w:rFonts w:asciiTheme="majorHAnsi" w:hAnsiTheme="majorHAnsi"/>
                <w:b/>
                <w:sz w:val="22"/>
              </w:rPr>
              <w:t>Decision</w:t>
            </w:r>
          </w:p>
        </w:tc>
        <w:tc>
          <w:tcPr>
            <w:tcW w:w="3091" w:type="dxa"/>
            <w:tcBorders>
              <w:top w:val="single" w:sz="4" w:space="0" w:color="auto"/>
              <w:bottom w:val="single" w:sz="4" w:space="0" w:color="auto"/>
            </w:tcBorders>
            <w:vAlign w:val="center"/>
          </w:tcPr>
          <w:p w14:paraId="34651C88" w14:textId="77777777" w:rsidR="00E7329A" w:rsidRPr="004C2FD3" w:rsidRDefault="00E7329A" w:rsidP="007F60D4">
            <w:pPr>
              <w:tabs>
                <w:tab w:val="left" w:pos="720"/>
                <w:tab w:val="left" w:pos="3690"/>
              </w:tabs>
              <w:jc w:val="center"/>
              <w:rPr>
                <w:rFonts w:asciiTheme="majorHAnsi" w:hAnsiTheme="majorHAnsi"/>
                <w:b/>
                <w:sz w:val="22"/>
              </w:rPr>
            </w:pPr>
            <w:r>
              <w:rPr>
                <w:rFonts w:asciiTheme="majorHAnsi" w:hAnsiTheme="majorHAnsi"/>
                <w:b/>
                <w:sz w:val="22"/>
              </w:rPr>
              <w:t>Annotation</w:t>
            </w:r>
          </w:p>
        </w:tc>
      </w:tr>
      <w:tr w:rsidR="00CA5B49" w:rsidRPr="002A4373" w14:paraId="499AA639" w14:textId="77777777" w:rsidTr="007F60D4">
        <w:tc>
          <w:tcPr>
            <w:tcW w:w="851" w:type="dxa"/>
            <w:tcBorders>
              <w:top w:val="single" w:sz="4" w:space="0" w:color="auto"/>
            </w:tcBorders>
          </w:tcPr>
          <w:p w14:paraId="0F590BD3" w14:textId="77777777" w:rsidR="00CA5B49" w:rsidRPr="002A4373" w:rsidRDefault="00CA5B49" w:rsidP="007F60D4">
            <w:pPr>
              <w:tabs>
                <w:tab w:val="left" w:pos="720"/>
                <w:tab w:val="left" w:pos="3690"/>
              </w:tabs>
              <w:jc w:val="center"/>
              <w:rPr>
                <w:rFonts w:asciiTheme="majorHAnsi" w:hAnsiTheme="majorHAnsi"/>
                <w:sz w:val="22"/>
              </w:rPr>
            </w:pPr>
            <w:r w:rsidRPr="002A4373">
              <w:rPr>
                <w:rFonts w:asciiTheme="majorHAnsi" w:hAnsiTheme="majorHAnsi"/>
                <w:sz w:val="22"/>
              </w:rPr>
              <w:t>0,687</w:t>
            </w:r>
          </w:p>
        </w:tc>
        <w:tc>
          <w:tcPr>
            <w:tcW w:w="1984" w:type="dxa"/>
            <w:tcBorders>
              <w:top w:val="single" w:sz="4" w:space="0" w:color="auto"/>
            </w:tcBorders>
          </w:tcPr>
          <w:p w14:paraId="662755EC" w14:textId="77777777" w:rsidR="00CA5B49" w:rsidRPr="002A4373" w:rsidRDefault="00CA5B49" w:rsidP="007F60D4">
            <w:pPr>
              <w:tabs>
                <w:tab w:val="left" w:pos="720"/>
                <w:tab w:val="left" w:pos="3690"/>
              </w:tabs>
              <w:jc w:val="center"/>
              <w:rPr>
                <w:rFonts w:asciiTheme="majorHAnsi" w:eastAsia="Calibri" w:hAnsiTheme="majorHAnsi"/>
                <w:sz w:val="22"/>
              </w:rPr>
            </w:pPr>
            <w:r w:rsidRPr="002A4373">
              <w:rPr>
                <w:rFonts w:asciiTheme="majorHAnsi" w:eastAsia="Calibri" w:hAnsiTheme="majorHAnsi"/>
                <w:sz w:val="22"/>
              </w:rPr>
              <w:t>0.510</w:t>
            </w:r>
          </w:p>
        </w:tc>
        <w:tc>
          <w:tcPr>
            <w:tcW w:w="1384" w:type="dxa"/>
            <w:tcBorders>
              <w:top w:val="single" w:sz="4" w:space="0" w:color="auto"/>
            </w:tcBorders>
          </w:tcPr>
          <w:p w14:paraId="0E182863" w14:textId="77777777" w:rsidR="00CA5B49" w:rsidRPr="002A4373" w:rsidRDefault="00CA5B49" w:rsidP="00E7329A">
            <w:pPr>
              <w:tabs>
                <w:tab w:val="left" w:pos="720"/>
                <w:tab w:val="left" w:pos="3690"/>
              </w:tabs>
              <w:jc w:val="center"/>
              <w:rPr>
                <w:rFonts w:asciiTheme="majorHAnsi" w:hAnsiTheme="majorHAnsi"/>
                <w:sz w:val="22"/>
              </w:rPr>
            </w:pPr>
            <w:r w:rsidRPr="002A4373">
              <w:rPr>
                <w:rFonts w:asciiTheme="majorHAnsi" w:hAnsiTheme="majorHAnsi"/>
                <w:i/>
                <w:sz w:val="22"/>
              </w:rPr>
              <w:t>H</w:t>
            </w:r>
            <w:r w:rsidRPr="002A4373">
              <w:rPr>
                <w:rFonts w:asciiTheme="majorHAnsi" w:hAnsiTheme="majorHAnsi"/>
                <w:i/>
                <w:sz w:val="22"/>
                <w:vertAlign w:val="subscript"/>
              </w:rPr>
              <w:t>0</w:t>
            </w:r>
            <w:r w:rsidR="002E74AB">
              <w:rPr>
                <w:rFonts w:asciiTheme="majorHAnsi" w:hAnsiTheme="majorHAnsi"/>
                <w:i/>
                <w:sz w:val="22"/>
                <w:vertAlign w:val="subscript"/>
              </w:rPr>
              <w:t xml:space="preserve"> </w:t>
            </w:r>
            <w:r w:rsidR="00E7329A">
              <w:rPr>
                <w:rFonts w:asciiTheme="majorHAnsi" w:hAnsiTheme="majorHAnsi"/>
                <w:sz w:val="22"/>
              </w:rPr>
              <w:t>Accepted</w:t>
            </w:r>
          </w:p>
        </w:tc>
        <w:tc>
          <w:tcPr>
            <w:tcW w:w="3091" w:type="dxa"/>
            <w:tcBorders>
              <w:top w:val="single" w:sz="4" w:space="0" w:color="auto"/>
            </w:tcBorders>
          </w:tcPr>
          <w:p w14:paraId="4FD215C9" w14:textId="77777777" w:rsidR="00CA5B49" w:rsidRPr="002A4373" w:rsidRDefault="00E7329A" w:rsidP="007F60D4">
            <w:pPr>
              <w:tabs>
                <w:tab w:val="left" w:pos="720"/>
                <w:tab w:val="left" w:pos="3690"/>
              </w:tabs>
              <w:jc w:val="center"/>
              <w:rPr>
                <w:rFonts w:asciiTheme="majorHAnsi" w:hAnsiTheme="majorHAnsi"/>
                <w:sz w:val="22"/>
              </w:rPr>
            </w:pPr>
            <w:r>
              <w:rPr>
                <w:rFonts w:asciiTheme="majorHAnsi" w:hAnsiTheme="majorHAnsi"/>
                <w:sz w:val="22"/>
              </w:rPr>
              <w:t>There is no difference</w:t>
            </w:r>
          </w:p>
        </w:tc>
      </w:tr>
    </w:tbl>
    <w:p w14:paraId="4CE7A941" w14:textId="77777777" w:rsidR="002A4373" w:rsidRDefault="002A4373" w:rsidP="002A4373">
      <w:pPr>
        <w:pStyle w:val="IEEEParagraph"/>
        <w:spacing w:line="276" w:lineRule="auto"/>
        <w:ind w:left="283"/>
        <w:rPr>
          <w:rFonts w:asciiTheme="minorHAnsi" w:hAnsiTheme="minorHAnsi" w:cstheme="minorHAnsi"/>
        </w:rPr>
      </w:pPr>
    </w:p>
    <w:p w14:paraId="6E550691" w14:textId="77777777" w:rsidR="00CA5B49" w:rsidRPr="00FE61AD" w:rsidRDefault="00CA5B49" w:rsidP="002A4373">
      <w:pPr>
        <w:pStyle w:val="IEEEParagraph"/>
        <w:spacing w:line="276" w:lineRule="auto"/>
        <w:ind w:left="283"/>
        <w:rPr>
          <w:rFonts w:asciiTheme="majorHAnsi" w:hAnsiTheme="majorHAnsi"/>
          <w:color w:val="000000" w:themeColor="text1"/>
        </w:rPr>
      </w:pPr>
      <w:r w:rsidRPr="001B5783">
        <w:rPr>
          <w:rFonts w:asciiTheme="majorHAnsi" w:hAnsiTheme="majorHAnsi" w:cstheme="minorHAnsi"/>
        </w:rPr>
        <w:t xml:space="preserve">Table </w:t>
      </w:r>
      <w:r w:rsidR="002A4373" w:rsidRPr="001B5783">
        <w:rPr>
          <w:rFonts w:asciiTheme="majorHAnsi" w:hAnsiTheme="majorHAnsi" w:cstheme="minorHAnsi"/>
        </w:rPr>
        <w:t xml:space="preserve">5 </w:t>
      </w:r>
      <w:r w:rsidRPr="001B5783">
        <w:rPr>
          <w:rFonts w:asciiTheme="majorHAnsi" w:hAnsiTheme="majorHAnsi" w:cstheme="minorHAnsi"/>
        </w:rPr>
        <w:t>shows</w:t>
      </w:r>
      <w:r w:rsidR="00FD50AD">
        <w:rPr>
          <w:rFonts w:asciiTheme="majorHAnsi" w:hAnsiTheme="majorHAnsi" w:cstheme="minorHAnsi"/>
        </w:rPr>
        <w:t xml:space="preserve"> that</w:t>
      </w:r>
      <w:r w:rsidRPr="001B5783">
        <w:rPr>
          <w:rFonts w:asciiTheme="majorHAnsi" w:hAnsiTheme="majorHAnsi" w:cstheme="minorHAnsi"/>
        </w:rPr>
        <w:t xml:space="preserve"> there is no significant difference in increasing the mathematical literacy </w:t>
      </w:r>
      <w:r w:rsidR="002F61F3" w:rsidRPr="001B5783">
        <w:rPr>
          <w:rFonts w:asciiTheme="majorHAnsi" w:hAnsiTheme="majorHAnsi" w:cstheme="minorHAnsi"/>
        </w:rPr>
        <w:t>proficiency</w:t>
      </w:r>
      <w:r w:rsidRPr="001B5783">
        <w:rPr>
          <w:rFonts w:asciiTheme="majorHAnsi" w:hAnsiTheme="majorHAnsi" w:cstheme="minorHAnsi"/>
        </w:rPr>
        <w:t xml:space="preserve"> of students who obtain ICM learning when viewed from the BMP category (high, medium, and low).</w:t>
      </w:r>
      <w:r w:rsidR="00A20553">
        <w:rPr>
          <w:rFonts w:asciiTheme="majorHAnsi" w:hAnsiTheme="majorHAnsi" w:cstheme="minorHAnsi"/>
          <w:color w:val="FF0000"/>
        </w:rPr>
        <w:t xml:space="preserve"> </w:t>
      </w:r>
      <w:r w:rsidR="00FE61AD" w:rsidRPr="00FE61AD">
        <w:rPr>
          <w:rFonts w:asciiTheme="majorHAnsi" w:hAnsiTheme="majorHAnsi" w:cstheme="minorHAnsi"/>
          <w:color w:val="000000" w:themeColor="text1"/>
        </w:rPr>
        <w:t>Table 4 and Table 5 present the results of mathematical literacy proficiency tests in inferential statistics. For descriptive statistics, see Figure 4.</w:t>
      </w:r>
    </w:p>
    <w:p w14:paraId="4EE9CE5A" w14:textId="77777777" w:rsidR="00CA5B49" w:rsidRPr="00FE61AD" w:rsidRDefault="00CA5B49" w:rsidP="002A4373">
      <w:pPr>
        <w:jc w:val="both"/>
        <w:rPr>
          <w:rFonts w:asciiTheme="minorHAnsi" w:hAnsiTheme="minorHAnsi" w:cstheme="minorHAnsi"/>
          <w:color w:val="000000" w:themeColor="text1"/>
        </w:rPr>
      </w:pPr>
    </w:p>
    <w:p w14:paraId="7A9E3F43" w14:textId="77777777" w:rsidR="00CA5B49" w:rsidRPr="008D256C" w:rsidRDefault="00CA5B49" w:rsidP="00CF6E84">
      <w:pPr>
        <w:pStyle w:val="ListParagraph"/>
        <w:spacing w:line="360" w:lineRule="auto"/>
        <w:ind w:left="993" w:hanging="851"/>
        <w:jc w:val="center"/>
      </w:pPr>
      <w:r w:rsidRPr="008D256C">
        <w:rPr>
          <w:noProof/>
          <w:lang w:val="en-US" w:eastAsia="en-US"/>
        </w:rPr>
        <w:drawing>
          <wp:inline distT="0" distB="0" distL="0" distR="0" wp14:anchorId="12392B55" wp14:editId="357512F1">
            <wp:extent cx="5382290" cy="2696859"/>
            <wp:effectExtent l="0" t="0" r="0" b="0"/>
            <wp:docPr id="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EDF51D" w14:textId="64140380" w:rsidR="00CA5B49" w:rsidRPr="00F0600D" w:rsidRDefault="00CA5B49" w:rsidP="00F0600D">
      <w:pPr>
        <w:spacing w:line="360" w:lineRule="auto"/>
        <w:jc w:val="center"/>
        <w:rPr>
          <w:rFonts w:asciiTheme="majorHAnsi" w:hAnsiTheme="majorHAnsi"/>
          <w:sz w:val="22"/>
        </w:rPr>
      </w:pPr>
      <w:bookmarkStart w:id="3" w:name="_Hlk484377235"/>
      <w:r w:rsidRPr="00F0600D">
        <w:rPr>
          <w:rFonts w:asciiTheme="majorHAnsi" w:hAnsiTheme="majorHAnsi"/>
          <w:b/>
          <w:sz w:val="22"/>
        </w:rPr>
        <w:t>Figure 4.</w:t>
      </w:r>
      <w:r w:rsidR="008A061B">
        <w:rPr>
          <w:rFonts w:asciiTheme="majorHAnsi" w:hAnsiTheme="majorHAnsi"/>
          <w:b/>
          <w:sz w:val="22"/>
        </w:rPr>
        <w:t xml:space="preserve"> </w:t>
      </w:r>
      <w:proofErr w:type="gramStart"/>
      <w:r w:rsidR="009761A6">
        <w:rPr>
          <w:rFonts w:asciiTheme="majorHAnsi" w:hAnsiTheme="majorHAnsi"/>
          <w:sz w:val="22"/>
        </w:rPr>
        <w:t>Percentage</w:t>
      </w:r>
      <w:proofErr w:type="gramEnd"/>
      <w:r w:rsidR="009761A6">
        <w:rPr>
          <w:rFonts w:asciiTheme="majorHAnsi" w:hAnsiTheme="majorHAnsi"/>
          <w:sz w:val="22"/>
        </w:rPr>
        <w:t xml:space="preserve"> of Mathematical Literacy Proficiency Achievement</w:t>
      </w:r>
    </w:p>
    <w:bookmarkEnd w:id="3"/>
    <w:p w14:paraId="7AE1121A" w14:textId="77777777" w:rsidR="00C94817" w:rsidRDefault="00C94817" w:rsidP="00C94817">
      <w:pPr>
        <w:pStyle w:val="IEEEParagraph"/>
        <w:spacing w:line="276" w:lineRule="auto"/>
        <w:ind w:left="283"/>
        <w:rPr>
          <w:rFonts w:asciiTheme="majorHAnsi" w:hAnsiTheme="majorHAnsi"/>
        </w:rPr>
      </w:pPr>
      <w:r>
        <w:rPr>
          <w:rFonts w:asciiTheme="majorHAnsi" w:hAnsiTheme="majorHAnsi"/>
        </w:rPr>
        <w:t>Figure 4</w:t>
      </w:r>
      <w:r w:rsidR="00CA5B49" w:rsidRPr="00C94817">
        <w:rPr>
          <w:rFonts w:asciiTheme="majorHAnsi" w:hAnsiTheme="majorHAnsi"/>
        </w:rPr>
        <w:t xml:space="preserve"> shows </w:t>
      </w:r>
      <w:r w:rsidR="00FD50AD">
        <w:rPr>
          <w:rFonts w:asciiTheme="majorHAnsi" w:hAnsiTheme="majorHAnsi"/>
        </w:rPr>
        <w:t xml:space="preserve">that </w:t>
      </w:r>
      <w:r w:rsidR="00CA5B49" w:rsidRPr="00C94817">
        <w:rPr>
          <w:rFonts w:asciiTheme="majorHAnsi" w:hAnsiTheme="majorHAnsi"/>
        </w:rPr>
        <w:t xml:space="preserve">the percentage of students achieving mathematical literacy </w:t>
      </w:r>
      <w:r w:rsidR="002F61F3" w:rsidRPr="00C94817">
        <w:rPr>
          <w:rFonts w:asciiTheme="majorHAnsi" w:hAnsiTheme="majorHAnsi"/>
        </w:rPr>
        <w:t>proficiency</w:t>
      </w:r>
      <w:r w:rsidR="00CA5B49" w:rsidRPr="00C94817">
        <w:rPr>
          <w:rFonts w:asciiTheme="majorHAnsi" w:hAnsiTheme="majorHAnsi"/>
        </w:rPr>
        <w:t xml:space="preserve"> for each item </w:t>
      </w:r>
      <w:r w:rsidR="00FD50AD">
        <w:rPr>
          <w:rFonts w:asciiTheme="majorHAnsi" w:hAnsiTheme="majorHAnsi"/>
        </w:rPr>
        <w:t>who</w:t>
      </w:r>
      <w:r w:rsidR="00CA5B49" w:rsidRPr="00C94817">
        <w:rPr>
          <w:rFonts w:asciiTheme="majorHAnsi" w:hAnsiTheme="majorHAnsi"/>
        </w:rPr>
        <w:t xml:space="preserve"> gets ICM learning </w:t>
      </w:r>
      <w:r w:rsidR="0011587E">
        <w:rPr>
          <w:rFonts w:asciiTheme="majorHAnsi" w:hAnsiTheme="majorHAnsi"/>
        </w:rPr>
        <w:t>wa</w:t>
      </w:r>
      <w:r w:rsidR="00CA5B49" w:rsidRPr="00C94817">
        <w:rPr>
          <w:rFonts w:asciiTheme="majorHAnsi" w:hAnsiTheme="majorHAnsi"/>
        </w:rPr>
        <w:t xml:space="preserve">s higher than students who get </w:t>
      </w:r>
      <w:r w:rsidR="00CA5B49" w:rsidRPr="00C94817">
        <w:rPr>
          <w:rFonts w:asciiTheme="majorHAnsi" w:hAnsiTheme="majorHAnsi"/>
        </w:rPr>
        <w:lastRenderedPageBreak/>
        <w:t>conventional learning. The highest percentage of students answer</w:t>
      </w:r>
      <w:r w:rsidR="0011587E">
        <w:rPr>
          <w:rFonts w:asciiTheme="majorHAnsi" w:hAnsiTheme="majorHAnsi"/>
        </w:rPr>
        <w:t>ing</w:t>
      </w:r>
      <w:r w:rsidR="00CA5B49" w:rsidRPr="00C94817">
        <w:rPr>
          <w:rFonts w:asciiTheme="majorHAnsi" w:hAnsiTheme="majorHAnsi"/>
        </w:rPr>
        <w:t xml:space="preserve"> the questions correctly at level 1 questions </w:t>
      </w:r>
      <w:r w:rsidR="0011587E">
        <w:rPr>
          <w:rFonts w:asciiTheme="majorHAnsi" w:hAnsiTheme="majorHAnsi"/>
        </w:rPr>
        <w:t>was</w:t>
      </w:r>
      <w:r w:rsidR="00CA5B49" w:rsidRPr="00C94817">
        <w:rPr>
          <w:rFonts w:asciiTheme="majorHAnsi" w:hAnsiTheme="majorHAnsi"/>
        </w:rPr>
        <w:t xml:space="preserve"> 93.33% for the experimental class and 83.80% for the control class. Meanwhile, the smallest percentage of students answering questions correctly at level 6 questions was 19.71% for the experimental class and 15.14% for the control class.</w:t>
      </w:r>
    </w:p>
    <w:p w14:paraId="06141BF3" w14:textId="38B53CCE" w:rsidR="00400DC7" w:rsidRPr="00C94817" w:rsidRDefault="00CA5B49" w:rsidP="00E82706">
      <w:pPr>
        <w:pStyle w:val="IEEEParagraph"/>
        <w:spacing w:line="276" w:lineRule="auto"/>
        <w:ind w:left="283"/>
        <w:rPr>
          <w:rFonts w:asciiTheme="majorHAnsi" w:hAnsiTheme="majorHAnsi"/>
        </w:rPr>
      </w:pPr>
      <w:r w:rsidRPr="00C94817">
        <w:rPr>
          <w:rFonts w:asciiTheme="majorHAnsi" w:hAnsiTheme="majorHAnsi"/>
        </w:rPr>
        <w:t xml:space="preserve">The results of the achievement </w:t>
      </w:r>
      <w:r w:rsidR="0011587E">
        <w:rPr>
          <w:rFonts w:asciiTheme="majorHAnsi" w:hAnsiTheme="majorHAnsi"/>
        </w:rPr>
        <w:t xml:space="preserve">at </w:t>
      </w:r>
      <w:r w:rsidRPr="00C94817">
        <w:rPr>
          <w:rFonts w:asciiTheme="majorHAnsi" w:hAnsiTheme="majorHAnsi"/>
        </w:rPr>
        <w:t>level 6 questions</w:t>
      </w:r>
      <w:r w:rsidR="0011587E">
        <w:rPr>
          <w:rFonts w:asciiTheme="majorHAnsi" w:hAnsiTheme="majorHAnsi"/>
        </w:rPr>
        <w:t xml:space="preserve"> was</w:t>
      </w:r>
      <w:r w:rsidRPr="00C94817">
        <w:rPr>
          <w:rFonts w:asciiTheme="majorHAnsi" w:hAnsiTheme="majorHAnsi"/>
        </w:rPr>
        <w:t xml:space="preserve"> in line with the PISA study which states </w:t>
      </w:r>
      <w:r w:rsidR="0011587E">
        <w:rPr>
          <w:rFonts w:asciiTheme="majorHAnsi" w:hAnsiTheme="majorHAnsi"/>
        </w:rPr>
        <w:t xml:space="preserve">that </w:t>
      </w:r>
      <w:r w:rsidRPr="00C94817">
        <w:rPr>
          <w:rFonts w:asciiTheme="majorHAnsi" w:hAnsiTheme="majorHAnsi"/>
        </w:rPr>
        <w:t xml:space="preserve">the </w:t>
      </w:r>
      <w:r w:rsidR="002F61F3" w:rsidRPr="00C94817">
        <w:rPr>
          <w:rFonts w:asciiTheme="majorHAnsi" w:hAnsiTheme="majorHAnsi"/>
        </w:rPr>
        <w:t>proficiency</w:t>
      </w:r>
      <w:r w:rsidRPr="00C94817">
        <w:rPr>
          <w:rFonts w:asciiTheme="majorHAnsi" w:hAnsiTheme="majorHAnsi"/>
        </w:rPr>
        <w:t xml:space="preserve"> of Indonesian students in answering questions</w:t>
      </w:r>
      <w:r w:rsidR="0011587E">
        <w:rPr>
          <w:rFonts w:asciiTheme="majorHAnsi" w:hAnsiTheme="majorHAnsi"/>
        </w:rPr>
        <w:t xml:space="preserve"> at</w:t>
      </w:r>
      <w:r w:rsidRPr="00C94817">
        <w:rPr>
          <w:rFonts w:asciiTheme="majorHAnsi" w:hAnsiTheme="majorHAnsi"/>
        </w:rPr>
        <w:t xml:space="preserve"> level 6 is still low </w:t>
      </w:r>
      <w:r w:rsidR="00DC41E2">
        <w:rPr>
          <w:rFonts w:asciiTheme="majorHAnsi" w:hAnsiTheme="majorHAnsi"/>
        </w:rPr>
        <w:fldChar w:fldCharType="begin" w:fldLock="1"/>
      </w:r>
      <w:r w:rsidR="00BD5E85">
        <w:rPr>
          <w:rFonts w:asciiTheme="majorHAnsi" w:hAnsiTheme="majorHAnsi"/>
        </w:rPr>
        <w:instrText>ADDIN CSL_CITATION {"citationItems":[{"id":"ITEM-1","itemData":{"author":[{"dropping-particle":"","family":"OECD","given":"","non-dropping-particle":"","parse-names":false,"suffix":""}],"id":"ITEM-1","issued":{"date-parts":[["2016"]]},"publisher":"OECD Publishing","publisher-place":"Paris","title":"PISA 2015 Result In Focus (Paris OECD)","type":"book"},"uris":["http://www.mendeley.com/documents/?uuid=01bb4ff8-4efa-4a4b-be3e-46cf7e5c0c45"]}],"mendeley":{"formattedCitation":"(OECD, 2016c)","plainTextFormattedCitation":"(OECD, 2016c)","previouslyFormattedCitation":"(OECD, 2016c)"},"properties":{"noteIndex":0},"schema":"https://github.com/citation-style-language/schema/raw/master/csl-citation.json"}</w:instrText>
      </w:r>
      <w:r w:rsidR="00DC41E2">
        <w:rPr>
          <w:rFonts w:asciiTheme="majorHAnsi" w:hAnsiTheme="majorHAnsi"/>
        </w:rPr>
        <w:fldChar w:fldCharType="separate"/>
      </w:r>
      <w:r w:rsidR="00A1532F" w:rsidRPr="00A1532F">
        <w:rPr>
          <w:rFonts w:asciiTheme="majorHAnsi" w:hAnsiTheme="majorHAnsi"/>
          <w:noProof/>
        </w:rPr>
        <w:t>(OECD, 2016c)</w:t>
      </w:r>
      <w:r w:rsidR="00DC41E2">
        <w:rPr>
          <w:rFonts w:asciiTheme="majorHAnsi" w:hAnsiTheme="majorHAnsi"/>
        </w:rPr>
        <w:fldChar w:fldCharType="end"/>
      </w:r>
      <w:r w:rsidRPr="00C94817">
        <w:rPr>
          <w:rFonts w:asciiTheme="majorHAnsi" w:hAnsiTheme="majorHAnsi"/>
        </w:rPr>
        <w:t>. The entire</w:t>
      </w:r>
      <w:r w:rsidR="00207DE0">
        <w:rPr>
          <w:rFonts w:asciiTheme="majorHAnsi" w:hAnsiTheme="majorHAnsi"/>
        </w:rPr>
        <w:t xml:space="preserve"> content of the</w:t>
      </w:r>
      <w:r w:rsidRPr="00C94817">
        <w:rPr>
          <w:rFonts w:asciiTheme="majorHAnsi" w:hAnsiTheme="majorHAnsi"/>
        </w:rPr>
        <w:t xml:space="preserve"> process on mathematical literacy skills is contained in level 6 </w:t>
      </w:r>
      <w:r w:rsidR="0011587E">
        <w:rPr>
          <w:rFonts w:asciiTheme="majorHAnsi" w:hAnsiTheme="majorHAnsi"/>
        </w:rPr>
        <w:t>question</w:t>
      </w:r>
      <w:r w:rsidRPr="00C94817">
        <w:rPr>
          <w:rFonts w:asciiTheme="majorHAnsi" w:hAnsiTheme="majorHAnsi"/>
        </w:rPr>
        <w:t xml:space="preserve">s </w:t>
      </w:r>
      <w:r w:rsidR="0011587E">
        <w:rPr>
          <w:rFonts w:asciiTheme="majorHAnsi" w:hAnsiTheme="majorHAnsi"/>
        </w:rPr>
        <w:t xml:space="preserve">so that it </w:t>
      </w:r>
      <w:r w:rsidR="00207DE0">
        <w:rPr>
          <w:rFonts w:asciiTheme="majorHAnsi" w:hAnsiTheme="majorHAnsi"/>
        </w:rPr>
        <w:t>made</w:t>
      </w:r>
      <w:r w:rsidRPr="00C94817">
        <w:rPr>
          <w:rFonts w:asciiTheme="majorHAnsi" w:hAnsiTheme="majorHAnsi"/>
        </w:rPr>
        <w:t xml:space="preserve"> a complex</w:t>
      </w:r>
      <w:r w:rsidR="0011587E">
        <w:rPr>
          <w:rFonts w:asciiTheme="majorHAnsi" w:hAnsiTheme="majorHAnsi"/>
        </w:rPr>
        <w:t xml:space="preserve">ity </w:t>
      </w:r>
      <w:r w:rsidR="00207DE0">
        <w:rPr>
          <w:rFonts w:asciiTheme="majorHAnsi" w:hAnsiTheme="majorHAnsi"/>
        </w:rPr>
        <w:t>at</w:t>
      </w:r>
      <w:r w:rsidRPr="00C94817">
        <w:rPr>
          <w:rFonts w:asciiTheme="majorHAnsi" w:hAnsiTheme="majorHAnsi"/>
        </w:rPr>
        <w:t xml:space="preserve"> level 6. The content of the process is to formulate problems mathematically; apply concepts, facts, procedures, and mathematical reasoning; and interpret, use, and evaluate mathematical results.</w:t>
      </w:r>
    </w:p>
    <w:p w14:paraId="4C80E230" w14:textId="77777777" w:rsidR="001B5783" w:rsidRPr="001B5783" w:rsidRDefault="00BB0AC0" w:rsidP="001B5783">
      <w:pPr>
        <w:pStyle w:val="IEEEFigure"/>
        <w:numPr>
          <w:ilvl w:val="0"/>
          <w:numId w:val="14"/>
        </w:numPr>
        <w:spacing w:line="23" w:lineRule="atLeast"/>
        <w:jc w:val="left"/>
        <w:rPr>
          <w:rFonts w:asciiTheme="majorHAnsi" w:hAnsiTheme="majorHAnsi"/>
          <w:b/>
          <w:shd w:val="clear" w:color="auto" w:fill="FFFFFF"/>
          <w:lang w:val="en-US"/>
        </w:rPr>
      </w:pPr>
      <w:r>
        <w:rPr>
          <w:rStyle w:val="longtext"/>
          <w:rFonts w:asciiTheme="majorHAnsi" w:hAnsiTheme="majorHAnsi"/>
          <w:b/>
          <w:shd w:val="clear" w:color="auto" w:fill="FFFFFF"/>
          <w:lang w:val="en-US"/>
        </w:rPr>
        <w:t>Discussion</w:t>
      </w:r>
    </w:p>
    <w:p w14:paraId="07722C06" w14:textId="77777777" w:rsidR="002F5EDF" w:rsidRDefault="001B5783" w:rsidP="002F5EDF">
      <w:pPr>
        <w:pStyle w:val="IEEEParagraph"/>
        <w:spacing w:line="276" w:lineRule="auto"/>
        <w:ind w:left="283"/>
        <w:rPr>
          <w:rFonts w:asciiTheme="majorHAnsi" w:hAnsiTheme="majorHAnsi"/>
        </w:rPr>
      </w:pPr>
      <w:r w:rsidRPr="001B5783">
        <w:rPr>
          <w:rFonts w:asciiTheme="majorHAnsi" w:hAnsiTheme="majorHAnsi"/>
        </w:rPr>
        <w:t xml:space="preserve">The n-gain test results show that increasing the mathematical literacy </w:t>
      </w:r>
      <w:r>
        <w:rPr>
          <w:rFonts w:asciiTheme="majorHAnsi" w:hAnsiTheme="majorHAnsi"/>
        </w:rPr>
        <w:t>proficiency</w:t>
      </w:r>
      <w:r w:rsidRPr="001B5783">
        <w:rPr>
          <w:rFonts w:asciiTheme="majorHAnsi" w:hAnsiTheme="majorHAnsi"/>
        </w:rPr>
        <w:t xml:space="preserve"> of high and medium BMP students who obtain ICM learning in the moderate category is significantly better than high and medium BMP students who obtain normal learning in the medium category. On the other hand, the increase </w:t>
      </w:r>
      <w:r w:rsidR="00207DE0">
        <w:rPr>
          <w:rFonts w:asciiTheme="majorHAnsi" w:hAnsiTheme="majorHAnsi"/>
        </w:rPr>
        <w:t>o</w:t>
      </w:r>
      <w:r w:rsidRPr="001B5783">
        <w:rPr>
          <w:rFonts w:asciiTheme="majorHAnsi" w:hAnsiTheme="majorHAnsi"/>
        </w:rPr>
        <w:t>n mathematical literacy skills of low BMP students who received medium category ICM learning was not significantly better than those of low category BMP students who obtained normal learning</w:t>
      </w:r>
      <w:r w:rsidR="002F5EDF">
        <w:rPr>
          <w:rFonts w:asciiTheme="majorHAnsi" w:hAnsiTheme="majorHAnsi"/>
        </w:rPr>
        <w:t>.</w:t>
      </w:r>
      <w:r w:rsidR="001207E3">
        <w:rPr>
          <w:rFonts w:asciiTheme="majorHAnsi" w:hAnsiTheme="majorHAnsi"/>
        </w:rPr>
        <w:t xml:space="preserve"> </w:t>
      </w:r>
      <w:r w:rsidRPr="001B5783">
        <w:rPr>
          <w:rFonts w:asciiTheme="majorHAnsi" w:hAnsiTheme="majorHAnsi"/>
        </w:rPr>
        <w:t xml:space="preserve">The factor that caused this finding to occur was the existence of advocating stages in ICM learning. The advocating stage raises the scaffolding process between high BMP students, medium BMP students, and low BMP students. </w:t>
      </w:r>
    </w:p>
    <w:p w14:paraId="420F9AD3" w14:textId="77777777" w:rsidR="001B5783" w:rsidRPr="002F5EDF" w:rsidRDefault="001B5783" w:rsidP="002F5EDF">
      <w:pPr>
        <w:pStyle w:val="IEEEParagraph"/>
        <w:spacing w:line="276" w:lineRule="auto"/>
        <w:ind w:left="283"/>
        <w:rPr>
          <w:rFonts w:asciiTheme="majorHAnsi" w:hAnsiTheme="majorHAnsi"/>
          <w:color w:val="FF0000"/>
        </w:rPr>
      </w:pPr>
      <w:r w:rsidRPr="001B5783">
        <w:rPr>
          <w:rFonts w:asciiTheme="majorHAnsi" w:hAnsiTheme="majorHAnsi"/>
        </w:rPr>
        <w:t xml:space="preserve">As expressed by Vygotsky that with the scaffolding process between students, it will cause students to reach the upper limit of ZPD (Zone of Proximal Development) </w:t>
      </w:r>
      <w:r w:rsidR="00DC41E2">
        <w:rPr>
          <w:rFonts w:asciiTheme="majorHAnsi" w:hAnsiTheme="majorHAnsi"/>
        </w:rPr>
        <w:fldChar w:fldCharType="begin" w:fldLock="1"/>
      </w:r>
      <w:r w:rsidR="00B138C3">
        <w:rPr>
          <w:rFonts w:asciiTheme="majorHAnsi" w:hAnsiTheme="majorHAnsi"/>
        </w:rPr>
        <w:instrText>ADDIN CSL_CITATION {"citationItems":[{"id":"ITEM-1","itemData":{"author":[{"dropping-particle":"","family":"Fani","given":"T","non-dropping-particle":"","parse-names":false,"suffix":""},{"dropping-particle":"","family":"Ghaemi","given":"F","non-dropping-particle":"","parse-names":false,"suffix":""}],"container-title":"Journal Procedia-Social and Behavioral Sciences","id":"ITEM-1","issued":{"date-parts":[["2011"]]},"page":"1549-1554","title":"Implications of Vygotsky's Zone of Proximal Development (ZPD) in Teacher Education: ZPTD and Self-Scaffolding.","type":"article-journal","volume":"29"},"uris":["http://www.mendeley.com/documents/?uuid=169a3394-7ff2-4f29-b527-bab5dc608254"]},{"id":"ITEM-2","itemData":{"author":[{"dropping-particle":"","family":"Muhonen","given":"H","non-dropping-particle":"","parse-names":false,"suffix":""},{"dropping-particle":"","family":"Rasku-Puttonen","given":"H","non-dropping-particle":"","parse-names":false,"suffix":""},{"dropping-particle":"","family":"Pakarinen","given":"E","non-dropping-particle":"","parse-names":false,"suffix":""},{"dropping-particle":"","family":"Poikkeus","given":"A. M","non-dropping-particle":"","parse-names":false,"suffix":""},{"dropping-particle":"","family":"Lerkkanen","given":"M. K","non-dropping-particle":"","parse-names":false,"suffix":""}],"container-title":"Journal teaching and teacher education","id":"ITEM-2","issue":"55","issued":{"date-parts":[["2016"]]},"page":"143-154","title":"Scaffolding through Dialogic Teaching in Early School Classrooms","type":"article-journal"},"uris":["http://www.mendeley.com/documents/?uuid=69f6db16-386e-4545-b41d-653641087b94"]},{"id":"ITEM-3","itemData":{"author":[{"dropping-particle":"","family":"Zhang","given":"H","non-dropping-particle":"","parse-names":false,"suffix":""},{"dropping-particle":"","family":"Whitebread","given":"D","non-dropping-particle":"","parse-names":false,"suffix":""}],"container-title":"Journal Learning and Instruction","id":"ITEM-3","issue":"49","issued":{"date-parts":[["2017"]]},"page":"121-130","title":"Linking Parental Scaffolding with Self-Regulated Learning in Chinese Kindergarten Children","type":"article-journal"},"uris":["http://www.mendeley.com/documents/?uuid=18a77ce3-7a74-4305-85fa-0c8d534c8705"]}],"mendeley":{"formattedCitation":"(Fani &amp; Ghaemi, 2011; Muhonen et al., 2016; Zhang &amp; Whitebread, 2017)","plainTextFormattedCitation":"(Fani &amp; Ghaemi, 2011; Muhonen et al., 2016; Zhang &amp; Whitebread, 2017)","previouslyFormattedCitation":"(Fani &amp; Ghaemi, 2011; Muhonen et al., 2016; Zhang &amp; Whitebread, 2017)"},"properties":{"noteIndex":0},"schema":"https://github.com/citation-style-language/schema/raw/master/csl-citation.json"}</w:instrText>
      </w:r>
      <w:r w:rsidR="00DC41E2">
        <w:rPr>
          <w:rFonts w:asciiTheme="majorHAnsi" w:hAnsiTheme="majorHAnsi"/>
        </w:rPr>
        <w:fldChar w:fldCharType="separate"/>
      </w:r>
      <w:r w:rsidR="00B138C3" w:rsidRPr="00B138C3">
        <w:rPr>
          <w:rFonts w:asciiTheme="majorHAnsi" w:hAnsiTheme="majorHAnsi"/>
          <w:noProof/>
        </w:rPr>
        <w:t>(Fani &amp; Ghaemi, 2011; Muhonen et al., 2016; Zhang &amp; Whitebread, 2017)</w:t>
      </w:r>
      <w:r w:rsidR="00DC41E2">
        <w:rPr>
          <w:rFonts w:asciiTheme="majorHAnsi" w:hAnsiTheme="majorHAnsi"/>
        </w:rPr>
        <w:fldChar w:fldCharType="end"/>
      </w:r>
      <w:r w:rsidRPr="001B5783">
        <w:rPr>
          <w:rFonts w:asciiTheme="majorHAnsi" w:hAnsiTheme="majorHAnsi"/>
        </w:rPr>
        <w:t xml:space="preserve">. The scaffolding process </w:t>
      </w:r>
      <w:r w:rsidR="00207DE0">
        <w:rPr>
          <w:rFonts w:asciiTheme="majorHAnsi" w:hAnsiTheme="majorHAnsi"/>
        </w:rPr>
        <w:t>help</w:t>
      </w:r>
      <w:r w:rsidRPr="001B5783">
        <w:rPr>
          <w:rFonts w:asciiTheme="majorHAnsi" w:hAnsiTheme="majorHAnsi"/>
        </w:rPr>
        <w:t>s students of the medium and low BMP categories because all students can exchange ideas during the process of solving problems</w:t>
      </w:r>
      <w:r w:rsidR="00207DE0">
        <w:rPr>
          <w:rFonts w:asciiTheme="majorHAnsi" w:hAnsiTheme="majorHAnsi"/>
        </w:rPr>
        <w:t>,</w:t>
      </w:r>
      <w:r w:rsidRPr="001B5783">
        <w:rPr>
          <w:rFonts w:asciiTheme="majorHAnsi" w:hAnsiTheme="majorHAnsi"/>
        </w:rPr>
        <w:t xml:space="preserve"> and gain learning experiences from students of the high BMP category. However, low BMP category students did not maximize the scaffolding process</w:t>
      </w:r>
      <w:r w:rsidR="001207E3">
        <w:rPr>
          <w:rFonts w:asciiTheme="majorHAnsi" w:hAnsiTheme="majorHAnsi"/>
        </w:rPr>
        <w:t xml:space="preserve"> </w:t>
      </w:r>
      <w:r w:rsidR="00207DE0" w:rsidRPr="001B5783">
        <w:rPr>
          <w:rFonts w:asciiTheme="majorHAnsi" w:hAnsiTheme="majorHAnsi"/>
        </w:rPr>
        <w:t>in this study</w:t>
      </w:r>
      <w:r w:rsidRPr="001B5783">
        <w:rPr>
          <w:rFonts w:asciiTheme="majorHAnsi" w:hAnsiTheme="majorHAnsi"/>
        </w:rPr>
        <w:t>. This is consistent</w:t>
      </w:r>
      <w:r w:rsidR="001207E3">
        <w:rPr>
          <w:rFonts w:asciiTheme="majorHAnsi" w:hAnsiTheme="majorHAnsi"/>
        </w:rPr>
        <w:t xml:space="preserve"> </w:t>
      </w:r>
      <w:r w:rsidRPr="001B5783">
        <w:rPr>
          <w:rFonts w:asciiTheme="majorHAnsi" w:hAnsiTheme="majorHAnsi"/>
        </w:rPr>
        <w:t>with Galton's statement</w:t>
      </w:r>
      <w:r w:rsidR="001207E3">
        <w:rPr>
          <w:rFonts w:asciiTheme="majorHAnsi" w:hAnsiTheme="majorHAnsi"/>
        </w:rPr>
        <w:t xml:space="preserve"> </w:t>
      </w:r>
      <w:r w:rsidR="00DC41E2">
        <w:rPr>
          <w:rFonts w:asciiTheme="majorHAnsi" w:hAnsiTheme="majorHAnsi"/>
        </w:rPr>
        <w:fldChar w:fldCharType="begin" w:fldLock="1"/>
      </w:r>
      <w:r w:rsidR="00B138C3">
        <w:rPr>
          <w:rFonts w:asciiTheme="majorHAnsi" w:hAnsiTheme="majorHAnsi"/>
        </w:rPr>
        <w:instrText>ADDIN CSL_CITATION {"citationItems":[{"id":"ITEM-1","itemData":{"author":[{"dropping-particle":"","family":"Ruseffendi","given":"H.E.T","non-dropping-particle":"","parse-names":false,"suffix":""}],"id":"ITEM-1","issued":{"date-parts":[["1991"]]},"publisher":"Tarsito","publisher-place":"Bandung","title":"Pengantar Kepada Membantu Guru Mengembangkan Kompetensinya dalam Pengajaran Matematika untuk Meningkatkan CBSA","type":"book"},"uris":["http://www.mendeley.com/documents/?uuid=811115ca-0585-467d-812a-c589f3aa9189"]}],"mendeley":{"formattedCitation":"(Ruseffendi, 1991)","plainTextFormattedCitation":"(Ruseffendi, 1991)","previouslyFormattedCitation":"(Ruseffendi, 1991)"},"properties":{"noteIndex":0},"schema":"https://github.com/citation-style-language/schema/raw/master/csl-citation.json"}</w:instrText>
      </w:r>
      <w:r w:rsidR="00DC41E2">
        <w:rPr>
          <w:rFonts w:asciiTheme="majorHAnsi" w:hAnsiTheme="majorHAnsi"/>
        </w:rPr>
        <w:fldChar w:fldCharType="separate"/>
      </w:r>
      <w:r w:rsidR="00B138C3" w:rsidRPr="00B138C3">
        <w:rPr>
          <w:rFonts w:asciiTheme="majorHAnsi" w:hAnsiTheme="majorHAnsi"/>
          <w:noProof/>
        </w:rPr>
        <w:t>(Ruseffendi, 1991)</w:t>
      </w:r>
      <w:r w:rsidR="00DC41E2">
        <w:rPr>
          <w:rFonts w:asciiTheme="majorHAnsi" w:hAnsiTheme="majorHAnsi"/>
        </w:rPr>
        <w:fldChar w:fldCharType="end"/>
      </w:r>
      <w:r w:rsidRPr="001B5783">
        <w:rPr>
          <w:rFonts w:asciiTheme="majorHAnsi" w:hAnsiTheme="majorHAnsi"/>
        </w:rPr>
        <w:t xml:space="preserve"> that there are students with high, medium, and low </w:t>
      </w:r>
      <w:r>
        <w:rPr>
          <w:rFonts w:asciiTheme="majorHAnsi" w:hAnsiTheme="majorHAnsi"/>
        </w:rPr>
        <w:t>proficiency</w:t>
      </w:r>
      <w:r w:rsidRPr="001B5783">
        <w:rPr>
          <w:rFonts w:asciiTheme="majorHAnsi" w:hAnsiTheme="majorHAnsi"/>
        </w:rPr>
        <w:t xml:space="preserve"> where they have different individual </w:t>
      </w:r>
      <w:r>
        <w:rPr>
          <w:rFonts w:asciiTheme="majorHAnsi" w:hAnsiTheme="majorHAnsi"/>
        </w:rPr>
        <w:t>proficiency</w:t>
      </w:r>
      <w:r w:rsidR="001207E3">
        <w:rPr>
          <w:rFonts w:asciiTheme="majorHAnsi" w:hAnsiTheme="majorHAnsi"/>
        </w:rPr>
        <w:t xml:space="preserve"> </w:t>
      </w:r>
      <w:r w:rsidR="00207DE0" w:rsidRPr="001B5783">
        <w:rPr>
          <w:rFonts w:asciiTheme="majorHAnsi" w:hAnsiTheme="majorHAnsi"/>
        </w:rPr>
        <w:t>in a group of students</w:t>
      </w:r>
      <w:r w:rsidRPr="001B5783">
        <w:rPr>
          <w:rFonts w:asciiTheme="majorHAnsi" w:hAnsiTheme="majorHAnsi"/>
        </w:rPr>
        <w:t>.</w:t>
      </w:r>
      <w:r w:rsidR="00207DE0">
        <w:rPr>
          <w:rFonts w:asciiTheme="majorHAnsi" w:hAnsiTheme="majorHAnsi"/>
        </w:rPr>
        <w:t xml:space="preserve"> Some p</w:t>
      </w:r>
      <w:r w:rsidRPr="001B5783">
        <w:rPr>
          <w:rFonts w:asciiTheme="majorHAnsi" w:hAnsiTheme="majorHAnsi"/>
        </w:rPr>
        <w:t xml:space="preserve">roblems </w:t>
      </w:r>
      <w:r w:rsidR="00207DE0">
        <w:rPr>
          <w:rFonts w:asciiTheme="majorHAnsi" w:hAnsiTheme="majorHAnsi"/>
        </w:rPr>
        <w:t xml:space="preserve">usually </w:t>
      </w:r>
      <w:r w:rsidRPr="001B5783">
        <w:rPr>
          <w:rFonts w:asciiTheme="majorHAnsi" w:hAnsiTheme="majorHAnsi"/>
        </w:rPr>
        <w:t>arise</w:t>
      </w:r>
      <w:r w:rsidR="00207DE0">
        <w:rPr>
          <w:rFonts w:asciiTheme="majorHAnsi" w:hAnsiTheme="majorHAnsi"/>
        </w:rPr>
        <w:t xml:space="preserve"> in</w:t>
      </w:r>
      <w:r w:rsidRPr="001B5783">
        <w:rPr>
          <w:rFonts w:asciiTheme="majorHAnsi" w:hAnsiTheme="majorHAnsi"/>
        </w:rPr>
        <w:t xml:space="preserve"> students with low </w:t>
      </w:r>
      <w:r>
        <w:rPr>
          <w:rFonts w:asciiTheme="majorHAnsi" w:hAnsiTheme="majorHAnsi"/>
        </w:rPr>
        <w:t>proficiency</w:t>
      </w:r>
      <w:r w:rsidR="001207E3">
        <w:rPr>
          <w:rFonts w:asciiTheme="majorHAnsi" w:hAnsiTheme="majorHAnsi"/>
        </w:rPr>
        <w:t xml:space="preserve"> </w:t>
      </w:r>
      <w:r w:rsidR="00207DE0" w:rsidRPr="001B5783">
        <w:rPr>
          <w:rFonts w:asciiTheme="majorHAnsi" w:hAnsiTheme="majorHAnsi"/>
        </w:rPr>
        <w:t>in learning mathematics</w:t>
      </w:r>
      <w:r w:rsidRPr="001B5783">
        <w:rPr>
          <w:rFonts w:asciiTheme="majorHAnsi" w:hAnsiTheme="majorHAnsi"/>
        </w:rPr>
        <w:t>.</w:t>
      </w:r>
      <w:r w:rsidR="001207E3">
        <w:rPr>
          <w:rFonts w:asciiTheme="majorHAnsi" w:hAnsiTheme="majorHAnsi"/>
        </w:rPr>
        <w:t xml:space="preserve"> </w:t>
      </w:r>
      <w:r w:rsidRPr="001B5783">
        <w:rPr>
          <w:rFonts w:asciiTheme="majorHAnsi" w:hAnsiTheme="majorHAnsi"/>
        </w:rPr>
        <w:t xml:space="preserve">They are more likely to be slow than moderate or high </w:t>
      </w:r>
      <w:r>
        <w:rPr>
          <w:rFonts w:asciiTheme="majorHAnsi" w:hAnsiTheme="majorHAnsi"/>
        </w:rPr>
        <w:t>proficiency</w:t>
      </w:r>
      <w:r w:rsidRPr="001B5783">
        <w:rPr>
          <w:rFonts w:asciiTheme="majorHAnsi" w:hAnsiTheme="majorHAnsi"/>
        </w:rPr>
        <w:t xml:space="preserve"> students. A</w:t>
      </w:r>
      <w:r w:rsidR="001207E3">
        <w:rPr>
          <w:rFonts w:asciiTheme="majorHAnsi" w:hAnsiTheme="majorHAnsi"/>
        </w:rPr>
        <w:t xml:space="preserve">lthough, </w:t>
      </w:r>
      <w:r w:rsidRPr="001B5783">
        <w:rPr>
          <w:rFonts w:asciiTheme="majorHAnsi" w:hAnsiTheme="majorHAnsi"/>
        </w:rPr>
        <w:t>they are given the opportunity to share and ask questions</w:t>
      </w:r>
      <w:r w:rsidR="001207E3">
        <w:rPr>
          <w:rFonts w:asciiTheme="majorHAnsi" w:hAnsiTheme="majorHAnsi"/>
        </w:rPr>
        <w:t xml:space="preserve"> </w:t>
      </w:r>
      <w:r w:rsidR="00255378" w:rsidRPr="001B5783">
        <w:rPr>
          <w:rFonts w:asciiTheme="majorHAnsi" w:hAnsiTheme="majorHAnsi"/>
        </w:rPr>
        <w:t>in discussion activities</w:t>
      </w:r>
      <w:r w:rsidRPr="001B5783">
        <w:rPr>
          <w:rFonts w:asciiTheme="majorHAnsi" w:hAnsiTheme="majorHAnsi"/>
        </w:rPr>
        <w:t>,</w:t>
      </w:r>
      <w:r w:rsidR="001207E3">
        <w:rPr>
          <w:rFonts w:asciiTheme="majorHAnsi" w:hAnsiTheme="majorHAnsi"/>
        </w:rPr>
        <w:t xml:space="preserve"> </w:t>
      </w:r>
      <w:r w:rsidRPr="001B5783">
        <w:rPr>
          <w:rFonts w:asciiTheme="majorHAnsi" w:hAnsiTheme="majorHAnsi"/>
        </w:rPr>
        <w:t>but the</w:t>
      </w:r>
      <w:r w:rsidR="00255378">
        <w:rPr>
          <w:rFonts w:asciiTheme="majorHAnsi" w:hAnsiTheme="majorHAnsi"/>
        </w:rPr>
        <w:t>ir</w:t>
      </w:r>
      <w:r w:rsidRPr="001B5783">
        <w:rPr>
          <w:rFonts w:asciiTheme="majorHAnsi" w:hAnsiTheme="majorHAnsi"/>
        </w:rPr>
        <w:t xml:space="preserve"> opportunity is not</w:t>
      </w:r>
      <w:r w:rsidR="00255378">
        <w:rPr>
          <w:rFonts w:asciiTheme="majorHAnsi" w:hAnsiTheme="majorHAnsi"/>
        </w:rPr>
        <w:t xml:space="preserve"> often</w:t>
      </w:r>
      <w:r w:rsidRPr="001B5783">
        <w:rPr>
          <w:rFonts w:asciiTheme="majorHAnsi" w:hAnsiTheme="majorHAnsi"/>
        </w:rPr>
        <w:t xml:space="preserve"> utilized as well as possible.</w:t>
      </w:r>
    </w:p>
    <w:p w14:paraId="6BB376C7" w14:textId="77777777" w:rsidR="00466038" w:rsidRDefault="001B5783" w:rsidP="00466038">
      <w:pPr>
        <w:pStyle w:val="IEEEParagraph"/>
        <w:spacing w:line="276" w:lineRule="auto"/>
        <w:ind w:left="283"/>
        <w:rPr>
          <w:rFonts w:asciiTheme="majorHAnsi" w:hAnsiTheme="majorHAnsi"/>
        </w:rPr>
      </w:pPr>
      <w:r w:rsidRPr="001B5783">
        <w:rPr>
          <w:rFonts w:asciiTheme="majorHAnsi" w:hAnsiTheme="majorHAnsi"/>
        </w:rPr>
        <w:t xml:space="preserve">A more in-depth </w:t>
      </w:r>
      <w:r w:rsidR="00255378">
        <w:rPr>
          <w:rFonts w:asciiTheme="majorHAnsi" w:hAnsiTheme="majorHAnsi"/>
        </w:rPr>
        <w:t>review</w:t>
      </w:r>
      <w:r w:rsidR="001207E3">
        <w:rPr>
          <w:rFonts w:asciiTheme="majorHAnsi" w:hAnsiTheme="majorHAnsi"/>
        </w:rPr>
        <w:t xml:space="preserve"> </w:t>
      </w:r>
      <w:r w:rsidR="00255378">
        <w:rPr>
          <w:rFonts w:asciiTheme="majorHAnsi" w:hAnsiTheme="majorHAnsi"/>
        </w:rPr>
        <w:t>of</w:t>
      </w:r>
      <w:r w:rsidRPr="001B5783">
        <w:rPr>
          <w:rFonts w:asciiTheme="majorHAnsi" w:hAnsiTheme="majorHAnsi"/>
        </w:rPr>
        <w:t xml:space="preserve"> the differences in the improvement of mathematical literacy </w:t>
      </w:r>
      <w:r>
        <w:rPr>
          <w:rFonts w:asciiTheme="majorHAnsi" w:hAnsiTheme="majorHAnsi"/>
        </w:rPr>
        <w:t>proficiency</w:t>
      </w:r>
      <w:r w:rsidRPr="001B5783">
        <w:rPr>
          <w:rFonts w:asciiTheme="majorHAnsi" w:hAnsiTheme="majorHAnsi"/>
        </w:rPr>
        <w:t xml:space="preserve"> of BMP students (high, medium, and low) who obtained ICM learning revealed that there was no significant difference in the increase </w:t>
      </w:r>
      <w:r w:rsidR="00255378">
        <w:rPr>
          <w:rFonts w:asciiTheme="majorHAnsi" w:hAnsiTheme="majorHAnsi"/>
        </w:rPr>
        <w:t>on</w:t>
      </w:r>
      <w:r w:rsidRPr="001B5783">
        <w:rPr>
          <w:rFonts w:asciiTheme="majorHAnsi" w:hAnsiTheme="majorHAnsi"/>
        </w:rPr>
        <w:t xml:space="preserve"> mathematical literacy skills of students who obtained ICM learning when viewed from BMP (high, medium, and low). The results of this statistical test indicate that the increased literacy </w:t>
      </w:r>
      <w:r>
        <w:rPr>
          <w:rFonts w:asciiTheme="majorHAnsi" w:hAnsiTheme="majorHAnsi"/>
        </w:rPr>
        <w:t>proficiency</w:t>
      </w:r>
      <w:r w:rsidRPr="001B5783">
        <w:rPr>
          <w:rFonts w:asciiTheme="majorHAnsi" w:hAnsiTheme="majorHAnsi"/>
        </w:rPr>
        <w:t xml:space="preserve"> of high, medium and low </w:t>
      </w:r>
      <w:r>
        <w:rPr>
          <w:rFonts w:asciiTheme="majorHAnsi" w:hAnsiTheme="majorHAnsi"/>
        </w:rPr>
        <w:t>proficiency</w:t>
      </w:r>
      <w:r w:rsidRPr="001B5783">
        <w:rPr>
          <w:rFonts w:asciiTheme="majorHAnsi" w:hAnsiTheme="majorHAnsi"/>
        </w:rPr>
        <w:t xml:space="preserve"> students is </w:t>
      </w:r>
      <w:r w:rsidR="00255378" w:rsidRPr="001B5783">
        <w:rPr>
          <w:rFonts w:asciiTheme="majorHAnsi" w:hAnsiTheme="majorHAnsi"/>
        </w:rPr>
        <w:t>statistically</w:t>
      </w:r>
      <w:r w:rsidR="00E00B83">
        <w:rPr>
          <w:rFonts w:asciiTheme="majorHAnsi" w:hAnsiTheme="majorHAnsi"/>
        </w:rPr>
        <w:t xml:space="preserve"> </w:t>
      </w:r>
      <w:r w:rsidR="00255378" w:rsidRPr="001B5783">
        <w:rPr>
          <w:rFonts w:asciiTheme="majorHAnsi" w:hAnsiTheme="majorHAnsi"/>
        </w:rPr>
        <w:t>sim</w:t>
      </w:r>
      <w:r w:rsidR="00255378">
        <w:rPr>
          <w:rFonts w:asciiTheme="majorHAnsi" w:hAnsiTheme="majorHAnsi"/>
        </w:rPr>
        <w:t>ilar</w:t>
      </w:r>
      <w:r w:rsidRPr="001B5783">
        <w:rPr>
          <w:rFonts w:asciiTheme="majorHAnsi" w:hAnsiTheme="majorHAnsi"/>
        </w:rPr>
        <w:t xml:space="preserve">. These results are </w:t>
      </w:r>
      <w:r w:rsidR="00255378">
        <w:rPr>
          <w:rFonts w:asciiTheme="majorHAnsi" w:hAnsiTheme="majorHAnsi"/>
        </w:rPr>
        <w:t>in line</w:t>
      </w:r>
      <w:r w:rsidRPr="001B5783">
        <w:rPr>
          <w:rFonts w:asciiTheme="majorHAnsi" w:hAnsiTheme="majorHAnsi"/>
        </w:rPr>
        <w:t xml:space="preserve"> with the findings of</w:t>
      </w:r>
      <w:r w:rsidR="00466038">
        <w:rPr>
          <w:rFonts w:asciiTheme="majorHAnsi" w:hAnsiTheme="majorHAnsi"/>
        </w:rPr>
        <w:t xml:space="preserve"> </w:t>
      </w:r>
      <w:proofErr w:type="spellStart"/>
      <w:r w:rsidR="00B138C3" w:rsidRPr="001B5783">
        <w:rPr>
          <w:rFonts w:asciiTheme="majorHAnsi" w:hAnsiTheme="majorHAnsi"/>
        </w:rPr>
        <w:t>Pujiastuti</w:t>
      </w:r>
      <w:proofErr w:type="spellEnd"/>
      <w:r w:rsidR="00B138C3" w:rsidRPr="001B5783">
        <w:rPr>
          <w:rFonts w:asciiTheme="majorHAnsi" w:hAnsiTheme="majorHAnsi"/>
        </w:rPr>
        <w:t>, et al</w:t>
      </w:r>
      <w:r w:rsidR="00A61420">
        <w:rPr>
          <w:rFonts w:asciiTheme="majorHAnsi" w:hAnsiTheme="majorHAnsi"/>
        </w:rPr>
        <w:t xml:space="preserve"> </w:t>
      </w:r>
      <w:r w:rsidR="00DC41E2">
        <w:rPr>
          <w:rFonts w:asciiTheme="majorHAnsi" w:hAnsiTheme="majorHAnsi"/>
        </w:rPr>
        <w:fldChar w:fldCharType="begin" w:fldLock="1"/>
      </w:r>
      <w:r w:rsidR="00B138C3">
        <w:rPr>
          <w:rFonts w:asciiTheme="majorHAnsi" w:hAnsiTheme="majorHAnsi"/>
        </w:rPr>
        <w:instrText>ADDIN CSL_CITATION {"citationItems":[{"id":"ITEM-1","itemData":{"author":[{"dropping-particle":"","family":"Pujiastuti","given":"H","non-dropping-particle":"","parse-names":false,"suffix":""},{"dropping-particle":"","family":"Kusumah","given":"Y. S","non-dropping-particle":"","parse-names":false,"suffix":""},{"dropping-particle":"","family":"Sumarmo","given":"U","non-dropping-particle":"","parse-names":false,"suffix":""},{"dropping-particle":"","family":"Dahlan","given":"J. A","non-dropping-particle":"","parse-names":false,"suffix":""}],"container-title":"Journal of Contemporary Educational Research","id":"ITEM-1","issue":"1","issued":{"date-parts":[["2014"]]},"page":"51-60","title":"Inquiry Co-operation Model for Enhancing Junior High School Students' Mathematical Problems Solving Ability","type":"article-journal","volume":"1"},"suppress-author":1,"uris":["http://www.mendeley.com/documents/?uuid=fe696b9c-51f5-4613-bf0b-31691625c1df"]}],"mendeley":{"formattedCitation":"(2014)","plainTextFormattedCitation":"(2014)","previouslyFormattedCitation":"(2014)"},"properties":{"noteIndex":0},"schema":"https://github.com/citation-style-language/schema/raw/master/csl-citation.json"}</w:instrText>
      </w:r>
      <w:r w:rsidR="00DC41E2">
        <w:rPr>
          <w:rFonts w:asciiTheme="majorHAnsi" w:hAnsiTheme="majorHAnsi"/>
        </w:rPr>
        <w:fldChar w:fldCharType="separate"/>
      </w:r>
      <w:r w:rsidR="00B138C3" w:rsidRPr="00B138C3">
        <w:rPr>
          <w:rFonts w:asciiTheme="majorHAnsi" w:hAnsiTheme="majorHAnsi"/>
          <w:noProof/>
        </w:rPr>
        <w:t>(2014)</w:t>
      </w:r>
      <w:r w:rsidR="00DC41E2">
        <w:rPr>
          <w:rFonts w:asciiTheme="majorHAnsi" w:hAnsiTheme="majorHAnsi"/>
        </w:rPr>
        <w:fldChar w:fldCharType="end"/>
      </w:r>
      <w:r w:rsidRPr="001B5783">
        <w:rPr>
          <w:rFonts w:asciiTheme="majorHAnsi" w:hAnsiTheme="majorHAnsi"/>
        </w:rPr>
        <w:t xml:space="preserve">. This finding </w:t>
      </w:r>
      <w:r w:rsidR="00255378">
        <w:rPr>
          <w:rFonts w:asciiTheme="majorHAnsi" w:hAnsiTheme="majorHAnsi"/>
        </w:rPr>
        <w:t>arises</w:t>
      </w:r>
      <w:r w:rsidRPr="001B5783">
        <w:rPr>
          <w:rFonts w:asciiTheme="majorHAnsi" w:hAnsiTheme="majorHAnsi"/>
        </w:rPr>
        <w:t xml:space="preserve"> as a result of ICM learning in the process of linking prior mathematical </w:t>
      </w:r>
      <w:r>
        <w:rPr>
          <w:rFonts w:asciiTheme="majorHAnsi" w:hAnsiTheme="majorHAnsi"/>
        </w:rPr>
        <w:t>proficiency</w:t>
      </w:r>
      <w:r w:rsidRPr="001B5783">
        <w:rPr>
          <w:rFonts w:asciiTheme="majorHAnsi" w:hAnsiTheme="majorHAnsi"/>
        </w:rPr>
        <w:t xml:space="preserve"> when learning new material, especially at the stages of locating, identifying, advocating, reformulating, and challenging. Thus, all </w:t>
      </w:r>
      <w:r w:rsidRPr="001B5783">
        <w:rPr>
          <w:rFonts w:asciiTheme="majorHAnsi" w:hAnsiTheme="majorHAnsi"/>
        </w:rPr>
        <w:lastRenderedPageBreak/>
        <w:t xml:space="preserve">students become accustomed to recalling previous mathematics material </w:t>
      </w:r>
      <w:r w:rsidR="00255378">
        <w:rPr>
          <w:rFonts w:asciiTheme="majorHAnsi" w:hAnsiTheme="majorHAnsi"/>
        </w:rPr>
        <w:t>which</w:t>
      </w:r>
      <w:r w:rsidRPr="001B5783">
        <w:rPr>
          <w:rFonts w:asciiTheme="majorHAnsi" w:hAnsiTheme="majorHAnsi"/>
        </w:rPr>
        <w:t xml:space="preserve"> is useful for learning new material.</w:t>
      </w:r>
    </w:p>
    <w:p w14:paraId="5EE0A03C" w14:textId="476C98B9" w:rsidR="009A328E" w:rsidRPr="0032717A" w:rsidRDefault="001B5783" w:rsidP="0032717A">
      <w:pPr>
        <w:pStyle w:val="IEEEParagraph"/>
        <w:spacing w:line="276" w:lineRule="auto"/>
        <w:ind w:left="283"/>
        <w:rPr>
          <w:rFonts w:asciiTheme="majorHAnsi" w:hAnsiTheme="majorHAnsi"/>
          <w:color w:val="000000" w:themeColor="text1"/>
        </w:rPr>
      </w:pPr>
      <w:r w:rsidRPr="001B5783">
        <w:rPr>
          <w:rFonts w:asciiTheme="majorHAnsi" w:hAnsiTheme="majorHAnsi"/>
        </w:rPr>
        <w:t xml:space="preserve">In addition to statistical analysis as explained. Next is an analysis of increasing students' mathematical literacy </w:t>
      </w:r>
      <w:r>
        <w:rPr>
          <w:rFonts w:asciiTheme="majorHAnsi" w:hAnsiTheme="majorHAnsi"/>
        </w:rPr>
        <w:t>proficiency</w:t>
      </w:r>
      <w:r w:rsidRPr="001B5783">
        <w:rPr>
          <w:rFonts w:asciiTheme="majorHAnsi" w:hAnsiTheme="majorHAnsi"/>
        </w:rPr>
        <w:t xml:space="preserve"> through the results of the pre</w:t>
      </w:r>
      <w:r w:rsidR="00B138C3">
        <w:rPr>
          <w:rFonts w:asciiTheme="majorHAnsi" w:hAnsiTheme="majorHAnsi"/>
        </w:rPr>
        <w:t>-</w:t>
      </w:r>
      <w:r w:rsidRPr="001B5783">
        <w:rPr>
          <w:rFonts w:asciiTheme="majorHAnsi" w:hAnsiTheme="majorHAnsi"/>
        </w:rPr>
        <w:t>test and post</w:t>
      </w:r>
      <w:r w:rsidR="00B138C3">
        <w:rPr>
          <w:rFonts w:asciiTheme="majorHAnsi" w:hAnsiTheme="majorHAnsi"/>
        </w:rPr>
        <w:t>-</w:t>
      </w:r>
      <w:r w:rsidRPr="001B5783">
        <w:rPr>
          <w:rFonts w:asciiTheme="majorHAnsi" w:hAnsiTheme="majorHAnsi"/>
        </w:rPr>
        <w:t>test</w:t>
      </w:r>
      <w:r w:rsidR="00F96D95">
        <w:rPr>
          <w:rFonts w:asciiTheme="majorHAnsi" w:hAnsiTheme="majorHAnsi"/>
        </w:rPr>
        <w:t xml:space="preserve">. </w:t>
      </w:r>
      <w:r w:rsidR="00DE17D6" w:rsidRPr="00DE17D6">
        <w:rPr>
          <w:rFonts w:asciiTheme="majorHAnsi" w:hAnsiTheme="majorHAnsi"/>
          <w:color w:val="000000" w:themeColor="text1"/>
        </w:rPr>
        <w:t xml:space="preserve">Mathematical literacy problems level 1 to level 3 </w:t>
      </w:r>
      <w:r w:rsidR="00B52834">
        <w:rPr>
          <w:rFonts w:asciiTheme="majorHAnsi" w:hAnsiTheme="majorHAnsi"/>
          <w:color w:val="000000" w:themeColor="text1"/>
        </w:rPr>
        <w:t>were constructed</w:t>
      </w:r>
      <w:r w:rsidR="00DE17D6" w:rsidRPr="00DE17D6">
        <w:rPr>
          <w:rFonts w:asciiTheme="majorHAnsi" w:hAnsiTheme="majorHAnsi"/>
          <w:color w:val="000000" w:themeColor="text1"/>
        </w:rPr>
        <w:t xml:space="preserve"> by</w:t>
      </w:r>
      <w:r w:rsidR="00F96D95" w:rsidRPr="00DE17D6">
        <w:rPr>
          <w:rFonts w:asciiTheme="majorHAnsi" w:hAnsiTheme="majorHAnsi"/>
          <w:color w:val="000000" w:themeColor="text1"/>
        </w:rPr>
        <w:t xml:space="preserve"> </w:t>
      </w:r>
      <w:r w:rsidR="00DC41E2" w:rsidRPr="00646737">
        <w:rPr>
          <w:rFonts w:asciiTheme="majorHAnsi" w:hAnsiTheme="majorHAnsi"/>
          <w:color w:val="000000" w:themeColor="text1"/>
        </w:rPr>
        <w:fldChar w:fldCharType="begin" w:fldLock="1"/>
      </w:r>
      <w:r w:rsidR="00BD5E85">
        <w:rPr>
          <w:rFonts w:asciiTheme="majorHAnsi" w:hAnsiTheme="majorHAnsi"/>
          <w:color w:val="000000" w:themeColor="text1"/>
        </w:rPr>
        <w:instrText>ADDIN CSL_CITATION {"citationItems":[{"id":"ITEM-1","itemData":{"DOI":"10.1088/1742-6596/895/1/012071","ISSN":"17426596","abstract":"The students of junior high school should have mathematical literacy ability to formulate, apply, and interpret mathematics in problem solving of daily life. Teaching these students are not enough by giving them ordinary mathematics problems. Teaching activities for these students brings consequence for teacher to construct mathematical literacy problems. Therefore, the aim of this study is to construct mathematical literacy problems to assess mathematical literacy ability. The steps of this study that consists of analysing, designing, theoretical validation, revising, limited testing to students, and evaluating. The data was collected with written test to 38 students of grade IX at one of state junior high school. Mathematical literacy problems consist of three essays with three indicators and three levels at polyhedron subject. The Indicators are formulating and employing mathematics. The results show that: (1) mathematical literacy problems which are constructed have been valid and practical, (2) mathematical literacy problems have good distinguishing characteristics and adequate distinguishing characteristics, (3) difficulty levels of problems are easy and moderate. The final conclusion is mathematical literacy problems which are constructed can be used to assess mathematical literacy ability.","author":[{"dropping-particle":"","family":"Malasari","given":"P. N.","non-dropping-particle":"","parse-names":false,"suffix":""},{"dropping-particle":"","family":"Herman","given":"T.","non-dropping-particle":"","parse-names":false,"suffix":""},{"dropping-particle":"","family":"Jupri","given":"A.","non-dropping-particle":"","parse-names":false,"suffix":""}],"container-title":"Journal of Physics: Conference Series","id":"ITEM-1","issue":"1","issued":{"date-parts":[["2017"]]},"title":"The Construction of Mathematical Literacy Problems for Geometry","type":"article-journal","volume":"895"},"uris":["http://www.mendeley.com/documents/?uuid=4e7dd996-14aa-4d2c-aadc-e56f41efb60b"]}],"mendeley":{"formattedCitation":"(Malasari et al., 2017)","plainTextFormattedCitation":"(Malasari et al., 2017)","previouslyFormattedCitation":"(Malasari et al., 2017)"},"properties":{"noteIndex":0},"schema":"https://github.com/citation-style-language/schema/raw/master/csl-citation.json"}</w:instrText>
      </w:r>
      <w:r w:rsidR="00DC41E2" w:rsidRPr="00646737">
        <w:rPr>
          <w:rFonts w:asciiTheme="majorHAnsi" w:hAnsiTheme="majorHAnsi"/>
          <w:color w:val="000000" w:themeColor="text1"/>
        </w:rPr>
        <w:fldChar w:fldCharType="separate"/>
      </w:r>
      <w:r w:rsidR="00A1532F" w:rsidRPr="00A1532F">
        <w:rPr>
          <w:rFonts w:asciiTheme="majorHAnsi" w:hAnsiTheme="majorHAnsi"/>
          <w:noProof/>
          <w:color w:val="000000" w:themeColor="text1"/>
        </w:rPr>
        <w:t>(Malasari et al., 2017)</w:t>
      </w:r>
      <w:r w:rsidR="00DC41E2" w:rsidRPr="00646737">
        <w:rPr>
          <w:rFonts w:asciiTheme="majorHAnsi" w:hAnsiTheme="majorHAnsi"/>
          <w:color w:val="000000" w:themeColor="text1"/>
        </w:rPr>
        <w:fldChar w:fldCharType="end"/>
      </w:r>
      <w:r w:rsidR="000D2D18" w:rsidRPr="00646737">
        <w:rPr>
          <w:rFonts w:asciiTheme="majorHAnsi" w:hAnsiTheme="majorHAnsi"/>
          <w:color w:val="000000" w:themeColor="text1"/>
        </w:rPr>
        <w:t>.</w:t>
      </w:r>
      <w:r w:rsidR="000D2D18">
        <w:rPr>
          <w:rFonts w:asciiTheme="majorHAnsi" w:hAnsiTheme="majorHAnsi"/>
          <w:color w:val="FF0000"/>
        </w:rPr>
        <w:t xml:space="preserve"> </w:t>
      </w:r>
      <w:r w:rsidR="00DE17D6">
        <w:rPr>
          <w:rFonts w:asciiTheme="majorHAnsi" w:hAnsiTheme="majorHAnsi"/>
          <w:color w:val="FF0000"/>
        </w:rPr>
        <w:t xml:space="preserve"> </w:t>
      </w:r>
      <w:r w:rsidR="00DE17D6" w:rsidRPr="00DE17D6">
        <w:rPr>
          <w:rFonts w:asciiTheme="majorHAnsi" w:hAnsiTheme="majorHAnsi"/>
          <w:color w:val="000000" w:themeColor="text1"/>
        </w:rPr>
        <w:t xml:space="preserve">While the mathematical literacy problems level 4 to level 6 were </w:t>
      </w:r>
      <w:r w:rsidR="00DE17D6">
        <w:rPr>
          <w:rFonts w:asciiTheme="majorHAnsi" w:hAnsiTheme="majorHAnsi"/>
          <w:color w:val="000000" w:themeColor="text1"/>
        </w:rPr>
        <w:t>constructed</w:t>
      </w:r>
      <w:r w:rsidR="00DE17D6" w:rsidRPr="00DE17D6">
        <w:rPr>
          <w:rFonts w:asciiTheme="majorHAnsi" w:hAnsiTheme="majorHAnsi"/>
          <w:color w:val="000000" w:themeColor="text1"/>
        </w:rPr>
        <w:t xml:space="preserve"> by researchers</w:t>
      </w:r>
      <w:r w:rsidR="00DE17D6">
        <w:rPr>
          <w:rFonts w:asciiTheme="majorHAnsi" w:hAnsiTheme="majorHAnsi"/>
          <w:color w:val="000000" w:themeColor="text1"/>
        </w:rPr>
        <w:t xml:space="preserve">. </w:t>
      </w:r>
      <w:r w:rsidR="009A328E" w:rsidRPr="009A328E">
        <w:rPr>
          <w:rFonts w:asciiTheme="majorHAnsi" w:hAnsiTheme="majorHAnsi"/>
          <w:color w:val="000000" w:themeColor="text1"/>
        </w:rPr>
        <w:t>The following is a mathematical literacy problem at level 3</w:t>
      </w:r>
      <w:r w:rsidR="009A328E">
        <w:rPr>
          <w:rFonts w:asciiTheme="majorHAnsi" w:hAnsiTheme="majorHAnsi"/>
          <w:color w:val="000000" w:themeColor="text1"/>
        </w:rPr>
        <w:t xml:space="preserve"> (see Figure 5).</w:t>
      </w:r>
    </w:p>
    <w:p w14:paraId="6A700605" w14:textId="77777777" w:rsidR="00A403B3" w:rsidRPr="001B5783" w:rsidRDefault="00A403B3" w:rsidP="001B5783">
      <w:pPr>
        <w:pStyle w:val="IEEEParagraph"/>
        <w:spacing w:line="276" w:lineRule="auto"/>
        <w:ind w:left="283"/>
        <w:rPr>
          <w:rFonts w:asciiTheme="majorHAnsi" w:hAnsiTheme="majorHAnsi"/>
        </w:rPr>
      </w:pPr>
      <w:r>
        <w:rPr>
          <w:rFonts w:asciiTheme="majorHAnsi" w:hAnsiTheme="majorHAnsi"/>
          <w:noProof/>
          <w:lang w:val="en-US" w:eastAsia="en-US"/>
        </w:rPr>
        <w:drawing>
          <wp:anchor distT="0" distB="0" distL="114300" distR="114300" simplePos="0" relativeHeight="251642368" behindDoc="0" locked="0" layoutInCell="1" allowOverlap="1" wp14:anchorId="532F6101" wp14:editId="67648702">
            <wp:simplePos x="0" y="0"/>
            <wp:positionH relativeFrom="column">
              <wp:posOffset>1063625</wp:posOffset>
            </wp:positionH>
            <wp:positionV relativeFrom="paragraph">
              <wp:posOffset>88265</wp:posOffset>
            </wp:positionV>
            <wp:extent cx="4230370" cy="2244090"/>
            <wp:effectExtent l="19050" t="19050" r="17780" b="2286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t="5034"/>
                    <a:stretch>
                      <a:fillRect/>
                    </a:stretch>
                  </pic:blipFill>
                  <pic:spPr bwMode="auto">
                    <a:xfrm>
                      <a:off x="0" y="0"/>
                      <a:ext cx="4230370" cy="2244090"/>
                    </a:xfrm>
                    <a:prstGeom prst="rect">
                      <a:avLst/>
                    </a:prstGeom>
                    <a:noFill/>
                    <a:ln w="9525">
                      <a:solidFill>
                        <a:schemeClr val="tx1"/>
                      </a:solidFill>
                      <a:miter lim="800000"/>
                      <a:headEnd/>
                      <a:tailEnd/>
                    </a:ln>
                  </pic:spPr>
                </pic:pic>
              </a:graphicData>
            </a:graphic>
          </wp:anchor>
        </w:drawing>
      </w:r>
    </w:p>
    <w:p w14:paraId="66A3E10E" w14:textId="77777777" w:rsidR="001B5783" w:rsidRDefault="001B5783" w:rsidP="001B5783">
      <w:pPr>
        <w:jc w:val="both"/>
        <w:rPr>
          <w:rFonts w:asciiTheme="majorHAnsi" w:hAnsiTheme="majorHAnsi"/>
        </w:rPr>
      </w:pPr>
    </w:p>
    <w:p w14:paraId="37FDBDDD" w14:textId="77777777" w:rsidR="00F83116" w:rsidRDefault="00F83116" w:rsidP="001B5783">
      <w:pPr>
        <w:jc w:val="both"/>
        <w:rPr>
          <w:rFonts w:asciiTheme="majorHAnsi" w:hAnsiTheme="majorHAnsi"/>
        </w:rPr>
      </w:pPr>
    </w:p>
    <w:p w14:paraId="1C6990B8" w14:textId="77777777" w:rsidR="00F83116" w:rsidRDefault="00F83116" w:rsidP="001B5783">
      <w:pPr>
        <w:jc w:val="both"/>
        <w:rPr>
          <w:rFonts w:asciiTheme="majorHAnsi" w:hAnsiTheme="majorHAnsi"/>
        </w:rPr>
      </w:pPr>
    </w:p>
    <w:p w14:paraId="18E1969F" w14:textId="77777777" w:rsidR="00F83116" w:rsidRDefault="00F83116" w:rsidP="001B5783">
      <w:pPr>
        <w:jc w:val="both"/>
        <w:rPr>
          <w:rFonts w:asciiTheme="majorHAnsi" w:hAnsiTheme="majorHAnsi"/>
        </w:rPr>
      </w:pPr>
    </w:p>
    <w:p w14:paraId="215C18F2" w14:textId="77777777" w:rsidR="00F83116" w:rsidRDefault="00F83116" w:rsidP="001B5783">
      <w:pPr>
        <w:jc w:val="both"/>
        <w:rPr>
          <w:rFonts w:asciiTheme="majorHAnsi" w:hAnsiTheme="majorHAnsi"/>
        </w:rPr>
      </w:pPr>
    </w:p>
    <w:p w14:paraId="6535C4D1" w14:textId="77777777" w:rsidR="00F83116" w:rsidRDefault="00F83116" w:rsidP="001B5783">
      <w:pPr>
        <w:jc w:val="both"/>
        <w:rPr>
          <w:rFonts w:asciiTheme="majorHAnsi" w:hAnsiTheme="majorHAnsi"/>
        </w:rPr>
      </w:pPr>
    </w:p>
    <w:p w14:paraId="5ACC7C03" w14:textId="77777777" w:rsidR="00F83116" w:rsidRDefault="00F83116" w:rsidP="001B5783">
      <w:pPr>
        <w:jc w:val="both"/>
        <w:rPr>
          <w:rFonts w:asciiTheme="majorHAnsi" w:hAnsiTheme="majorHAnsi"/>
        </w:rPr>
      </w:pPr>
    </w:p>
    <w:p w14:paraId="71BE631E" w14:textId="77777777" w:rsidR="00F83116" w:rsidRDefault="00F83116" w:rsidP="001B5783">
      <w:pPr>
        <w:jc w:val="both"/>
        <w:rPr>
          <w:rFonts w:asciiTheme="majorHAnsi" w:hAnsiTheme="majorHAnsi"/>
        </w:rPr>
      </w:pPr>
    </w:p>
    <w:p w14:paraId="2FED628C" w14:textId="77777777" w:rsidR="00F83116" w:rsidRDefault="00F83116" w:rsidP="001B5783">
      <w:pPr>
        <w:jc w:val="both"/>
        <w:rPr>
          <w:rFonts w:asciiTheme="majorHAnsi" w:hAnsiTheme="majorHAnsi"/>
        </w:rPr>
      </w:pPr>
    </w:p>
    <w:p w14:paraId="40EA5705" w14:textId="77777777" w:rsidR="00F83116" w:rsidRDefault="00F83116" w:rsidP="001B5783">
      <w:pPr>
        <w:jc w:val="both"/>
        <w:rPr>
          <w:rFonts w:asciiTheme="majorHAnsi" w:hAnsiTheme="majorHAnsi"/>
        </w:rPr>
      </w:pPr>
    </w:p>
    <w:p w14:paraId="79194390" w14:textId="77777777" w:rsidR="00F83116" w:rsidRDefault="00F83116" w:rsidP="001B5783">
      <w:pPr>
        <w:jc w:val="both"/>
        <w:rPr>
          <w:rFonts w:asciiTheme="majorHAnsi" w:hAnsiTheme="majorHAnsi"/>
        </w:rPr>
      </w:pPr>
    </w:p>
    <w:p w14:paraId="5941E8F7" w14:textId="77777777" w:rsidR="00F83116" w:rsidRDefault="00F83116" w:rsidP="001B5783">
      <w:pPr>
        <w:jc w:val="both"/>
        <w:rPr>
          <w:rFonts w:asciiTheme="majorHAnsi" w:hAnsiTheme="majorHAnsi"/>
        </w:rPr>
      </w:pPr>
    </w:p>
    <w:p w14:paraId="50933D19" w14:textId="77777777" w:rsidR="00192813" w:rsidRPr="00A403B3" w:rsidRDefault="00A403B3" w:rsidP="009A4D2F">
      <w:pPr>
        <w:pStyle w:val="IEEEParagraph"/>
        <w:spacing w:line="276" w:lineRule="auto"/>
        <w:ind w:left="283"/>
        <w:jc w:val="center"/>
        <w:rPr>
          <w:rFonts w:asciiTheme="majorHAnsi" w:hAnsiTheme="majorHAnsi"/>
          <w:sz w:val="22"/>
          <w:szCs w:val="22"/>
        </w:rPr>
      </w:pPr>
      <w:r w:rsidRPr="00A403B3">
        <w:rPr>
          <w:rFonts w:asciiTheme="majorHAnsi" w:hAnsiTheme="majorHAnsi"/>
          <w:b/>
          <w:sz w:val="22"/>
          <w:szCs w:val="22"/>
        </w:rPr>
        <w:t>Figure 5</w:t>
      </w:r>
      <w:r w:rsidRPr="00A403B3">
        <w:rPr>
          <w:rFonts w:asciiTheme="majorHAnsi" w:hAnsiTheme="majorHAnsi"/>
          <w:sz w:val="22"/>
          <w:szCs w:val="22"/>
          <w:lang w:val="id-ID"/>
        </w:rPr>
        <w:t>.</w:t>
      </w:r>
      <w:r w:rsidRPr="00A403B3">
        <w:rPr>
          <w:rFonts w:asciiTheme="majorHAnsi" w:hAnsiTheme="majorHAnsi"/>
          <w:sz w:val="22"/>
          <w:szCs w:val="22"/>
        </w:rPr>
        <w:t xml:space="preserve"> Mathematical literacy problem</w:t>
      </w:r>
      <w:r w:rsidR="00255378">
        <w:rPr>
          <w:rFonts w:asciiTheme="majorHAnsi" w:hAnsiTheme="majorHAnsi"/>
          <w:sz w:val="22"/>
          <w:szCs w:val="22"/>
        </w:rPr>
        <w:t xml:space="preserve"> at</w:t>
      </w:r>
      <w:r w:rsidRPr="00A403B3">
        <w:rPr>
          <w:rFonts w:asciiTheme="majorHAnsi" w:hAnsiTheme="majorHAnsi"/>
          <w:sz w:val="22"/>
          <w:szCs w:val="22"/>
        </w:rPr>
        <w:t xml:space="preserve"> level 3</w:t>
      </w:r>
    </w:p>
    <w:p w14:paraId="3B9BBB1A" w14:textId="77777777" w:rsidR="00914838" w:rsidRDefault="00192813" w:rsidP="00914838">
      <w:pPr>
        <w:pStyle w:val="IEEEParagraph"/>
        <w:spacing w:line="276" w:lineRule="auto"/>
        <w:ind w:left="283"/>
        <w:rPr>
          <w:rFonts w:asciiTheme="majorHAnsi" w:hAnsiTheme="majorHAnsi"/>
        </w:rPr>
      </w:pPr>
      <w:r>
        <w:rPr>
          <w:rFonts w:asciiTheme="majorHAnsi" w:hAnsiTheme="majorHAnsi"/>
        </w:rPr>
        <w:t>Presented the results of the pre-test and post-test</w:t>
      </w:r>
      <w:r w:rsidR="00255378">
        <w:rPr>
          <w:rFonts w:asciiTheme="majorHAnsi" w:hAnsiTheme="majorHAnsi"/>
        </w:rPr>
        <w:t xml:space="preserve"> at</w:t>
      </w:r>
      <w:r>
        <w:rPr>
          <w:rFonts w:asciiTheme="majorHAnsi" w:hAnsiTheme="majorHAnsi"/>
        </w:rPr>
        <w:t xml:space="preserve"> level 3 </w:t>
      </w:r>
      <w:r w:rsidR="00255378">
        <w:rPr>
          <w:rFonts w:asciiTheme="majorHAnsi" w:hAnsiTheme="majorHAnsi"/>
        </w:rPr>
        <w:t xml:space="preserve">of </w:t>
      </w:r>
      <w:r>
        <w:rPr>
          <w:rFonts w:asciiTheme="majorHAnsi" w:hAnsiTheme="majorHAnsi"/>
        </w:rPr>
        <w:t>mathematical literacy problem</w:t>
      </w:r>
      <w:r w:rsidR="006D2AA0">
        <w:rPr>
          <w:rFonts w:asciiTheme="majorHAnsi" w:hAnsiTheme="majorHAnsi"/>
        </w:rPr>
        <w:t xml:space="preserve"> </w:t>
      </w:r>
      <w:r w:rsidR="00914838">
        <w:rPr>
          <w:rFonts w:asciiTheme="majorHAnsi" w:hAnsiTheme="majorHAnsi"/>
        </w:rPr>
        <w:t>(</w:t>
      </w:r>
      <w:r w:rsidR="006D2AA0">
        <w:rPr>
          <w:rFonts w:asciiTheme="majorHAnsi" w:hAnsiTheme="majorHAnsi"/>
        </w:rPr>
        <w:t>see Figure 6 and Figure 7</w:t>
      </w:r>
      <w:r w:rsidR="00914838">
        <w:rPr>
          <w:rFonts w:asciiTheme="majorHAnsi" w:hAnsiTheme="majorHAnsi"/>
        </w:rPr>
        <w:t>)</w:t>
      </w:r>
      <w:r>
        <w:rPr>
          <w:rFonts w:asciiTheme="majorHAnsi" w:hAnsiTheme="majorHAnsi"/>
        </w:rPr>
        <w:t>.</w:t>
      </w:r>
    </w:p>
    <w:p w14:paraId="6065B82C" w14:textId="77777777" w:rsidR="00E53106" w:rsidRDefault="00E53106" w:rsidP="00E53106">
      <w:pPr>
        <w:spacing w:line="360" w:lineRule="auto"/>
        <w:ind w:left="2160"/>
        <w:jc w:val="both"/>
      </w:pPr>
      <w:r>
        <w:rPr>
          <w:b/>
          <w:noProof/>
          <w:lang w:val="en-US" w:eastAsia="en-US"/>
        </w:rPr>
        <w:drawing>
          <wp:anchor distT="0" distB="0" distL="114300" distR="114300" simplePos="0" relativeHeight="251651584" behindDoc="0" locked="0" layoutInCell="1" allowOverlap="1" wp14:anchorId="08EDEAED" wp14:editId="169C414E">
            <wp:simplePos x="0" y="0"/>
            <wp:positionH relativeFrom="column">
              <wp:posOffset>1393574</wp:posOffset>
            </wp:positionH>
            <wp:positionV relativeFrom="paragraph">
              <wp:posOffset>21354</wp:posOffset>
            </wp:positionV>
            <wp:extent cx="3392569" cy="803777"/>
            <wp:effectExtent l="19050" t="19050" r="17381" b="15373"/>
            <wp:wrapNone/>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etes 2.jpeg"/>
                    <pic:cNvPicPr/>
                  </pic:nvPicPr>
                  <pic:blipFill rotWithShape="1">
                    <a:blip r:embed="rId29" cstate="print">
                      <a:extLst>
                        <a:ext uri="{28A0092B-C50C-407E-A947-70E740481C1C}">
                          <a14:useLocalDpi xmlns:a14="http://schemas.microsoft.com/office/drawing/2010/main" val="0"/>
                        </a:ext>
                      </a:extLst>
                    </a:blip>
                    <a:srcRect l="16631" t="59643" r="15900" b="28813"/>
                    <a:stretch/>
                  </pic:blipFill>
                  <pic:spPr bwMode="auto">
                    <a:xfrm>
                      <a:off x="0" y="0"/>
                      <a:ext cx="3392569" cy="803777"/>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3957671F" w14:textId="77777777" w:rsidR="00E53106" w:rsidRDefault="00E53106" w:rsidP="00E53106">
      <w:pPr>
        <w:spacing w:line="360" w:lineRule="auto"/>
        <w:ind w:left="2160"/>
        <w:jc w:val="both"/>
        <w:rPr>
          <w:b/>
        </w:rPr>
      </w:pPr>
    </w:p>
    <w:p w14:paraId="691BE2C1" w14:textId="77777777" w:rsidR="00E53106" w:rsidRDefault="00E53106" w:rsidP="00E53106">
      <w:pPr>
        <w:jc w:val="both"/>
        <w:rPr>
          <w:b/>
        </w:rPr>
      </w:pPr>
    </w:p>
    <w:p w14:paraId="6DD705CA" w14:textId="77777777" w:rsidR="00E53106" w:rsidRDefault="00E53106" w:rsidP="00E53106">
      <w:pPr>
        <w:jc w:val="both"/>
        <w:rPr>
          <w:b/>
        </w:rPr>
      </w:pPr>
    </w:p>
    <w:p w14:paraId="61FF51B5" w14:textId="1A6F3E49" w:rsidR="0032717A" w:rsidRPr="00E53106" w:rsidRDefault="00E53106" w:rsidP="00E82706">
      <w:pPr>
        <w:jc w:val="center"/>
        <w:rPr>
          <w:rFonts w:asciiTheme="majorHAnsi" w:hAnsiTheme="majorHAnsi"/>
          <w:sz w:val="22"/>
        </w:rPr>
      </w:pPr>
      <w:bookmarkStart w:id="4" w:name="_Hlk484377308"/>
      <w:r w:rsidRPr="00E53106">
        <w:rPr>
          <w:rFonts w:asciiTheme="majorHAnsi" w:hAnsiTheme="majorHAnsi"/>
          <w:b/>
          <w:sz w:val="22"/>
        </w:rPr>
        <w:t xml:space="preserve">Figure 6. </w:t>
      </w:r>
      <w:bookmarkEnd w:id="4"/>
      <w:r w:rsidRPr="00E53106">
        <w:rPr>
          <w:rFonts w:asciiTheme="majorHAnsi" w:hAnsiTheme="majorHAnsi"/>
          <w:sz w:val="22"/>
        </w:rPr>
        <w:t>The Result of Pre-test</w:t>
      </w:r>
    </w:p>
    <w:p w14:paraId="1AEE7402" w14:textId="77777777" w:rsidR="00E53106" w:rsidRDefault="00E53106" w:rsidP="00E53106">
      <w:pPr>
        <w:spacing w:line="360" w:lineRule="auto"/>
        <w:jc w:val="both"/>
        <w:rPr>
          <w:b/>
        </w:rPr>
      </w:pPr>
      <w:r>
        <w:rPr>
          <w:b/>
          <w:noProof/>
          <w:lang w:val="en-US" w:eastAsia="en-US"/>
        </w:rPr>
        <w:drawing>
          <wp:anchor distT="0" distB="0" distL="114300" distR="114300" simplePos="0" relativeHeight="251660800" behindDoc="0" locked="0" layoutInCell="1" allowOverlap="1" wp14:anchorId="61909762" wp14:editId="0381FE31">
            <wp:simplePos x="0" y="0"/>
            <wp:positionH relativeFrom="margin">
              <wp:posOffset>1393574</wp:posOffset>
            </wp:positionH>
            <wp:positionV relativeFrom="paragraph">
              <wp:posOffset>107477</wp:posOffset>
            </wp:positionV>
            <wp:extent cx="3439854" cy="1132589"/>
            <wp:effectExtent l="19050" t="19050" r="27246" b="10411"/>
            <wp:wrapNone/>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stes 2.jpeg"/>
                    <pic:cNvPicPr/>
                  </pic:nvPicPr>
                  <pic:blipFill rotWithShape="1">
                    <a:blip r:embed="rId30" cstate="print">
                      <a:extLst>
                        <a:ext uri="{28A0092B-C50C-407E-A947-70E740481C1C}">
                          <a14:useLocalDpi xmlns:a14="http://schemas.microsoft.com/office/drawing/2010/main" val="0"/>
                        </a:ext>
                      </a:extLst>
                    </a:blip>
                    <a:srcRect l="13229" t="61155" r="18546" b="22491"/>
                    <a:stretch/>
                  </pic:blipFill>
                  <pic:spPr bwMode="auto">
                    <a:xfrm>
                      <a:off x="0" y="0"/>
                      <a:ext cx="3439854" cy="1132589"/>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48E52FBE" w14:textId="77777777" w:rsidR="00E53106" w:rsidRDefault="00E53106" w:rsidP="00E53106">
      <w:pPr>
        <w:spacing w:line="360" w:lineRule="auto"/>
        <w:ind w:left="2160"/>
        <w:jc w:val="both"/>
        <w:rPr>
          <w:b/>
        </w:rPr>
      </w:pPr>
    </w:p>
    <w:p w14:paraId="1B655CA6" w14:textId="77777777" w:rsidR="00E53106" w:rsidRDefault="00E53106" w:rsidP="00E53106">
      <w:pPr>
        <w:spacing w:line="360" w:lineRule="auto"/>
        <w:ind w:left="2160"/>
        <w:jc w:val="both"/>
        <w:rPr>
          <w:b/>
        </w:rPr>
      </w:pPr>
    </w:p>
    <w:p w14:paraId="1AA010DE" w14:textId="77777777" w:rsidR="00E53106" w:rsidRDefault="00E53106" w:rsidP="00E53106">
      <w:pPr>
        <w:spacing w:line="360" w:lineRule="auto"/>
        <w:ind w:left="2160"/>
        <w:jc w:val="both"/>
        <w:rPr>
          <w:b/>
        </w:rPr>
      </w:pPr>
    </w:p>
    <w:p w14:paraId="09B3CFD8" w14:textId="77777777" w:rsidR="00E53106" w:rsidRDefault="00E53106" w:rsidP="00E53106">
      <w:pPr>
        <w:spacing w:line="360" w:lineRule="auto"/>
        <w:ind w:left="2160"/>
        <w:jc w:val="both"/>
        <w:rPr>
          <w:b/>
        </w:rPr>
      </w:pPr>
    </w:p>
    <w:p w14:paraId="523957FA" w14:textId="77777777" w:rsidR="00E53106" w:rsidRPr="00E53106" w:rsidRDefault="00E53106" w:rsidP="00E53106">
      <w:pPr>
        <w:spacing w:line="360" w:lineRule="auto"/>
        <w:jc w:val="center"/>
        <w:rPr>
          <w:rFonts w:asciiTheme="majorHAnsi" w:hAnsiTheme="majorHAnsi"/>
          <w:sz w:val="22"/>
        </w:rPr>
      </w:pPr>
      <w:bookmarkStart w:id="5" w:name="_Hlk484377317"/>
      <w:r w:rsidRPr="00E53106">
        <w:rPr>
          <w:rFonts w:asciiTheme="majorHAnsi" w:hAnsiTheme="majorHAnsi"/>
          <w:b/>
          <w:sz w:val="22"/>
        </w:rPr>
        <w:t xml:space="preserve">Figure 7. </w:t>
      </w:r>
      <w:r w:rsidRPr="00E53106">
        <w:rPr>
          <w:rFonts w:asciiTheme="majorHAnsi" w:hAnsiTheme="majorHAnsi"/>
          <w:sz w:val="22"/>
        </w:rPr>
        <w:t>The Result of Post-test</w:t>
      </w:r>
      <w:bookmarkEnd w:id="5"/>
    </w:p>
    <w:p w14:paraId="7CF0E8BC" w14:textId="77777777" w:rsidR="009C30E3" w:rsidRPr="00AD3C84" w:rsidRDefault="00E53106" w:rsidP="009E16B4">
      <w:pPr>
        <w:pStyle w:val="IEEEParagraph"/>
        <w:spacing w:line="276" w:lineRule="auto"/>
        <w:ind w:left="283"/>
        <w:rPr>
          <w:rFonts w:asciiTheme="majorHAnsi" w:hAnsiTheme="majorHAnsi"/>
        </w:rPr>
      </w:pPr>
      <w:r w:rsidRPr="00E53106">
        <w:rPr>
          <w:rFonts w:asciiTheme="majorHAnsi" w:hAnsiTheme="majorHAnsi"/>
        </w:rPr>
        <w:t>Refer</w:t>
      </w:r>
      <w:r w:rsidR="00255378">
        <w:rPr>
          <w:rFonts w:asciiTheme="majorHAnsi" w:hAnsiTheme="majorHAnsi"/>
        </w:rPr>
        <w:t>ring</w:t>
      </w:r>
      <w:r w:rsidRPr="00E53106">
        <w:rPr>
          <w:rFonts w:asciiTheme="majorHAnsi" w:hAnsiTheme="majorHAnsi"/>
        </w:rPr>
        <w:t xml:space="preserve"> to Figure </w:t>
      </w:r>
      <w:r>
        <w:rPr>
          <w:rFonts w:asciiTheme="majorHAnsi" w:hAnsiTheme="majorHAnsi"/>
        </w:rPr>
        <w:t>6,</w:t>
      </w:r>
      <w:r w:rsidRPr="00E53106">
        <w:rPr>
          <w:rFonts w:asciiTheme="majorHAnsi" w:hAnsiTheme="majorHAnsi"/>
        </w:rPr>
        <w:t xml:space="preserve"> in the results of the pre-test, students writ</w:t>
      </w:r>
      <w:r w:rsidR="00576E09">
        <w:rPr>
          <w:rFonts w:asciiTheme="majorHAnsi" w:hAnsiTheme="majorHAnsi"/>
        </w:rPr>
        <w:t>e</w:t>
      </w:r>
      <w:r w:rsidR="00576E09" w:rsidRPr="00E53106">
        <w:rPr>
          <w:rFonts w:asciiTheme="majorHAnsi" w:hAnsiTheme="majorHAnsi"/>
        </w:rPr>
        <w:t xml:space="preserve">120 pieces </w:t>
      </w:r>
      <w:r w:rsidR="00576E09">
        <w:rPr>
          <w:rFonts w:asciiTheme="majorHAnsi" w:hAnsiTheme="majorHAnsi"/>
        </w:rPr>
        <w:t xml:space="preserve">as </w:t>
      </w:r>
      <w:r w:rsidRPr="00E53106">
        <w:rPr>
          <w:rFonts w:asciiTheme="majorHAnsi" w:hAnsiTheme="majorHAnsi"/>
        </w:rPr>
        <w:t xml:space="preserve">the number of boxes to fill </w:t>
      </w:r>
      <w:r w:rsidR="00576E09">
        <w:rPr>
          <w:rFonts w:asciiTheme="majorHAnsi" w:hAnsiTheme="majorHAnsi"/>
        </w:rPr>
        <w:t xml:space="preserve">into </w:t>
      </w:r>
      <w:r w:rsidRPr="00E53106">
        <w:rPr>
          <w:rFonts w:asciiTheme="majorHAnsi" w:hAnsiTheme="majorHAnsi"/>
        </w:rPr>
        <w:t>the container</w:t>
      </w:r>
      <w:r w:rsidR="00576E09">
        <w:rPr>
          <w:rFonts w:asciiTheme="majorHAnsi" w:hAnsiTheme="majorHAnsi"/>
        </w:rPr>
        <w:t xml:space="preserve"> based on</w:t>
      </w:r>
      <w:r w:rsidR="00576E09" w:rsidRPr="00CE7F74">
        <w:rPr>
          <w:position w:val="-10"/>
        </w:rPr>
        <w:object w:dxaOrig="3760" w:dyaOrig="320" w14:anchorId="119DA4E0">
          <v:shape id="_x0000_i1030" type="#_x0000_t75" style="width:185.25pt;height:15.75pt" o:ole="">
            <v:imagedata r:id="rId31" o:title=""/>
          </v:shape>
          <o:OLEObject Type="Embed" ProgID="Equation.DSMT4" ShapeID="_x0000_i1030" DrawAspect="Content" ObjectID="_1644862355" r:id="rId32"/>
        </w:object>
      </w:r>
      <w:r w:rsidRPr="00E53106">
        <w:rPr>
          <w:rFonts w:asciiTheme="majorHAnsi" w:hAnsiTheme="majorHAnsi"/>
        </w:rPr>
        <w:t xml:space="preserve">. However, in the post-test Figure </w:t>
      </w:r>
      <w:r>
        <w:rPr>
          <w:rFonts w:asciiTheme="majorHAnsi" w:hAnsiTheme="majorHAnsi"/>
        </w:rPr>
        <w:t>7</w:t>
      </w:r>
      <w:r w:rsidRPr="00E53106">
        <w:rPr>
          <w:rFonts w:asciiTheme="majorHAnsi" w:hAnsiTheme="majorHAnsi"/>
        </w:rPr>
        <w:t>, an increase was seen in determining the number of boxes already in the box and determining the final result of the number of boxes needed to fill the container. An example of an increase at the time of the post-test was, students wrote if there were as many boxes already in the box 22 pieces, the number of boxes still needed to fill the container is 120 boxes - 22 boxes = 98 boxes. Based on the dimensions of the cognitive process of bloom revision taxonomy, level 3 questions are the dimensions of applying (C.3.). This is because level 3 questions require students' ability to implement volume formulas and surface area of flat side space</w:t>
      </w:r>
      <w:r w:rsidR="00DC41E2">
        <w:rPr>
          <w:rFonts w:asciiTheme="majorHAnsi" w:hAnsiTheme="majorHAnsi"/>
        </w:rPr>
        <w:fldChar w:fldCharType="begin" w:fldLock="1"/>
      </w:r>
      <w:r w:rsidR="00B138C3">
        <w:rPr>
          <w:rFonts w:asciiTheme="majorHAnsi" w:hAnsiTheme="majorHAnsi"/>
        </w:rPr>
        <w:instrText>ADDIN CSL_CITATION {"citationItems":[{"id":"ITEM-1","itemData":{"DOI":"10.1207/s15430421tip4104","author":[{"dropping-particle":"","family":"Krathwohl","given":"David R","non-dropping-particle":"","parse-names":false,"suffix":""}],"container-title":"Theory info practice","id":"ITEM-1","issue":"4","issued":{"date-parts":[["2002"]]},"page":"212-218","title":"A Revision of Bloom ’ s Taxonomy : An overview","type":"article-journal","volume":"41"},"locator":"215","uris":["http://www.mendeley.com/documents/?uuid=1cade269-7bde-4e48-a859-61727eda1217"]}],"mendeley":{"formattedCitation":"(Krathwohl, 2002, p. 215)","plainTextFormattedCitation":"(Krathwohl, 2002, p. 215)","previouslyFormattedCitation":"(Krathwohl, 2002, p. 215)"},"properties":{"noteIndex":0},"schema":"https://github.com/citation-style-language/schema/raw/master/csl-citation.json"}</w:instrText>
      </w:r>
      <w:r w:rsidR="00DC41E2">
        <w:rPr>
          <w:rFonts w:asciiTheme="majorHAnsi" w:hAnsiTheme="majorHAnsi"/>
        </w:rPr>
        <w:fldChar w:fldCharType="separate"/>
      </w:r>
      <w:r w:rsidR="00B138C3" w:rsidRPr="00B138C3">
        <w:rPr>
          <w:rFonts w:asciiTheme="majorHAnsi" w:hAnsiTheme="majorHAnsi"/>
          <w:noProof/>
        </w:rPr>
        <w:t>(Krathwohl, 2002, p. 215)</w:t>
      </w:r>
      <w:r w:rsidR="00DC41E2">
        <w:rPr>
          <w:rFonts w:asciiTheme="majorHAnsi" w:hAnsiTheme="majorHAnsi"/>
        </w:rPr>
        <w:fldChar w:fldCharType="end"/>
      </w:r>
      <w:r w:rsidRPr="00E53106">
        <w:rPr>
          <w:rFonts w:asciiTheme="majorHAnsi" w:hAnsiTheme="majorHAnsi"/>
        </w:rPr>
        <w:t xml:space="preserve">. The ability to </w:t>
      </w:r>
      <w:r w:rsidRPr="00E53106">
        <w:rPr>
          <w:rFonts w:asciiTheme="majorHAnsi" w:hAnsiTheme="majorHAnsi"/>
        </w:rPr>
        <w:lastRenderedPageBreak/>
        <w:t xml:space="preserve">apply turns out to be in harmony with higher levels of thinking according to Anderson and </w:t>
      </w:r>
      <w:proofErr w:type="spellStart"/>
      <w:r w:rsidRPr="00E53106">
        <w:rPr>
          <w:rFonts w:asciiTheme="majorHAnsi" w:hAnsiTheme="majorHAnsi"/>
        </w:rPr>
        <w:t>Krathwol</w:t>
      </w:r>
      <w:proofErr w:type="spellEnd"/>
      <w:r w:rsidR="00DC41E2">
        <w:rPr>
          <w:rFonts w:asciiTheme="majorHAnsi" w:hAnsiTheme="majorHAnsi"/>
        </w:rPr>
        <w:fldChar w:fldCharType="begin" w:fldLock="1"/>
      </w:r>
      <w:r w:rsidR="003126CD">
        <w:rPr>
          <w:rFonts w:asciiTheme="majorHAnsi" w:hAnsiTheme="majorHAnsi"/>
        </w:rPr>
        <w:instrText>ADDIN CSL_CITATION {"citationItems":[{"id":"ITEM-1","itemData":{"author":[{"dropping-particle":"","family":"Aksela","given":"M","non-dropping-particle":"","parse-names":false,"suffix":""}],"id":"ITEM-1","issued":{"date-parts":[["2005"]]},"title":"Learning and Teaching Resources Branch. Focus on Inquiry: A Teacher's Guide to Implementing Inquiry-Based Learning. Alberta Learning","type":"book"},"locator":"38","uris":["http://www.mendeley.com/documents/?uuid=0c4cb863-defd-419d-b11c-6495619583ad"]}],"mendeley":{"formattedCitation":"(Aksela, 2005, p. 38)","plainTextFormattedCitation":"(Aksela, 2005, p. 38)","previouslyFormattedCitation":"(Aksela, 2005, p. 38)"},"properties":{"noteIndex":0},"schema":"https://github.com/citation-style-language/schema/raw/master/csl-citation.json"}</w:instrText>
      </w:r>
      <w:r w:rsidR="00DC41E2">
        <w:rPr>
          <w:rFonts w:asciiTheme="majorHAnsi" w:hAnsiTheme="majorHAnsi"/>
        </w:rPr>
        <w:fldChar w:fldCharType="separate"/>
      </w:r>
      <w:r w:rsidR="00B138C3" w:rsidRPr="00B138C3">
        <w:rPr>
          <w:rFonts w:asciiTheme="majorHAnsi" w:hAnsiTheme="majorHAnsi"/>
          <w:noProof/>
        </w:rPr>
        <w:t>(Aksela, 2005, p. 38)</w:t>
      </w:r>
      <w:r w:rsidR="00DC41E2">
        <w:rPr>
          <w:rFonts w:asciiTheme="majorHAnsi" w:hAnsiTheme="majorHAnsi"/>
        </w:rPr>
        <w:fldChar w:fldCharType="end"/>
      </w:r>
      <w:r w:rsidRPr="00E53106">
        <w:rPr>
          <w:rFonts w:asciiTheme="majorHAnsi" w:hAnsiTheme="majorHAnsi"/>
        </w:rPr>
        <w:t>.</w:t>
      </w:r>
    </w:p>
    <w:p w14:paraId="411D691C" w14:textId="77777777" w:rsidR="0062033E" w:rsidRPr="00AD3C84" w:rsidRDefault="0063726A" w:rsidP="0063726A">
      <w:pPr>
        <w:pStyle w:val="IEEEHeading1"/>
        <w:numPr>
          <w:ilvl w:val="0"/>
          <w:numId w:val="11"/>
        </w:numPr>
        <w:spacing w:line="276" w:lineRule="auto"/>
        <w:jc w:val="left"/>
        <w:rPr>
          <w:rFonts w:asciiTheme="majorHAnsi" w:hAnsiTheme="majorHAnsi"/>
          <w:b/>
          <w:sz w:val="24"/>
          <w:lang w:val="en-US"/>
        </w:rPr>
      </w:pPr>
      <w:r w:rsidRPr="00AD3C84">
        <w:rPr>
          <w:rFonts w:asciiTheme="majorHAnsi" w:hAnsiTheme="majorHAnsi"/>
          <w:b/>
          <w:sz w:val="24"/>
          <w:lang w:val="id-ID"/>
        </w:rPr>
        <w:t>CONCLUSION AND SUGGESTIONS</w:t>
      </w:r>
    </w:p>
    <w:p w14:paraId="205637E8" w14:textId="77777777" w:rsidR="00EC2D7F" w:rsidRPr="00EC2D7F" w:rsidRDefault="00EC2D7F" w:rsidP="00EC2D7F">
      <w:pPr>
        <w:pStyle w:val="IEEEParagraph"/>
        <w:spacing w:line="276" w:lineRule="auto"/>
        <w:ind w:firstLine="360"/>
        <w:rPr>
          <w:rFonts w:asciiTheme="majorHAnsi" w:hAnsiTheme="majorHAnsi"/>
          <w:shd w:val="clear" w:color="auto" w:fill="FFFFFF"/>
          <w:lang w:val="id-ID"/>
        </w:rPr>
      </w:pPr>
      <w:r w:rsidRPr="00EC2D7F">
        <w:rPr>
          <w:rFonts w:asciiTheme="majorHAnsi" w:hAnsiTheme="majorHAnsi"/>
        </w:rPr>
        <w:t>Based on the results of the quantitative analysis and the discussion in the previous description, it can be concluded into two conclusions, namely as follows:</w:t>
      </w:r>
    </w:p>
    <w:p w14:paraId="26AB85DE" w14:textId="77777777" w:rsidR="00EC2D7F" w:rsidRPr="00EC2D7F" w:rsidRDefault="00EC2D7F" w:rsidP="00EC2D7F">
      <w:pPr>
        <w:jc w:val="both"/>
        <w:rPr>
          <w:rFonts w:asciiTheme="majorHAnsi" w:hAnsiTheme="majorHAnsi"/>
        </w:rPr>
      </w:pPr>
      <w:r w:rsidRPr="00EC2D7F">
        <w:rPr>
          <w:rFonts w:asciiTheme="majorHAnsi" w:hAnsiTheme="majorHAnsi"/>
        </w:rPr>
        <w:t>First, increasing the mathematical literacy proficiency of students who get ICM learning is significantly better than students who get conventional learning when viewed from the high and medium BMP categories. This finding apparently did not occur in students with a low BMP category. Students who get ICM learning are not significantly better than students who get normal learning in the category when reviewed by BMP in the low category. The cause of this finding occurs because high and medium BMP students can maximize the stages of advocating on ICM learning so that the process of exchanging ideas, asking questions, and supporting each other in solving mathematical literacy problems can run optimally. Conversely, low BMP students apparently cannot maximize the advocating stage.</w:t>
      </w:r>
    </w:p>
    <w:p w14:paraId="1D3B4D2C" w14:textId="77777777" w:rsidR="00EC2D7F" w:rsidRPr="00EC2D7F" w:rsidRDefault="00EC2D7F" w:rsidP="00EC2D7F">
      <w:pPr>
        <w:jc w:val="both"/>
        <w:rPr>
          <w:rFonts w:asciiTheme="majorHAnsi" w:hAnsiTheme="majorHAnsi"/>
        </w:rPr>
      </w:pPr>
      <w:r w:rsidRPr="00EC2D7F">
        <w:rPr>
          <w:rFonts w:asciiTheme="majorHAnsi" w:hAnsiTheme="majorHAnsi"/>
        </w:rPr>
        <w:t xml:space="preserve">Second, there is no significant difference in the increase </w:t>
      </w:r>
      <w:r w:rsidR="00576E09">
        <w:rPr>
          <w:rFonts w:asciiTheme="majorHAnsi" w:hAnsiTheme="majorHAnsi"/>
        </w:rPr>
        <w:t>on</w:t>
      </w:r>
      <w:r w:rsidRPr="00EC2D7F">
        <w:rPr>
          <w:rFonts w:asciiTheme="majorHAnsi" w:hAnsiTheme="majorHAnsi"/>
        </w:rPr>
        <w:t xml:space="preserve"> mathematical literacy skills of students who get ICM learning when viewed from the high, medium, and low BMP categories. The second finding arises because the stages of locating, identifying, advocating, reformulating, and challenging in ICM learning supports the process of attributing </w:t>
      </w:r>
      <w:r w:rsidR="00D00025" w:rsidRPr="00EC2D7F">
        <w:rPr>
          <w:rFonts w:asciiTheme="majorHAnsi" w:hAnsiTheme="majorHAnsi"/>
        </w:rPr>
        <w:t xml:space="preserve">students’ </w:t>
      </w:r>
      <w:r w:rsidRPr="00EC2D7F">
        <w:rPr>
          <w:rFonts w:asciiTheme="majorHAnsi" w:hAnsiTheme="majorHAnsi"/>
        </w:rPr>
        <w:t xml:space="preserve">mathematical proficiency when learning new material. Although the statistical test results showed no difference, the average n-gain value actually showed an increase </w:t>
      </w:r>
      <w:r w:rsidR="00D00025">
        <w:rPr>
          <w:rFonts w:asciiTheme="majorHAnsi" w:hAnsiTheme="majorHAnsi"/>
        </w:rPr>
        <w:t>o</w:t>
      </w:r>
      <w:r w:rsidRPr="00EC2D7F">
        <w:rPr>
          <w:rFonts w:asciiTheme="majorHAnsi" w:hAnsiTheme="majorHAnsi"/>
        </w:rPr>
        <w:t xml:space="preserve">n mathematical literacy proficiency of students in the high BMP category </w:t>
      </w:r>
      <w:r w:rsidR="00D00025">
        <w:rPr>
          <w:rFonts w:asciiTheme="majorHAnsi" w:hAnsiTheme="majorHAnsi"/>
        </w:rPr>
        <w:t xml:space="preserve">which is </w:t>
      </w:r>
      <w:r w:rsidRPr="00EC2D7F">
        <w:rPr>
          <w:rFonts w:asciiTheme="majorHAnsi" w:hAnsiTheme="majorHAnsi"/>
        </w:rPr>
        <w:t>higher than students in the moderate and low BMP categories.</w:t>
      </w:r>
    </w:p>
    <w:p w14:paraId="070C5B51" w14:textId="0CB44FD8" w:rsidR="00EB0353" w:rsidRPr="00EB0353" w:rsidRDefault="00D00025" w:rsidP="00EB0353">
      <w:pPr>
        <w:jc w:val="both"/>
        <w:rPr>
          <w:rFonts w:asciiTheme="majorHAnsi" w:hAnsiTheme="majorHAnsi"/>
        </w:rPr>
      </w:pPr>
      <w:r w:rsidRPr="00EC2D7F">
        <w:rPr>
          <w:rFonts w:asciiTheme="majorHAnsi" w:hAnsiTheme="majorHAnsi"/>
        </w:rPr>
        <w:t>T</w:t>
      </w:r>
      <w:r w:rsidR="00EC2D7F" w:rsidRPr="00EC2D7F">
        <w:rPr>
          <w:rFonts w:asciiTheme="majorHAnsi" w:hAnsiTheme="majorHAnsi"/>
        </w:rPr>
        <w:t>he</w:t>
      </w:r>
      <w:r>
        <w:rPr>
          <w:rFonts w:asciiTheme="majorHAnsi" w:hAnsiTheme="majorHAnsi"/>
        </w:rPr>
        <w:t xml:space="preserve"> next</w:t>
      </w:r>
      <w:r w:rsidR="00EC2D7F" w:rsidRPr="00EC2D7F">
        <w:rPr>
          <w:rFonts w:asciiTheme="majorHAnsi" w:hAnsiTheme="majorHAnsi"/>
        </w:rPr>
        <w:t xml:space="preserve"> finding</w:t>
      </w:r>
      <w:r>
        <w:rPr>
          <w:rFonts w:asciiTheme="majorHAnsi" w:hAnsiTheme="majorHAnsi"/>
        </w:rPr>
        <w:t>s are</w:t>
      </w:r>
      <w:r w:rsidR="00EC2D7F" w:rsidRPr="00EC2D7F">
        <w:rPr>
          <w:rFonts w:asciiTheme="majorHAnsi" w:hAnsiTheme="majorHAnsi"/>
        </w:rPr>
        <w:t xml:space="preserve"> that the percentage of student achievement in solving level 6 </w:t>
      </w:r>
      <w:r>
        <w:rPr>
          <w:rFonts w:asciiTheme="majorHAnsi" w:hAnsiTheme="majorHAnsi"/>
        </w:rPr>
        <w:t xml:space="preserve">of </w:t>
      </w:r>
      <w:r w:rsidR="00EC2D7F" w:rsidRPr="00EC2D7F">
        <w:rPr>
          <w:rFonts w:asciiTheme="majorHAnsi" w:hAnsiTheme="majorHAnsi"/>
        </w:rPr>
        <w:t>mathematical literacy questions is still low, it would be better to maximize the process of implementing the challenging stages of ICM learning</w:t>
      </w:r>
      <w:r>
        <w:rPr>
          <w:rFonts w:asciiTheme="majorHAnsi" w:hAnsiTheme="majorHAnsi"/>
        </w:rPr>
        <w:t xml:space="preserve"> through</w:t>
      </w:r>
      <w:r w:rsidR="00EC2D7F" w:rsidRPr="00EC2D7F">
        <w:rPr>
          <w:rFonts w:asciiTheme="majorHAnsi" w:hAnsiTheme="majorHAnsi"/>
        </w:rPr>
        <w:t xml:space="preserve"> giving mathematical literacy problems </w:t>
      </w:r>
      <w:r>
        <w:rPr>
          <w:rFonts w:asciiTheme="majorHAnsi" w:hAnsiTheme="majorHAnsi"/>
        </w:rPr>
        <w:t>which</w:t>
      </w:r>
      <w:r w:rsidR="00EC2D7F" w:rsidRPr="00EC2D7F">
        <w:rPr>
          <w:rFonts w:asciiTheme="majorHAnsi" w:hAnsiTheme="majorHAnsi"/>
        </w:rPr>
        <w:t xml:space="preserve"> are more challenging and solved in groups. In addition,</w:t>
      </w:r>
      <w:r w:rsidR="005965CC">
        <w:rPr>
          <w:rFonts w:asciiTheme="majorHAnsi" w:hAnsiTheme="majorHAnsi"/>
        </w:rPr>
        <w:t xml:space="preserve"> </w:t>
      </w:r>
      <w:r w:rsidR="00EC2D7F" w:rsidRPr="00EC2D7F">
        <w:rPr>
          <w:rFonts w:asciiTheme="majorHAnsi" w:hAnsiTheme="majorHAnsi"/>
        </w:rPr>
        <w:t xml:space="preserve">it is better to maximize students' proficiency to solve mathematical literacy problems from </w:t>
      </w:r>
      <w:r w:rsidR="00EB0353" w:rsidRPr="00EC2D7F">
        <w:rPr>
          <w:rFonts w:asciiTheme="majorHAnsi" w:hAnsiTheme="majorHAnsi"/>
        </w:rPr>
        <w:t xml:space="preserve">questions </w:t>
      </w:r>
      <w:r w:rsidR="00EC2D7F" w:rsidRPr="00EC2D7F">
        <w:rPr>
          <w:rFonts w:asciiTheme="majorHAnsi" w:hAnsiTheme="majorHAnsi"/>
        </w:rPr>
        <w:t xml:space="preserve">level </w:t>
      </w:r>
      <w:r w:rsidR="00EB0353">
        <w:rPr>
          <w:rFonts w:asciiTheme="majorHAnsi" w:hAnsiTheme="majorHAnsi"/>
        </w:rPr>
        <w:t>1</w:t>
      </w:r>
      <w:r w:rsidR="00EC2D7F" w:rsidRPr="00EC2D7F">
        <w:rPr>
          <w:rFonts w:asciiTheme="majorHAnsi" w:hAnsiTheme="majorHAnsi"/>
        </w:rPr>
        <w:t xml:space="preserve"> to level </w:t>
      </w:r>
      <w:r w:rsidR="00EB0353">
        <w:rPr>
          <w:rFonts w:asciiTheme="majorHAnsi" w:hAnsiTheme="majorHAnsi"/>
        </w:rPr>
        <w:t>5</w:t>
      </w:r>
      <w:r w:rsidR="00EC2D7F" w:rsidRPr="00EC2D7F">
        <w:rPr>
          <w:rFonts w:asciiTheme="majorHAnsi" w:hAnsiTheme="majorHAnsi"/>
        </w:rPr>
        <w:t xml:space="preserve"> first</w:t>
      </w:r>
      <w:r w:rsidR="00EB0353">
        <w:rPr>
          <w:rFonts w:asciiTheme="majorHAnsi" w:hAnsiTheme="majorHAnsi"/>
        </w:rPr>
        <w:t xml:space="preserve">ly </w:t>
      </w:r>
      <w:r w:rsidR="00EB0353" w:rsidRPr="00EC2D7F">
        <w:rPr>
          <w:rFonts w:asciiTheme="majorHAnsi" w:hAnsiTheme="majorHAnsi"/>
        </w:rPr>
        <w:t xml:space="preserve">because level </w:t>
      </w:r>
      <w:r w:rsidR="00EB0353">
        <w:rPr>
          <w:rFonts w:asciiTheme="majorHAnsi" w:hAnsiTheme="majorHAnsi"/>
        </w:rPr>
        <w:t>6</w:t>
      </w:r>
      <w:r w:rsidR="00EB0353" w:rsidRPr="00EC2D7F">
        <w:rPr>
          <w:rFonts w:asciiTheme="majorHAnsi" w:hAnsiTheme="majorHAnsi"/>
        </w:rPr>
        <w:t xml:space="preserve"> are the highest level in mathematical literacy proficiency</w:t>
      </w:r>
      <w:r w:rsidR="00EC2D7F" w:rsidRPr="00EC2D7F">
        <w:rPr>
          <w:rFonts w:asciiTheme="majorHAnsi" w:hAnsiTheme="majorHAnsi"/>
        </w:rPr>
        <w:t>.</w:t>
      </w:r>
    </w:p>
    <w:p w14:paraId="0017ED19" w14:textId="77777777" w:rsidR="003950A4" w:rsidRPr="00AD3C84" w:rsidRDefault="009C30E3" w:rsidP="009570BE">
      <w:pPr>
        <w:pStyle w:val="IEEEHeading1"/>
        <w:numPr>
          <w:ilvl w:val="0"/>
          <w:numId w:val="0"/>
        </w:numPr>
        <w:spacing w:line="276" w:lineRule="auto"/>
        <w:jc w:val="left"/>
        <w:rPr>
          <w:rFonts w:asciiTheme="majorHAnsi" w:hAnsiTheme="majorHAnsi"/>
          <w:b/>
          <w:sz w:val="24"/>
          <w:lang w:val="en-US"/>
        </w:rPr>
      </w:pPr>
      <w:r w:rsidRPr="00AD3C84">
        <w:rPr>
          <w:rFonts w:asciiTheme="majorHAnsi" w:hAnsiTheme="majorHAnsi"/>
          <w:b/>
          <w:sz w:val="24"/>
          <w:lang w:val="en-US"/>
        </w:rPr>
        <w:t>ACKNOWLEDGEMENT</w:t>
      </w:r>
    </w:p>
    <w:p w14:paraId="30EF942D" w14:textId="77195C62" w:rsidR="00002AE5" w:rsidRPr="009A4D2F" w:rsidRDefault="006E7B22" w:rsidP="009A4D2F">
      <w:pPr>
        <w:pStyle w:val="IEEEParagraph"/>
        <w:spacing w:line="276" w:lineRule="auto"/>
        <w:ind w:firstLine="0"/>
        <w:rPr>
          <w:rFonts w:asciiTheme="majorHAnsi" w:hAnsiTheme="majorHAnsi"/>
          <w:shd w:val="clear" w:color="auto" w:fill="FFFFFF"/>
          <w:lang w:val="sv-SE"/>
        </w:rPr>
      </w:pPr>
      <w:r w:rsidRPr="006E7B22">
        <w:rPr>
          <w:rFonts w:asciiTheme="majorHAnsi" w:hAnsiTheme="majorHAnsi"/>
        </w:rPr>
        <w:t xml:space="preserve">I would like to thank seventy students of grade </w:t>
      </w:r>
      <w:r w:rsidR="00A61420">
        <w:rPr>
          <w:rFonts w:asciiTheme="majorHAnsi" w:hAnsiTheme="majorHAnsi"/>
        </w:rPr>
        <w:t>eight</w:t>
      </w:r>
      <w:r w:rsidRPr="006E7B22">
        <w:rPr>
          <w:rFonts w:asciiTheme="majorHAnsi" w:hAnsiTheme="majorHAnsi"/>
        </w:rPr>
        <w:t xml:space="preserve"> at one of state junior high school in Bandung, for their active participant.</w:t>
      </w:r>
    </w:p>
    <w:p w14:paraId="72144FBF" w14:textId="77777777" w:rsidR="001928FB" w:rsidRPr="00AD3C84" w:rsidRDefault="009C30E3" w:rsidP="009223D5">
      <w:pPr>
        <w:pStyle w:val="IEEEHeading1"/>
        <w:numPr>
          <w:ilvl w:val="0"/>
          <w:numId w:val="0"/>
        </w:numPr>
        <w:spacing w:line="276" w:lineRule="auto"/>
        <w:jc w:val="left"/>
        <w:rPr>
          <w:rFonts w:asciiTheme="majorHAnsi" w:hAnsiTheme="majorHAnsi"/>
          <w:b/>
          <w:sz w:val="24"/>
          <w:lang w:val="en-US"/>
        </w:rPr>
      </w:pPr>
      <w:r w:rsidRPr="00AD3C84">
        <w:rPr>
          <w:rFonts w:asciiTheme="majorHAnsi" w:hAnsiTheme="majorHAnsi"/>
          <w:b/>
          <w:sz w:val="24"/>
          <w:lang w:val="en-US"/>
        </w:rPr>
        <w:t>REFERENCES</w:t>
      </w:r>
    </w:p>
    <w:p w14:paraId="2A6DF1C3" w14:textId="766F60DB" w:rsidR="001C5A19" w:rsidRPr="001C5A19" w:rsidRDefault="001C5A19" w:rsidP="001C5A19">
      <w:pPr>
        <w:widowControl w:val="0"/>
        <w:autoSpaceDE w:val="0"/>
        <w:autoSpaceDN w:val="0"/>
        <w:adjustRightInd w:val="0"/>
        <w:ind w:left="480" w:hanging="480"/>
        <w:rPr>
          <w:rFonts w:ascii="Cambria" w:hAnsi="Cambria"/>
          <w:noProof/>
          <w:sz w:val="22"/>
        </w:rPr>
      </w:pPr>
      <w:r>
        <w:rPr>
          <w:rFonts w:asciiTheme="majorHAnsi" w:hAnsiTheme="majorHAnsi"/>
          <w:b/>
          <w:color w:val="FF0000"/>
          <w:sz w:val="22"/>
          <w:szCs w:val="22"/>
        </w:rPr>
        <w:fldChar w:fldCharType="begin" w:fldLock="1"/>
      </w:r>
      <w:r>
        <w:rPr>
          <w:rFonts w:asciiTheme="majorHAnsi" w:hAnsiTheme="majorHAnsi"/>
          <w:b/>
          <w:color w:val="FF0000"/>
          <w:sz w:val="22"/>
          <w:szCs w:val="22"/>
        </w:rPr>
        <w:instrText xml:space="preserve">ADDIN Mendeley Bibliography CSL_BIBLIOGRAPHY </w:instrText>
      </w:r>
      <w:r>
        <w:rPr>
          <w:rFonts w:asciiTheme="majorHAnsi" w:hAnsiTheme="majorHAnsi"/>
          <w:b/>
          <w:color w:val="FF0000"/>
          <w:sz w:val="22"/>
          <w:szCs w:val="22"/>
        </w:rPr>
        <w:fldChar w:fldCharType="separate"/>
      </w:r>
      <w:r w:rsidRPr="001C5A19">
        <w:rPr>
          <w:rFonts w:ascii="Cambria" w:hAnsi="Cambria"/>
          <w:noProof/>
          <w:sz w:val="22"/>
        </w:rPr>
        <w:t xml:space="preserve">Aksela, M. (2005). </w:t>
      </w:r>
      <w:r w:rsidRPr="001C5A19">
        <w:rPr>
          <w:rFonts w:ascii="Cambria" w:hAnsi="Cambria"/>
          <w:i/>
          <w:iCs/>
          <w:noProof/>
          <w:sz w:val="22"/>
        </w:rPr>
        <w:t>Learning and Teaching Resources Branch. Focus on Inquiry: A Teacher’s Guide to Implementing Inquiry-Based Learning. Alberta Learning</w:t>
      </w:r>
      <w:r w:rsidRPr="001C5A19">
        <w:rPr>
          <w:rFonts w:ascii="Cambria" w:hAnsi="Cambria"/>
          <w:noProof/>
          <w:sz w:val="22"/>
        </w:rPr>
        <w:t>.</w:t>
      </w:r>
    </w:p>
    <w:p w14:paraId="56E09E54" w14:textId="77777777" w:rsidR="001C5A19" w:rsidRPr="001C5A19" w:rsidRDefault="001C5A19" w:rsidP="001C5A19">
      <w:pPr>
        <w:widowControl w:val="0"/>
        <w:autoSpaceDE w:val="0"/>
        <w:autoSpaceDN w:val="0"/>
        <w:adjustRightInd w:val="0"/>
        <w:ind w:left="475" w:hanging="475"/>
        <w:jc w:val="both"/>
        <w:rPr>
          <w:rFonts w:ascii="Cambria" w:hAnsi="Cambria"/>
          <w:noProof/>
          <w:sz w:val="22"/>
        </w:rPr>
      </w:pPr>
      <w:r w:rsidRPr="001C5A19">
        <w:rPr>
          <w:rFonts w:ascii="Cambria" w:hAnsi="Cambria"/>
          <w:noProof/>
          <w:sz w:val="22"/>
        </w:rPr>
        <w:t xml:space="preserve">AlrØ, H., &amp; Skovsmose, O. (2002). </w:t>
      </w:r>
      <w:r w:rsidRPr="001C5A19">
        <w:rPr>
          <w:rFonts w:ascii="Cambria" w:hAnsi="Cambria"/>
          <w:i/>
          <w:iCs/>
          <w:noProof/>
          <w:sz w:val="22"/>
        </w:rPr>
        <w:t>Dialogue and Learning in Mathematics Education</w:t>
      </w:r>
      <w:r w:rsidRPr="001C5A19">
        <w:rPr>
          <w:rFonts w:ascii="Cambria" w:hAnsi="Cambria"/>
          <w:noProof/>
          <w:sz w:val="22"/>
        </w:rPr>
        <w:t>. Kluwer Academic Publisher.</w:t>
      </w:r>
    </w:p>
    <w:p w14:paraId="0226EA37"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Barrouillet, P. (2015). Theories of cognitive development: From Piaget to today. </w:t>
      </w:r>
      <w:r w:rsidRPr="001C5A19">
        <w:rPr>
          <w:rFonts w:ascii="Cambria" w:hAnsi="Cambria"/>
          <w:i/>
          <w:iCs/>
          <w:noProof/>
          <w:sz w:val="22"/>
        </w:rPr>
        <w:t>Developmental Review</w:t>
      </w:r>
      <w:r w:rsidRPr="001C5A19">
        <w:rPr>
          <w:rFonts w:ascii="Cambria" w:hAnsi="Cambria"/>
          <w:noProof/>
          <w:sz w:val="22"/>
        </w:rPr>
        <w:t xml:space="preserve">, </w:t>
      </w:r>
      <w:r w:rsidRPr="001C5A19">
        <w:rPr>
          <w:rFonts w:ascii="Cambria" w:hAnsi="Cambria"/>
          <w:i/>
          <w:iCs/>
          <w:noProof/>
          <w:sz w:val="22"/>
        </w:rPr>
        <w:t>38</w:t>
      </w:r>
      <w:r w:rsidRPr="001C5A19">
        <w:rPr>
          <w:rFonts w:ascii="Cambria" w:hAnsi="Cambria"/>
          <w:noProof/>
          <w:sz w:val="22"/>
        </w:rPr>
        <w:t>, 1–12. https://doi.org/10.1016/j.dr.2015.07.004</w:t>
      </w:r>
    </w:p>
    <w:p w14:paraId="29F3F076"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Basaǵa, H., Geban, Ómer, &amp; Tekkaya, C. (1994). The Effect of the Inquiry Teaching Method on Biochemistry and Science Process Skill Achievements. </w:t>
      </w:r>
      <w:r w:rsidRPr="001C5A19">
        <w:rPr>
          <w:rFonts w:ascii="Cambria" w:hAnsi="Cambria"/>
          <w:i/>
          <w:iCs/>
          <w:noProof/>
          <w:sz w:val="22"/>
        </w:rPr>
        <w:t>Journal Biochemical Education</w:t>
      </w:r>
      <w:r w:rsidRPr="001C5A19">
        <w:rPr>
          <w:rFonts w:ascii="Cambria" w:hAnsi="Cambria"/>
          <w:noProof/>
          <w:sz w:val="22"/>
        </w:rPr>
        <w:t xml:space="preserve">, </w:t>
      </w:r>
      <w:r w:rsidRPr="001C5A19">
        <w:rPr>
          <w:rFonts w:ascii="Cambria" w:hAnsi="Cambria"/>
          <w:i/>
          <w:iCs/>
          <w:noProof/>
          <w:sz w:val="22"/>
        </w:rPr>
        <w:t>1</w:t>
      </w:r>
      <w:r w:rsidRPr="001C5A19">
        <w:rPr>
          <w:rFonts w:ascii="Cambria" w:hAnsi="Cambria"/>
          <w:noProof/>
          <w:sz w:val="22"/>
        </w:rPr>
        <w:t>(22), 29–32.</w:t>
      </w:r>
    </w:p>
    <w:p w14:paraId="0E5CA65B"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Carey, S., Zaitchik, D., &amp; Bascandziev, I. (2015). Theories of development: In dialog with Jean Piaget. </w:t>
      </w:r>
      <w:r w:rsidRPr="001C5A19">
        <w:rPr>
          <w:rFonts w:ascii="Cambria" w:hAnsi="Cambria"/>
          <w:i/>
          <w:iCs/>
          <w:noProof/>
          <w:sz w:val="22"/>
        </w:rPr>
        <w:t>Developmental Review</w:t>
      </w:r>
      <w:r w:rsidRPr="001C5A19">
        <w:rPr>
          <w:rFonts w:ascii="Cambria" w:hAnsi="Cambria"/>
          <w:noProof/>
          <w:sz w:val="22"/>
        </w:rPr>
        <w:t xml:space="preserve">, </w:t>
      </w:r>
      <w:r w:rsidRPr="001C5A19">
        <w:rPr>
          <w:rFonts w:ascii="Cambria" w:hAnsi="Cambria"/>
          <w:i/>
          <w:iCs/>
          <w:noProof/>
          <w:sz w:val="22"/>
        </w:rPr>
        <w:t>38</w:t>
      </w:r>
      <w:r w:rsidRPr="001C5A19">
        <w:rPr>
          <w:rFonts w:ascii="Cambria" w:hAnsi="Cambria"/>
          <w:noProof/>
          <w:sz w:val="22"/>
        </w:rPr>
        <w:t>, 36–54. https://doi.org/10.1016/j.dr.2015.07.003</w:t>
      </w:r>
    </w:p>
    <w:p w14:paraId="1366A01E"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Cooper, J. L., &amp; Robinson, P. (2014). Using Classroom Assessment and Cognitive Scaffolding to Enhance the Power of Small-Group Learning. </w:t>
      </w:r>
      <w:r w:rsidRPr="001C5A19">
        <w:rPr>
          <w:rFonts w:ascii="Cambria" w:hAnsi="Cambria"/>
          <w:i/>
          <w:iCs/>
          <w:noProof/>
          <w:sz w:val="22"/>
        </w:rPr>
        <w:t>Journal on Excellence in College Teaching</w:t>
      </w:r>
      <w:r w:rsidRPr="001C5A19">
        <w:rPr>
          <w:rFonts w:ascii="Cambria" w:hAnsi="Cambria"/>
          <w:noProof/>
          <w:sz w:val="22"/>
        </w:rPr>
        <w:t xml:space="preserve">, </w:t>
      </w:r>
      <w:r w:rsidRPr="001C5A19">
        <w:rPr>
          <w:rFonts w:ascii="Cambria" w:hAnsi="Cambria"/>
          <w:i/>
          <w:iCs/>
          <w:noProof/>
          <w:sz w:val="22"/>
        </w:rPr>
        <w:t>25</w:t>
      </w:r>
      <w:r w:rsidRPr="001C5A19">
        <w:rPr>
          <w:rFonts w:ascii="Cambria" w:hAnsi="Cambria"/>
          <w:noProof/>
          <w:sz w:val="22"/>
        </w:rPr>
        <w:t>, 149–161.</w:t>
      </w:r>
    </w:p>
    <w:p w14:paraId="63195512"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De Lange, J. (2003). Quantitative Literacy: Why Numeracy Matters for Schools and Colleges. </w:t>
      </w:r>
      <w:r w:rsidRPr="001C5A19">
        <w:rPr>
          <w:rFonts w:ascii="Cambria" w:hAnsi="Cambria"/>
          <w:i/>
          <w:iCs/>
          <w:noProof/>
          <w:sz w:val="22"/>
        </w:rPr>
        <w:t>National Council on Education and the Disciplines</w:t>
      </w:r>
      <w:r w:rsidRPr="001C5A19">
        <w:rPr>
          <w:rFonts w:ascii="Cambria" w:hAnsi="Cambria"/>
          <w:noProof/>
          <w:sz w:val="22"/>
        </w:rPr>
        <w:t>, 75–89.</w:t>
      </w:r>
    </w:p>
    <w:p w14:paraId="5DE179E4"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De Lange, J. (2006). Mathematical Literacy for Living from OECD-PISA perspective. </w:t>
      </w:r>
      <w:r w:rsidRPr="001C5A19">
        <w:rPr>
          <w:rFonts w:ascii="Cambria" w:hAnsi="Cambria"/>
          <w:i/>
          <w:iCs/>
          <w:noProof/>
          <w:sz w:val="22"/>
        </w:rPr>
        <w:t xml:space="preserve">Tsukuba Journal of </w:t>
      </w:r>
      <w:r w:rsidRPr="001C5A19">
        <w:rPr>
          <w:rFonts w:ascii="Cambria" w:hAnsi="Cambria"/>
          <w:i/>
          <w:iCs/>
          <w:noProof/>
          <w:sz w:val="22"/>
        </w:rPr>
        <w:lastRenderedPageBreak/>
        <w:t>International Study in Mathematics</w:t>
      </w:r>
      <w:r w:rsidRPr="001C5A19">
        <w:rPr>
          <w:rFonts w:ascii="Cambria" w:hAnsi="Cambria"/>
          <w:noProof/>
          <w:sz w:val="22"/>
        </w:rPr>
        <w:t xml:space="preserve">, </w:t>
      </w:r>
      <w:r w:rsidRPr="001C5A19">
        <w:rPr>
          <w:rFonts w:ascii="Cambria" w:hAnsi="Cambria"/>
          <w:i/>
          <w:iCs/>
          <w:noProof/>
          <w:sz w:val="22"/>
        </w:rPr>
        <w:t>25</w:t>
      </w:r>
      <w:r w:rsidRPr="001C5A19">
        <w:rPr>
          <w:rFonts w:ascii="Cambria" w:hAnsi="Cambria"/>
          <w:noProof/>
          <w:sz w:val="22"/>
        </w:rPr>
        <w:t>, 13–35.</w:t>
      </w:r>
    </w:p>
    <w:p w14:paraId="2E0DFE50"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Effendi, L. A. (2012). Pembelajaran Matematika dengan Metode Penemuan Terbimbing untuk Meningkatkan Kemampuan Representasi dan Pemecahan Masalah Matematis Siswa SMP. </w:t>
      </w:r>
      <w:r w:rsidRPr="001C5A19">
        <w:rPr>
          <w:rFonts w:ascii="Cambria" w:hAnsi="Cambria"/>
          <w:i/>
          <w:iCs/>
          <w:noProof/>
          <w:sz w:val="22"/>
        </w:rPr>
        <w:t>JurnalPenelitian Pendidikan</w:t>
      </w:r>
      <w:r w:rsidRPr="001C5A19">
        <w:rPr>
          <w:rFonts w:ascii="Cambria" w:hAnsi="Cambria"/>
          <w:noProof/>
          <w:sz w:val="22"/>
        </w:rPr>
        <w:t xml:space="preserve">, </w:t>
      </w:r>
      <w:r w:rsidRPr="001C5A19">
        <w:rPr>
          <w:rFonts w:ascii="Cambria" w:hAnsi="Cambria"/>
          <w:i/>
          <w:iCs/>
          <w:noProof/>
          <w:sz w:val="22"/>
        </w:rPr>
        <w:t>2</w:t>
      </w:r>
      <w:r w:rsidRPr="001C5A19">
        <w:rPr>
          <w:rFonts w:ascii="Cambria" w:hAnsi="Cambria"/>
          <w:noProof/>
          <w:sz w:val="22"/>
        </w:rPr>
        <w:t>(13).</w:t>
      </w:r>
    </w:p>
    <w:p w14:paraId="69E21EC6"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Fani, T., &amp; Ghaemi, F. (2011). Implications of Vygotsky’s Zone of Proximal Development (ZPD) in Teacher Education: ZPTD and Self-Scaffolding. </w:t>
      </w:r>
      <w:r w:rsidRPr="001C5A19">
        <w:rPr>
          <w:rFonts w:ascii="Cambria" w:hAnsi="Cambria"/>
          <w:i/>
          <w:iCs/>
          <w:noProof/>
          <w:sz w:val="22"/>
        </w:rPr>
        <w:t>Journal Procedia-Social and Behavioral Sciences</w:t>
      </w:r>
      <w:r w:rsidRPr="001C5A19">
        <w:rPr>
          <w:rFonts w:ascii="Cambria" w:hAnsi="Cambria"/>
          <w:noProof/>
          <w:sz w:val="22"/>
        </w:rPr>
        <w:t xml:space="preserve">, </w:t>
      </w:r>
      <w:r w:rsidRPr="001C5A19">
        <w:rPr>
          <w:rFonts w:ascii="Cambria" w:hAnsi="Cambria"/>
          <w:i/>
          <w:iCs/>
          <w:noProof/>
          <w:sz w:val="22"/>
        </w:rPr>
        <w:t>29</w:t>
      </w:r>
      <w:r w:rsidRPr="001C5A19">
        <w:rPr>
          <w:rFonts w:ascii="Cambria" w:hAnsi="Cambria"/>
          <w:noProof/>
          <w:sz w:val="22"/>
        </w:rPr>
        <w:t>, 1549–1554.</w:t>
      </w:r>
    </w:p>
    <w:p w14:paraId="22C3785C"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Hake, R. R. (1999). Analyzing change/gain scores. </w:t>
      </w:r>
      <w:r w:rsidRPr="001C5A19">
        <w:rPr>
          <w:rFonts w:ascii="Cambria" w:hAnsi="Cambria"/>
          <w:i/>
          <w:iCs/>
          <w:noProof/>
          <w:sz w:val="22"/>
        </w:rPr>
        <w:t>Unpublished.[Online] URL: Http://Www. Physics. Indiana. Edu/\~ Sdi/AnalyzingChange-Gain. Pdf</w:t>
      </w:r>
      <w:r w:rsidRPr="001C5A19">
        <w:rPr>
          <w:rFonts w:ascii="Cambria" w:hAnsi="Cambria"/>
          <w:noProof/>
          <w:sz w:val="22"/>
        </w:rPr>
        <w:t xml:space="preserve">, </w:t>
      </w:r>
      <w:r w:rsidRPr="001C5A19">
        <w:rPr>
          <w:rFonts w:ascii="Cambria" w:hAnsi="Cambria"/>
          <w:i/>
          <w:iCs/>
          <w:noProof/>
          <w:sz w:val="22"/>
        </w:rPr>
        <w:t>16</w:t>
      </w:r>
      <w:r w:rsidRPr="001C5A19">
        <w:rPr>
          <w:rFonts w:ascii="Cambria" w:hAnsi="Cambria"/>
          <w:noProof/>
          <w:sz w:val="22"/>
        </w:rPr>
        <w:t>(7), 1073–1080. http://www.ncbi.nlm.nih.gov/pubmed/22025883%5Cnhttp://scholar.google.com/scholar?hl=en&amp;btnG=Search&amp;q=intitle:ANALYZING+CHANGE/GAIN+SCORES#0%5Cnhttp://scholar.google.com/scholar?hl=en&amp;btnG=Search&amp;q=intitle:Analyzing+change/gain+scores#0</w:t>
      </w:r>
    </w:p>
    <w:p w14:paraId="3FED2083"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Hasibuan, H., &amp; Irwan, M. (2014). Penerapan Metode Penemuan Terbimbing pada Pembelajaran Matematika Kelas XI IPA SMAN 1 Lubuk Alung. </w:t>
      </w:r>
      <w:r w:rsidRPr="001C5A19">
        <w:rPr>
          <w:rFonts w:ascii="Cambria" w:hAnsi="Cambria"/>
          <w:i/>
          <w:iCs/>
          <w:noProof/>
          <w:sz w:val="22"/>
        </w:rPr>
        <w:t>Jurnal Pendidikan Matematika</w:t>
      </w:r>
      <w:r w:rsidRPr="001C5A19">
        <w:rPr>
          <w:rFonts w:ascii="Cambria" w:hAnsi="Cambria"/>
          <w:noProof/>
          <w:sz w:val="22"/>
        </w:rPr>
        <w:t xml:space="preserve">, </w:t>
      </w:r>
      <w:r w:rsidRPr="001C5A19">
        <w:rPr>
          <w:rFonts w:ascii="Cambria" w:hAnsi="Cambria"/>
          <w:i/>
          <w:iCs/>
          <w:noProof/>
          <w:sz w:val="22"/>
        </w:rPr>
        <w:t>1</w:t>
      </w:r>
      <w:r w:rsidRPr="001C5A19">
        <w:rPr>
          <w:rFonts w:ascii="Cambria" w:hAnsi="Cambria"/>
          <w:noProof/>
          <w:sz w:val="22"/>
        </w:rPr>
        <w:t>(3), 38–44.</w:t>
      </w:r>
    </w:p>
    <w:p w14:paraId="0705192F"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Howell, J. B., &amp; Saye, J. W. (2017). Integrating theory and practice: Factors shaping elementary teachers</w:t>
      </w:r>
      <w:r w:rsidRPr="001C5A19">
        <w:rPr>
          <w:rFonts w:ascii="Cambria" w:hAnsi="Cambria"/>
          <w:noProof/>
          <w:sz w:val="22"/>
          <w:rtl/>
          <w:lang w:bidi="he-IL"/>
        </w:rPr>
        <w:t>׳</w:t>
      </w:r>
      <w:r w:rsidRPr="001C5A19">
        <w:rPr>
          <w:rFonts w:ascii="Cambria" w:hAnsi="Cambria"/>
          <w:noProof/>
          <w:sz w:val="22"/>
        </w:rPr>
        <w:t xml:space="preserve"> interpretation of an inquiry model for teaching social studies. </w:t>
      </w:r>
      <w:r w:rsidRPr="001C5A19">
        <w:rPr>
          <w:rFonts w:ascii="Cambria" w:hAnsi="Cambria"/>
          <w:i/>
          <w:iCs/>
          <w:noProof/>
          <w:sz w:val="22"/>
        </w:rPr>
        <w:t>The Journal of Social Studies Research</w:t>
      </w:r>
      <w:r w:rsidRPr="001C5A19">
        <w:rPr>
          <w:rFonts w:ascii="Cambria" w:hAnsi="Cambria"/>
          <w:noProof/>
          <w:sz w:val="22"/>
        </w:rPr>
        <w:t>. https://doi.org/10.1016/j.jssr.2017.04.003</w:t>
      </w:r>
    </w:p>
    <w:p w14:paraId="69A3E083"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Hsu, Y. S., Wang, C., &amp; YZhang, W. X. (2016). Supporting Technology-Enhanced Inquiry through Metacognitive and Cognitive Prompts: Sequential Analysis of Metacognitive Actions in Response to Mixed Prompts. </w:t>
      </w:r>
      <w:r w:rsidRPr="001C5A19">
        <w:rPr>
          <w:rFonts w:ascii="Cambria" w:hAnsi="Cambria"/>
          <w:i/>
          <w:iCs/>
          <w:noProof/>
          <w:sz w:val="22"/>
        </w:rPr>
        <w:t>Journal Computers in Human Behavior</w:t>
      </w:r>
      <w:r w:rsidRPr="001C5A19">
        <w:rPr>
          <w:rFonts w:ascii="Cambria" w:hAnsi="Cambria"/>
          <w:noProof/>
          <w:sz w:val="22"/>
        </w:rPr>
        <w:t>.</w:t>
      </w:r>
    </w:p>
    <w:p w14:paraId="4EE8E385"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Krathwohl, D. R. (2002). A Revision of Bloom ’ s Taxonomy : An overview. </w:t>
      </w:r>
      <w:r w:rsidRPr="001C5A19">
        <w:rPr>
          <w:rFonts w:ascii="Cambria" w:hAnsi="Cambria"/>
          <w:i/>
          <w:iCs/>
          <w:noProof/>
          <w:sz w:val="22"/>
        </w:rPr>
        <w:t>Theory Info Practice</w:t>
      </w:r>
      <w:r w:rsidRPr="001C5A19">
        <w:rPr>
          <w:rFonts w:ascii="Cambria" w:hAnsi="Cambria"/>
          <w:noProof/>
          <w:sz w:val="22"/>
        </w:rPr>
        <w:t xml:space="preserve">, </w:t>
      </w:r>
      <w:r w:rsidRPr="001C5A19">
        <w:rPr>
          <w:rFonts w:ascii="Cambria" w:hAnsi="Cambria"/>
          <w:i/>
          <w:iCs/>
          <w:noProof/>
          <w:sz w:val="22"/>
        </w:rPr>
        <w:t>41</w:t>
      </w:r>
      <w:r w:rsidRPr="001C5A19">
        <w:rPr>
          <w:rFonts w:ascii="Cambria" w:hAnsi="Cambria"/>
          <w:noProof/>
          <w:sz w:val="22"/>
        </w:rPr>
        <w:t>(4), 212–218. https://doi.org/10.1207/s15430421tip4104</w:t>
      </w:r>
    </w:p>
    <w:p w14:paraId="576D4EAA"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Lestari, &amp; Yudhanegara. (2017). </w:t>
      </w:r>
      <w:r w:rsidRPr="001C5A19">
        <w:rPr>
          <w:rFonts w:ascii="Cambria" w:hAnsi="Cambria"/>
          <w:i/>
          <w:iCs/>
          <w:noProof/>
          <w:sz w:val="22"/>
        </w:rPr>
        <w:t>Penelitian Pendidikan Matematika</w:t>
      </w:r>
      <w:r w:rsidRPr="001C5A19">
        <w:rPr>
          <w:rFonts w:ascii="Cambria" w:hAnsi="Cambria"/>
          <w:noProof/>
          <w:sz w:val="22"/>
        </w:rPr>
        <w:t>. Reflika Aditama.</w:t>
      </w:r>
    </w:p>
    <w:p w14:paraId="176FB86F"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Malasari, P. N., Herman, T., &amp; Jupri, A. (2017). The Construction of Mathematical Literacy Problems for Geometry. </w:t>
      </w:r>
      <w:r w:rsidRPr="001C5A19">
        <w:rPr>
          <w:rFonts w:ascii="Cambria" w:hAnsi="Cambria"/>
          <w:i/>
          <w:iCs/>
          <w:noProof/>
          <w:sz w:val="22"/>
        </w:rPr>
        <w:t>Journal of Physics: Conference Series</w:t>
      </w:r>
      <w:r w:rsidRPr="001C5A19">
        <w:rPr>
          <w:rFonts w:ascii="Cambria" w:hAnsi="Cambria"/>
          <w:noProof/>
          <w:sz w:val="22"/>
        </w:rPr>
        <w:t xml:space="preserve">, </w:t>
      </w:r>
      <w:r w:rsidRPr="001C5A19">
        <w:rPr>
          <w:rFonts w:ascii="Cambria" w:hAnsi="Cambria"/>
          <w:i/>
          <w:iCs/>
          <w:noProof/>
          <w:sz w:val="22"/>
        </w:rPr>
        <w:t>895</w:t>
      </w:r>
      <w:r w:rsidRPr="001C5A19">
        <w:rPr>
          <w:rFonts w:ascii="Cambria" w:hAnsi="Cambria"/>
          <w:noProof/>
          <w:sz w:val="22"/>
        </w:rPr>
        <w:t>(1). https://doi.org/10.1088/1742-6596/895/1/012071</w:t>
      </w:r>
    </w:p>
    <w:p w14:paraId="34034AA6"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Meltzer, D. . (2002). </w:t>
      </w:r>
      <w:r w:rsidRPr="001C5A19">
        <w:rPr>
          <w:rFonts w:ascii="Cambria" w:hAnsi="Cambria"/>
          <w:i/>
          <w:iCs/>
          <w:noProof/>
          <w:sz w:val="22"/>
        </w:rPr>
        <w:t>The relationship between mathematics preparation and conceptual learning gains in physics: a possible ìhidden variableî in diagnostic pretest scores</w:t>
      </w:r>
      <w:r w:rsidRPr="001C5A19">
        <w:rPr>
          <w:rFonts w:ascii="Cambria" w:hAnsi="Cambria"/>
          <w:noProof/>
          <w:sz w:val="22"/>
        </w:rPr>
        <w:t>.</w:t>
      </w:r>
    </w:p>
    <w:p w14:paraId="7D53915A"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Muhonen, H., Rasku-Puttonen, H., Pakarinen, E., Poikkeus, A. M., &amp; Lerkkanen, M. K. (2016). Scaffolding through Dialogic Teaching in Early School Classrooms. </w:t>
      </w:r>
      <w:r w:rsidRPr="001C5A19">
        <w:rPr>
          <w:rFonts w:ascii="Cambria" w:hAnsi="Cambria"/>
          <w:i/>
          <w:iCs/>
          <w:noProof/>
          <w:sz w:val="22"/>
        </w:rPr>
        <w:t>Journal Teaching and Teacher Education</w:t>
      </w:r>
      <w:r w:rsidRPr="001C5A19">
        <w:rPr>
          <w:rFonts w:ascii="Cambria" w:hAnsi="Cambria"/>
          <w:noProof/>
          <w:sz w:val="22"/>
        </w:rPr>
        <w:t xml:space="preserve">, </w:t>
      </w:r>
      <w:r w:rsidRPr="001C5A19">
        <w:rPr>
          <w:rFonts w:ascii="Cambria" w:hAnsi="Cambria"/>
          <w:i/>
          <w:iCs/>
          <w:noProof/>
          <w:sz w:val="22"/>
        </w:rPr>
        <w:t>55</w:t>
      </w:r>
      <w:r w:rsidRPr="001C5A19">
        <w:rPr>
          <w:rFonts w:ascii="Cambria" w:hAnsi="Cambria"/>
          <w:noProof/>
          <w:sz w:val="22"/>
        </w:rPr>
        <w:t>, 143–154.</w:t>
      </w:r>
    </w:p>
    <w:p w14:paraId="09FC1BBD"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(1 C.E.). PISA 2009 Results, Volume I, What students know and can do: Student performance in reading, mathematics and science. In </w:t>
      </w:r>
      <w:r w:rsidRPr="001C5A19">
        <w:rPr>
          <w:rFonts w:ascii="Cambria" w:hAnsi="Cambria"/>
          <w:i/>
          <w:iCs/>
          <w:noProof/>
          <w:sz w:val="22"/>
        </w:rPr>
        <w:t>OECD Publishing</w:t>
      </w:r>
      <w:r w:rsidRPr="001C5A19">
        <w:rPr>
          <w:rFonts w:ascii="Cambria" w:hAnsi="Cambria"/>
          <w:noProof/>
          <w:sz w:val="22"/>
        </w:rPr>
        <w:t>. OECD Publishing. http://ezproxy.lib.ucalgary.ca:2048/login?url=http://search.ebscohost.com/login.aspx?direct=true&amp;db=eric&amp;AN=ED518013&amp;site=ehost-live</w:t>
      </w:r>
    </w:p>
    <w:p w14:paraId="27C0E6D2"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(2003). The PISA 2003 Assessment Framework: Mathematics, Reading, Science and Problem Soloving Knowledge and Skills. In </w:t>
      </w:r>
      <w:r w:rsidRPr="001C5A19">
        <w:rPr>
          <w:rFonts w:ascii="Cambria" w:hAnsi="Cambria"/>
          <w:i/>
          <w:iCs/>
          <w:noProof/>
          <w:sz w:val="22"/>
        </w:rPr>
        <w:t>Oecd</w:t>
      </w:r>
      <w:r w:rsidRPr="001C5A19">
        <w:rPr>
          <w:rFonts w:ascii="Cambria" w:hAnsi="Cambria"/>
          <w:noProof/>
          <w:sz w:val="22"/>
        </w:rPr>
        <w:t>. OECD Publishing. https://doi.org/10.1787/9789264101739-en</w:t>
      </w:r>
    </w:p>
    <w:p w14:paraId="2E63D2DE"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(2007). </w:t>
      </w:r>
      <w:r w:rsidRPr="001C5A19">
        <w:rPr>
          <w:rFonts w:ascii="Cambria" w:hAnsi="Cambria"/>
          <w:i/>
          <w:iCs/>
          <w:noProof/>
          <w:sz w:val="22"/>
        </w:rPr>
        <w:t>PISA 2006: Science Competencies for Tomorrow’s World</w:t>
      </w:r>
      <w:r w:rsidRPr="001C5A19">
        <w:rPr>
          <w:rFonts w:ascii="Cambria" w:hAnsi="Cambria"/>
          <w:noProof/>
          <w:sz w:val="22"/>
        </w:rPr>
        <w:t>. OECD Publishing.</w:t>
      </w:r>
    </w:p>
    <w:p w14:paraId="469D5A8D"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(2015). </w:t>
      </w:r>
      <w:r w:rsidRPr="001C5A19">
        <w:rPr>
          <w:rFonts w:ascii="Cambria" w:hAnsi="Cambria"/>
          <w:i/>
          <w:iCs/>
          <w:noProof/>
          <w:sz w:val="22"/>
        </w:rPr>
        <w:t>PISA 2015 Draft Mathematics Framework</w:t>
      </w:r>
      <w:r w:rsidRPr="001C5A19">
        <w:rPr>
          <w:rFonts w:ascii="Cambria" w:hAnsi="Cambria"/>
          <w:noProof/>
          <w:sz w:val="22"/>
        </w:rPr>
        <w:t>.</w:t>
      </w:r>
    </w:p>
    <w:p w14:paraId="1DA7AD24"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(2016a). </w:t>
      </w:r>
      <w:r w:rsidRPr="001C5A19">
        <w:rPr>
          <w:rFonts w:ascii="Cambria" w:hAnsi="Cambria"/>
          <w:i/>
          <w:iCs/>
          <w:noProof/>
          <w:sz w:val="22"/>
        </w:rPr>
        <w:t>Assassement and Analytical framework: Mathematics, Reading, Science, Problem Solving and Financial Literacy.</w:t>
      </w:r>
      <w:r w:rsidRPr="001C5A19">
        <w:rPr>
          <w:rFonts w:ascii="Cambria" w:hAnsi="Cambria"/>
          <w:noProof/>
          <w:sz w:val="22"/>
        </w:rPr>
        <w:t xml:space="preserve"> OECD Publishing.</w:t>
      </w:r>
    </w:p>
    <w:p w14:paraId="44A9F05B"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(2016b). </w:t>
      </w:r>
      <w:r w:rsidRPr="001C5A19">
        <w:rPr>
          <w:rFonts w:ascii="Cambria" w:hAnsi="Cambria"/>
          <w:i/>
          <w:iCs/>
          <w:noProof/>
          <w:sz w:val="22"/>
        </w:rPr>
        <w:t>PISA 2015 Result and Focus</w:t>
      </w:r>
      <w:r w:rsidRPr="001C5A19">
        <w:rPr>
          <w:rFonts w:ascii="Cambria" w:hAnsi="Cambria"/>
          <w:noProof/>
          <w:sz w:val="22"/>
        </w:rPr>
        <w:t>.</w:t>
      </w:r>
    </w:p>
    <w:p w14:paraId="4676A854"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(2016c). </w:t>
      </w:r>
      <w:r w:rsidRPr="001C5A19">
        <w:rPr>
          <w:rFonts w:ascii="Cambria" w:hAnsi="Cambria"/>
          <w:i/>
          <w:iCs/>
          <w:noProof/>
          <w:sz w:val="22"/>
        </w:rPr>
        <w:t>PISA 2015 Result In Focus (Paris OECD)</w:t>
      </w:r>
      <w:r w:rsidRPr="001C5A19">
        <w:rPr>
          <w:rFonts w:ascii="Cambria" w:hAnsi="Cambria"/>
          <w:noProof/>
          <w:sz w:val="22"/>
        </w:rPr>
        <w:t>. OECD Publishing.</w:t>
      </w:r>
    </w:p>
    <w:p w14:paraId="51246D1D"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OECD. (2019). PISA 2018 insights and interpretations. In </w:t>
      </w:r>
      <w:r w:rsidRPr="001C5A19">
        <w:rPr>
          <w:rFonts w:ascii="Cambria" w:hAnsi="Cambria"/>
          <w:i/>
          <w:iCs/>
          <w:noProof/>
          <w:sz w:val="22"/>
        </w:rPr>
        <w:t>OECD Publishing</w:t>
      </w:r>
      <w:r w:rsidRPr="001C5A19">
        <w:rPr>
          <w:rFonts w:ascii="Cambria" w:hAnsi="Cambria"/>
          <w:noProof/>
          <w:sz w:val="22"/>
        </w:rPr>
        <w:t>. OECD Publishing. https://www.oecd.org/pisa/PISA 2018 Insights and Interpretations FINAL PDF.pdf</w:t>
      </w:r>
    </w:p>
    <w:p w14:paraId="7D7AE020"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Oesterdiekhoff, G. W. (2016). Is a forgotten subject central to the future development of sciences? Jean Piaget on the interrelationship between ontogeny and history. </w:t>
      </w:r>
      <w:r w:rsidRPr="001C5A19">
        <w:rPr>
          <w:rFonts w:ascii="Cambria" w:hAnsi="Cambria"/>
          <w:i/>
          <w:iCs/>
          <w:noProof/>
          <w:sz w:val="22"/>
        </w:rPr>
        <w:t>Personality and Individual Differences</w:t>
      </w:r>
      <w:r w:rsidRPr="001C5A19">
        <w:rPr>
          <w:rFonts w:ascii="Cambria" w:hAnsi="Cambria"/>
          <w:noProof/>
          <w:sz w:val="22"/>
        </w:rPr>
        <w:t xml:space="preserve">, </w:t>
      </w:r>
      <w:r w:rsidRPr="001C5A19">
        <w:rPr>
          <w:rFonts w:ascii="Cambria" w:hAnsi="Cambria"/>
          <w:i/>
          <w:iCs/>
          <w:noProof/>
          <w:sz w:val="22"/>
        </w:rPr>
        <w:t>98</w:t>
      </w:r>
      <w:r w:rsidRPr="001C5A19">
        <w:rPr>
          <w:rFonts w:ascii="Cambria" w:hAnsi="Cambria"/>
          <w:noProof/>
          <w:sz w:val="22"/>
        </w:rPr>
        <w:t>, 118–126. https://doi.org/10.1016/j.paid.2016.03.098</w:t>
      </w:r>
    </w:p>
    <w:p w14:paraId="6DF52FB9"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Ojose, B. (2011). Mathematics Literacy: Are We Able to Put the Mathematics We Learn into Everyday Use? Journal of Mathematics Education. </w:t>
      </w:r>
      <w:r w:rsidRPr="001C5A19">
        <w:rPr>
          <w:rFonts w:ascii="Cambria" w:hAnsi="Cambria"/>
          <w:i/>
          <w:iCs/>
          <w:noProof/>
          <w:sz w:val="22"/>
        </w:rPr>
        <w:t>Journal of Mathematics Education</w:t>
      </w:r>
      <w:r w:rsidRPr="001C5A19">
        <w:rPr>
          <w:rFonts w:ascii="Cambria" w:hAnsi="Cambria"/>
          <w:noProof/>
          <w:sz w:val="22"/>
        </w:rPr>
        <w:t xml:space="preserve">, </w:t>
      </w:r>
      <w:r w:rsidRPr="001C5A19">
        <w:rPr>
          <w:rFonts w:ascii="Cambria" w:hAnsi="Cambria"/>
          <w:i/>
          <w:iCs/>
          <w:noProof/>
          <w:sz w:val="22"/>
        </w:rPr>
        <w:t>41</w:t>
      </w:r>
      <w:r w:rsidRPr="001C5A19">
        <w:rPr>
          <w:rFonts w:ascii="Cambria" w:hAnsi="Cambria"/>
          <w:noProof/>
          <w:sz w:val="22"/>
        </w:rPr>
        <w:t>, 89–100.</w:t>
      </w:r>
    </w:p>
    <w:p w14:paraId="7234AF09"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i/>
          <w:iCs/>
          <w:noProof/>
          <w:sz w:val="22"/>
        </w:rPr>
        <w:t>PISA 2015 Mathematics Framework</w:t>
      </w:r>
      <w:r w:rsidRPr="001C5A19">
        <w:rPr>
          <w:rFonts w:ascii="Cambria" w:hAnsi="Cambria"/>
          <w:noProof/>
          <w:sz w:val="22"/>
        </w:rPr>
        <w:t>. (2017). OECD Publishing. https://doi.org/10.1787/9789264281820-5-en</w:t>
      </w:r>
    </w:p>
    <w:p w14:paraId="6A2BDC96"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Pujiastuti, H., Kusumah, Y. S., Sumarmo, U., &amp; Dahlan, J. A. (2014). Inquiry Co-operation Model for Enhancing Junior High School Students’ Mathematical Problems Solving Ability. </w:t>
      </w:r>
      <w:r w:rsidRPr="001C5A19">
        <w:rPr>
          <w:rFonts w:ascii="Cambria" w:hAnsi="Cambria"/>
          <w:i/>
          <w:iCs/>
          <w:noProof/>
          <w:sz w:val="22"/>
        </w:rPr>
        <w:t xml:space="preserve">Journal of </w:t>
      </w:r>
      <w:r w:rsidRPr="001C5A19">
        <w:rPr>
          <w:rFonts w:ascii="Cambria" w:hAnsi="Cambria"/>
          <w:i/>
          <w:iCs/>
          <w:noProof/>
          <w:sz w:val="22"/>
        </w:rPr>
        <w:lastRenderedPageBreak/>
        <w:t>Contemporary Educational Research</w:t>
      </w:r>
      <w:r w:rsidRPr="001C5A19">
        <w:rPr>
          <w:rFonts w:ascii="Cambria" w:hAnsi="Cambria"/>
          <w:noProof/>
          <w:sz w:val="22"/>
        </w:rPr>
        <w:t xml:space="preserve">, </w:t>
      </w:r>
      <w:r w:rsidRPr="001C5A19">
        <w:rPr>
          <w:rFonts w:ascii="Cambria" w:hAnsi="Cambria"/>
          <w:i/>
          <w:iCs/>
          <w:noProof/>
          <w:sz w:val="22"/>
        </w:rPr>
        <w:t>1</w:t>
      </w:r>
      <w:r w:rsidRPr="001C5A19">
        <w:rPr>
          <w:rFonts w:ascii="Cambria" w:hAnsi="Cambria"/>
          <w:noProof/>
          <w:sz w:val="22"/>
        </w:rPr>
        <w:t>(1), 51–60.</w:t>
      </w:r>
    </w:p>
    <w:p w14:paraId="2FBA4B1F"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Purwatiningsi, S. (2014). Penerapan Metode Penemuan Terbimbing untuk Meningkatkan Hasil Belajar Siswa pada Materi Luas Permukaan dan Volume Balok. </w:t>
      </w:r>
      <w:r w:rsidRPr="001C5A19">
        <w:rPr>
          <w:rFonts w:ascii="Cambria" w:hAnsi="Cambria"/>
          <w:i/>
          <w:iCs/>
          <w:noProof/>
          <w:sz w:val="22"/>
        </w:rPr>
        <w:t>Jurnal Elektronik Pendidikan Matematika Tadulako</w:t>
      </w:r>
      <w:r w:rsidRPr="001C5A19">
        <w:rPr>
          <w:rFonts w:ascii="Cambria" w:hAnsi="Cambria"/>
          <w:noProof/>
          <w:sz w:val="22"/>
        </w:rPr>
        <w:t xml:space="preserve">, </w:t>
      </w:r>
      <w:r w:rsidRPr="001C5A19">
        <w:rPr>
          <w:rFonts w:ascii="Cambria" w:hAnsi="Cambria"/>
          <w:i/>
          <w:iCs/>
          <w:noProof/>
          <w:sz w:val="22"/>
        </w:rPr>
        <w:t>1</w:t>
      </w:r>
      <w:r w:rsidRPr="001C5A19">
        <w:rPr>
          <w:rFonts w:ascii="Cambria" w:hAnsi="Cambria"/>
          <w:noProof/>
          <w:sz w:val="22"/>
        </w:rPr>
        <w:t>(1).</w:t>
      </w:r>
    </w:p>
    <w:p w14:paraId="18E0BBEE"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Ruseffendi, H. E. . (1991). </w:t>
      </w:r>
      <w:r w:rsidRPr="001C5A19">
        <w:rPr>
          <w:rFonts w:ascii="Cambria" w:hAnsi="Cambria"/>
          <w:i/>
          <w:iCs/>
          <w:noProof/>
          <w:sz w:val="22"/>
        </w:rPr>
        <w:t>Pengantar Kepada Membantu Guru Mengembangkan Kompetensinya dalam Pengajaran Matematika untuk Meningkatkan CBSA</w:t>
      </w:r>
      <w:r w:rsidRPr="001C5A19">
        <w:rPr>
          <w:rFonts w:ascii="Cambria" w:hAnsi="Cambria"/>
          <w:noProof/>
          <w:sz w:val="22"/>
        </w:rPr>
        <w:t>. Tarsito.</w:t>
      </w:r>
    </w:p>
    <w:p w14:paraId="009660DF"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Ruseffendi, H. E. . (2010). </w:t>
      </w:r>
      <w:r w:rsidRPr="001C5A19">
        <w:rPr>
          <w:rFonts w:ascii="Cambria" w:hAnsi="Cambria"/>
          <w:i/>
          <w:iCs/>
          <w:noProof/>
          <w:sz w:val="22"/>
        </w:rPr>
        <w:t>Dasar-Dasar Penelitian Pendidikan dan Bidang Non-Eksakta Lainnya</w:t>
      </w:r>
      <w:r w:rsidRPr="001C5A19">
        <w:rPr>
          <w:rFonts w:ascii="Cambria" w:hAnsi="Cambria"/>
          <w:noProof/>
          <w:sz w:val="22"/>
        </w:rPr>
        <w:t>. Tarsito.</w:t>
      </w:r>
    </w:p>
    <w:p w14:paraId="240F0276"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Santrock, J. W. (2014). </w:t>
      </w:r>
      <w:r w:rsidRPr="001C5A19">
        <w:rPr>
          <w:rFonts w:ascii="Cambria" w:hAnsi="Cambria"/>
          <w:i/>
          <w:iCs/>
          <w:noProof/>
          <w:sz w:val="22"/>
        </w:rPr>
        <w:t>Perkembangan Masa Hidup</w:t>
      </w:r>
      <w:r w:rsidRPr="001C5A19">
        <w:rPr>
          <w:rFonts w:ascii="Cambria" w:hAnsi="Cambria"/>
          <w:noProof/>
          <w:sz w:val="22"/>
        </w:rPr>
        <w:t>. Erlangga.</w:t>
      </w:r>
    </w:p>
    <w:p w14:paraId="6EDE2C3A"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Shooshtari, Z. G., Oshtari, Z. G., &amp; Mir, F. (2014). ZPD, Tutor; Peer Scaffolding: Sociocultural Theory in Writing Strategies Application. </w:t>
      </w:r>
      <w:r w:rsidRPr="001C5A19">
        <w:rPr>
          <w:rFonts w:ascii="Cambria" w:hAnsi="Cambria"/>
          <w:i/>
          <w:iCs/>
          <w:noProof/>
          <w:sz w:val="22"/>
        </w:rPr>
        <w:t>Journal Procedia - Social and Behavioral Sciences,</w:t>
      </w:r>
      <w:r w:rsidRPr="001C5A19">
        <w:rPr>
          <w:rFonts w:ascii="Cambria" w:hAnsi="Cambria"/>
          <w:noProof/>
          <w:sz w:val="22"/>
        </w:rPr>
        <w:t xml:space="preserve"> </w:t>
      </w:r>
      <w:r w:rsidRPr="001C5A19">
        <w:rPr>
          <w:rFonts w:ascii="Cambria" w:hAnsi="Cambria"/>
          <w:i/>
          <w:iCs/>
          <w:noProof/>
          <w:sz w:val="22"/>
        </w:rPr>
        <w:t>98</w:t>
      </w:r>
      <w:r w:rsidRPr="001C5A19">
        <w:rPr>
          <w:rFonts w:ascii="Cambria" w:hAnsi="Cambria"/>
          <w:noProof/>
          <w:sz w:val="22"/>
        </w:rPr>
        <w:t>, 1771–1776.</w:t>
      </w:r>
    </w:p>
    <w:p w14:paraId="5C539DB9"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Stiles, W. B., &amp; Caro, G. E. (2016). Exceeding the Therapeutic Zone of Proximal Development as a Clinical Error. </w:t>
      </w:r>
      <w:r w:rsidRPr="001C5A19">
        <w:rPr>
          <w:rFonts w:ascii="Cambria" w:hAnsi="Cambria"/>
          <w:i/>
          <w:iCs/>
          <w:noProof/>
          <w:sz w:val="22"/>
        </w:rPr>
        <w:t>Journal Psychotherapy</w:t>
      </w:r>
      <w:r w:rsidRPr="001C5A19">
        <w:rPr>
          <w:rFonts w:ascii="Cambria" w:hAnsi="Cambria"/>
          <w:noProof/>
          <w:sz w:val="22"/>
        </w:rPr>
        <w:t xml:space="preserve">, </w:t>
      </w:r>
      <w:r w:rsidRPr="001C5A19">
        <w:rPr>
          <w:rFonts w:ascii="Cambria" w:hAnsi="Cambria"/>
          <w:i/>
          <w:iCs/>
          <w:noProof/>
          <w:sz w:val="22"/>
        </w:rPr>
        <w:t>3</w:t>
      </w:r>
      <w:r w:rsidRPr="001C5A19">
        <w:rPr>
          <w:rFonts w:ascii="Cambria" w:hAnsi="Cambria"/>
          <w:noProof/>
          <w:sz w:val="22"/>
        </w:rPr>
        <w:t>(53), 268.</w:t>
      </w:r>
    </w:p>
    <w:p w14:paraId="0ED6B2FA"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Stoilescu, D. (2016). Aspects of Theories, Frameworks and Paradigms in Mathematics Education Research. </w:t>
      </w:r>
      <w:r w:rsidRPr="001C5A19">
        <w:rPr>
          <w:rFonts w:ascii="Cambria" w:hAnsi="Cambria"/>
          <w:i/>
          <w:iCs/>
          <w:noProof/>
          <w:sz w:val="22"/>
        </w:rPr>
        <w:t>European Journal of Science and Mathematics Education,</w:t>
      </w:r>
      <w:r w:rsidRPr="001C5A19">
        <w:rPr>
          <w:rFonts w:ascii="Cambria" w:hAnsi="Cambria"/>
          <w:noProof/>
          <w:sz w:val="22"/>
        </w:rPr>
        <w:t xml:space="preserve"> </w:t>
      </w:r>
      <w:r w:rsidRPr="001C5A19">
        <w:rPr>
          <w:rFonts w:ascii="Cambria" w:hAnsi="Cambria"/>
          <w:i/>
          <w:iCs/>
          <w:noProof/>
          <w:sz w:val="22"/>
        </w:rPr>
        <w:t>2</w:t>
      </w:r>
      <w:r w:rsidRPr="001C5A19">
        <w:rPr>
          <w:rFonts w:ascii="Cambria" w:hAnsi="Cambria"/>
          <w:noProof/>
          <w:sz w:val="22"/>
        </w:rPr>
        <w:t>(4), 140–154.</w:t>
      </w:r>
    </w:p>
    <w:p w14:paraId="5D9CE275"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Takaya, K. (2008). Jerome Bruner’s Theory of Education: From Early Bruner to Later Bruner. </w:t>
      </w:r>
      <w:r w:rsidRPr="001C5A19">
        <w:rPr>
          <w:rFonts w:ascii="Cambria" w:hAnsi="Cambria"/>
          <w:i/>
          <w:iCs/>
          <w:noProof/>
          <w:sz w:val="22"/>
        </w:rPr>
        <w:t>Journal Interchange</w:t>
      </w:r>
      <w:r w:rsidRPr="001C5A19">
        <w:rPr>
          <w:rFonts w:ascii="Cambria" w:hAnsi="Cambria"/>
          <w:noProof/>
          <w:sz w:val="22"/>
        </w:rPr>
        <w:t xml:space="preserve">, </w:t>
      </w:r>
      <w:r w:rsidRPr="001C5A19">
        <w:rPr>
          <w:rFonts w:ascii="Cambria" w:hAnsi="Cambria"/>
          <w:i/>
          <w:iCs/>
          <w:noProof/>
          <w:sz w:val="22"/>
        </w:rPr>
        <w:t>1</w:t>
      </w:r>
      <w:r w:rsidRPr="001C5A19">
        <w:rPr>
          <w:rFonts w:ascii="Cambria" w:hAnsi="Cambria"/>
          <w:noProof/>
          <w:sz w:val="22"/>
        </w:rPr>
        <w:t>(39), 1–19.</w:t>
      </w:r>
    </w:p>
    <w:p w14:paraId="66A880D6"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Wulandari, I. C., Turmudi, &amp; Hasanah, A. (2015). Studi Cross-Sectional Tingkat KemampuanLiterasiMatematisSiswaSekolahMenengahPertama di Bandung BerdasarkanPengujianSoal Pisa. </w:t>
      </w:r>
      <w:r w:rsidRPr="001C5A19">
        <w:rPr>
          <w:rFonts w:ascii="Cambria" w:hAnsi="Cambria"/>
          <w:i/>
          <w:iCs/>
          <w:noProof/>
          <w:sz w:val="22"/>
        </w:rPr>
        <w:t>JurnalLingkarWidyaiswara</w:t>
      </w:r>
      <w:r w:rsidRPr="001C5A19">
        <w:rPr>
          <w:rFonts w:ascii="Cambria" w:hAnsi="Cambria"/>
          <w:noProof/>
          <w:sz w:val="22"/>
        </w:rPr>
        <w:t xml:space="preserve">, </w:t>
      </w:r>
      <w:r w:rsidRPr="001C5A19">
        <w:rPr>
          <w:rFonts w:ascii="Cambria" w:hAnsi="Cambria"/>
          <w:i/>
          <w:iCs/>
          <w:noProof/>
          <w:sz w:val="22"/>
        </w:rPr>
        <w:t>3</w:t>
      </w:r>
      <w:r w:rsidRPr="001C5A19">
        <w:rPr>
          <w:rFonts w:ascii="Cambria" w:hAnsi="Cambria"/>
          <w:noProof/>
          <w:sz w:val="22"/>
        </w:rPr>
        <w:t>(2), 10–25.</w:t>
      </w:r>
    </w:p>
    <w:p w14:paraId="696385E1"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Yang, X. (2012). What Constitutes Good Mathematics Teaching in Mainland China: Perspectives from Nine Junior Middle School Teachers. </w:t>
      </w:r>
      <w:r w:rsidRPr="001C5A19">
        <w:rPr>
          <w:rFonts w:ascii="Cambria" w:hAnsi="Cambria"/>
          <w:i/>
          <w:iCs/>
          <w:noProof/>
          <w:sz w:val="22"/>
        </w:rPr>
        <w:t>Journal of Mathematics Education</w:t>
      </w:r>
      <w:r w:rsidRPr="001C5A19">
        <w:rPr>
          <w:rFonts w:ascii="Cambria" w:hAnsi="Cambria"/>
          <w:noProof/>
          <w:sz w:val="22"/>
        </w:rPr>
        <w:t xml:space="preserve">, </w:t>
      </w:r>
      <w:r w:rsidRPr="001C5A19">
        <w:rPr>
          <w:rFonts w:ascii="Cambria" w:hAnsi="Cambria"/>
          <w:i/>
          <w:iCs/>
          <w:noProof/>
          <w:sz w:val="22"/>
        </w:rPr>
        <w:t>1</w:t>
      </w:r>
      <w:r w:rsidRPr="001C5A19">
        <w:rPr>
          <w:rFonts w:ascii="Cambria" w:hAnsi="Cambria"/>
          <w:noProof/>
          <w:sz w:val="22"/>
        </w:rPr>
        <w:t>(5), 77–96.</w:t>
      </w:r>
    </w:p>
    <w:p w14:paraId="2A13F769" w14:textId="77777777" w:rsidR="001C5A19" w:rsidRPr="001C5A19" w:rsidRDefault="001C5A19" w:rsidP="001C5A19">
      <w:pPr>
        <w:widowControl w:val="0"/>
        <w:autoSpaceDE w:val="0"/>
        <w:autoSpaceDN w:val="0"/>
        <w:adjustRightInd w:val="0"/>
        <w:ind w:left="480" w:hanging="480"/>
        <w:rPr>
          <w:rFonts w:ascii="Cambria" w:hAnsi="Cambria"/>
          <w:noProof/>
          <w:sz w:val="22"/>
        </w:rPr>
      </w:pPr>
      <w:r w:rsidRPr="001C5A19">
        <w:rPr>
          <w:rFonts w:ascii="Cambria" w:hAnsi="Cambria"/>
          <w:noProof/>
          <w:sz w:val="22"/>
        </w:rPr>
        <w:t xml:space="preserve">Zhang, H., &amp; Whitebread, D. (2017). Linking Parental Scaffolding with Self-Regulated Learning in Chinese Kindergarten Children. </w:t>
      </w:r>
      <w:r w:rsidRPr="001C5A19">
        <w:rPr>
          <w:rFonts w:ascii="Cambria" w:hAnsi="Cambria"/>
          <w:i/>
          <w:iCs/>
          <w:noProof/>
          <w:sz w:val="22"/>
        </w:rPr>
        <w:t>Journal Learning and Instruction</w:t>
      </w:r>
      <w:r w:rsidRPr="001C5A19">
        <w:rPr>
          <w:rFonts w:ascii="Cambria" w:hAnsi="Cambria"/>
          <w:noProof/>
          <w:sz w:val="22"/>
        </w:rPr>
        <w:t xml:space="preserve">, </w:t>
      </w:r>
      <w:r w:rsidRPr="001C5A19">
        <w:rPr>
          <w:rFonts w:ascii="Cambria" w:hAnsi="Cambria"/>
          <w:i/>
          <w:iCs/>
          <w:noProof/>
          <w:sz w:val="22"/>
        </w:rPr>
        <w:t>49</w:t>
      </w:r>
      <w:r w:rsidRPr="001C5A19">
        <w:rPr>
          <w:rFonts w:ascii="Cambria" w:hAnsi="Cambria"/>
          <w:noProof/>
          <w:sz w:val="22"/>
        </w:rPr>
        <w:t>, 121–130.</w:t>
      </w:r>
    </w:p>
    <w:p w14:paraId="37E48785" w14:textId="3E9BB4AF" w:rsidR="00BB13C6" w:rsidRPr="002F5EDF" w:rsidRDefault="001C5A19" w:rsidP="002F5EDF">
      <w:pPr>
        <w:pStyle w:val="References"/>
        <w:spacing w:line="276" w:lineRule="auto"/>
        <w:rPr>
          <w:rFonts w:asciiTheme="majorHAnsi" w:hAnsiTheme="majorHAnsi"/>
          <w:b/>
          <w:color w:val="FF0000"/>
          <w:sz w:val="22"/>
          <w:szCs w:val="22"/>
        </w:rPr>
      </w:pPr>
      <w:r>
        <w:rPr>
          <w:rFonts w:asciiTheme="majorHAnsi" w:hAnsiTheme="majorHAnsi"/>
          <w:b/>
          <w:color w:val="FF0000"/>
          <w:sz w:val="22"/>
          <w:szCs w:val="22"/>
        </w:rPr>
        <w:fldChar w:fldCharType="end"/>
      </w:r>
    </w:p>
    <w:sectPr w:rsidR="00BB13C6" w:rsidRPr="002F5EDF" w:rsidSect="00AD3C84">
      <w:type w:val="continuous"/>
      <w:pgSz w:w="11906" w:h="16838" w:code="9"/>
      <w:pgMar w:top="1134" w:right="1134" w:bottom="1134" w:left="1134" w:header="851" w:footer="567" w:gutter="0"/>
      <w:cols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B8EAE" w14:textId="77777777" w:rsidR="00FB4CEE" w:rsidRDefault="00FB4CEE" w:rsidP="00A1414F">
      <w:r>
        <w:separator/>
      </w:r>
    </w:p>
  </w:endnote>
  <w:endnote w:type="continuationSeparator" w:id="0">
    <w:p w14:paraId="70C4A4F6" w14:textId="77777777" w:rsidR="00FB4CEE" w:rsidRDefault="00FB4CEE"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60824"/>
      <w:docPartObj>
        <w:docPartGallery w:val="Page Numbers (Bottom of Page)"/>
        <w:docPartUnique/>
      </w:docPartObj>
    </w:sdtPr>
    <w:sdtEndPr/>
    <w:sdtContent>
      <w:p w14:paraId="2E6DFE99" w14:textId="77777777" w:rsidR="00FB4CEE" w:rsidRDefault="00FB4CEE" w:rsidP="00427112">
        <w:pPr>
          <w:pStyle w:val="Footer"/>
          <w:jc w:val="center"/>
        </w:pPr>
      </w:p>
      <w:p w14:paraId="4CCD1007" w14:textId="77777777" w:rsidR="00FB4CEE" w:rsidRDefault="00FB4CEE" w:rsidP="0042711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AE224" w14:textId="77777777" w:rsidR="00FB4CEE" w:rsidRDefault="00FB4CEE" w:rsidP="00A1414F">
      <w:r>
        <w:separator/>
      </w:r>
    </w:p>
  </w:footnote>
  <w:footnote w:type="continuationSeparator" w:id="0">
    <w:p w14:paraId="106584C8" w14:textId="77777777" w:rsidR="00FB4CEE" w:rsidRDefault="00FB4CEE"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AC3EC" w14:textId="77777777" w:rsidR="00FB4CEE" w:rsidRPr="0077568E" w:rsidRDefault="00FB4CEE" w:rsidP="008168FA">
    <w:pPr>
      <w:pStyle w:val="Header"/>
      <w:tabs>
        <w:tab w:val="clear" w:pos="4680"/>
        <w:tab w:val="clear" w:pos="9360"/>
        <w:tab w:val="center" w:pos="5102"/>
      </w:tabs>
      <w:rPr>
        <w:rFonts w:ascii="Century Gothic" w:hAnsi="Century Gothic"/>
        <w:i/>
        <w:sz w:val="20"/>
        <w:szCs w:val="20"/>
        <w:lang w:val="en-US"/>
      </w:rPr>
    </w:pPr>
    <w:r w:rsidRPr="0000069A">
      <w:rPr>
        <w:rFonts w:ascii="Century Gothic" w:hAnsi="Century Gothic"/>
        <w:smallCaps/>
        <w:sz w:val="20"/>
        <w:szCs w:val="20"/>
        <w:lang w:val="id-ID"/>
      </w:rPr>
      <w:fldChar w:fldCharType="begin"/>
    </w:r>
    <w:r w:rsidRPr="008168FA">
      <w:rPr>
        <w:rFonts w:ascii="Century Gothic" w:hAnsi="Century Gothic"/>
        <w:smallCaps/>
        <w:sz w:val="20"/>
        <w:szCs w:val="20"/>
        <w:lang w:val="id-ID"/>
      </w:rPr>
      <w:instrText xml:space="preserve"> PAGE   \* MERGEFORMAT </w:instrText>
    </w:r>
    <w:r w:rsidRPr="0000069A">
      <w:rPr>
        <w:rFonts w:ascii="Century Gothic" w:hAnsi="Century Gothic"/>
        <w:smallCaps/>
        <w:sz w:val="20"/>
        <w:szCs w:val="20"/>
        <w:lang w:val="id-ID"/>
      </w:rPr>
      <w:fldChar w:fldCharType="separate"/>
    </w:r>
    <w:r>
      <w:rPr>
        <w:rFonts w:ascii="Century Gothic" w:hAnsi="Century Gothic"/>
        <w:smallCaps/>
        <w:noProof/>
        <w:sz w:val="20"/>
        <w:szCs w:val="20"/>
        <w:lang w:val="id-ID"/>
      </w:rPr>
      <w:t>2</w:t>
    </w:r>
    <w:r w:rsidRPr="0000069A">
      <w:rPr>
        <w:rFonts w:ascii="Century Gothic" w:hAnsi="Century Gothic"/>
        <w:smallCaps/>
        <w:noProof/>
        <w:sz w:val="20"/>
        <w:szCs w:val="20"/>
        <w:lang w:val="id-ID"/>
      </w:rPr>
      <w:fldChar w:fldCharType="end"/>
    </w:r>
    <w:r>
      <w:rPr>
        <w:rFonts w:ascii="Century Gothic" w:hAnsi="Century Gothic"/>
        <w:smallCaps/>
        <w:noProof/>
        <w:sz w:val="20"/>
        <w:szCs w:val="20"/>
        <w:lang w:val="en-US"/>
      </w:rPr>
      <w:t xml:space="preserve">| </w:t>
    </w:r>
    <w:r>
      <w:rPr>
        <w:rFonts w:ascii="Century Gothic" w:hAnsi="Century Gothic"/>
        <w:b/>
        <w:sz w:val="20"/>
        <w:szCs w:val="20"/>
      </w:rPr>
      <w:t>JTAM (</w:t>
    </w:r>
    <w:proofErr w:type="spellStart"/>
    <w:r w:rsidRPr="001903E1">
      <w:rPr>
        <w:rFonts w:ascii="Century Gothic" w:hAnsi="Century Gothic"/>
        <w:b/>
        <w:sz w:val="20"/>
        <w:szCs w:val="20"/>
      </w:rPr>
      <w:t>JurnalTeori</w:t>
    </w:r>
    <w:proofErr w:type="spellEnd"/>
    <w:r w:rsidRPr="001903E1">
      <w:rPr>
        <w:rFonts w:ascii="Century Gothic" w:hAnsi="Century Gothic"/>
        <w:b/>
        <w:sz w:val="20"/>
        <w:szCs w:val="20"/>
      </w:rPr>
      <w:t xml:space="preserve"> dan </w:t>
    </w:r>
    <w:proofErr w:type="spellStart"/>
    <w:r w:rsidRPr="001903E1">
      <w:rPr>
        <w:rFonts w:ascii="Century Gothic" w:hAnsi="Century Gothic"/>
        <w:b/>
        <w:sz w:val="20"/>
        <w:szCs w:val="20"/>
      </w:rPr>
      <w:t>AplikasiMatematika</w:t>
    </w:r>
    <w:proofErr w:type="spellEnd"/>
    <w:r>
      <w:rPr>
        <w:rFonts w:ascii="Century Gothic" w:hAnsi="Century Gothic"/>
        <w:b/>
        <w:sz w:val="20"/>
        <w:szCs w:val="20"/>
      </w:rPr>
      <w:t xml:space="preserve">)| </w:t>
    </w:r>
    <w:r w:rsidRPr="0077568E">
      <w:rPr>
        <w:rFonts w:ascii="Century Gothic" w:hAnsi="Century Gothic"/>
        <w:i/>
        <w:sz w:val="20"/>
        <w:szCs w:val="20"/>
        <w:lang w:val="id-ID"/>
      </w:rPr>
      <w:t>Vol.</w:t>
    </w:r>
    <w:r w:rsidRPr="0077568E">
      <w:rPr>
        <w:rFonts w:ascii="Century Gothic" w:hAnsi="Century Gothic"/>
        <w:i/>
        <w:sz w:val="20"/>
        <w:szCs w:val="20"/>
        <w:lang w:val="en-US"/>
      </w:rPr>
      <w:t>X</w:t>
    </w:r>
    <w:r w:rsidRPr="0077568E">
      <w:rPr>
        <w:rFonts w:ascii="Century Gothic" w:hAnsi="Century Gothic"/>
        <w:i/>
        <w:sz w:val="20"/>
        <w:szCs w:val="20"/>
        <w:lang w:val="id-ID"/>
      </w:rPr>
      <w:t>, No.</w:t>
    </w:r>
    <w:r w:rsidRPr="0077568E">
      <w:rPr>
        <w:rFonts w:ascii="Century Gothic" w:hAnsi="Century Gothic"/>
        <w:i/>
        <w:sz w:val="20"/>
        <w:szCs w:val="20"/>
        <w:lang w:val="en-US"/>
      </w:rPr>
      <w:t>X</w:t>
    </w:r>
    <w:r w:rsidRPr="0077568E">
      <w:rPr>
        <w:rFonts w:ascii="Century Gothic" w:hAnsi="Century Gothic"/>
        <w:i/>
        <w:sz w:val="20"/>
        <w:szCs w:val="20"/>
        <w:lang w:val="id-ID"/>
      </w:rPr>
      <w:t xml:space="preserve">, </w:t>
    </w:r>
    <w:r w:rsidRPr="0077568E">
      <w:rPr>
        <w:rFonts w:ascii="Century Gothic" w:hAnsi="Century Gothic"/>
        <w:i/>
        <w:sz w:val="20"/>
        <w:szCs w:val="20"/>
        <w:lang w:val="en-US"/>
      </w:rPr>
      <w:t>Month20XX</w:t>
    </w:r>
    <w:r w:rsidRPr="0077568E">
      <w:rPr>
        <w:rFonts w:ascii="Century Gothic" w:hAnsi="Century Gothic"/>
        <w:i/>
        <w:sz w:val="20"/>
        <w:szCs w:val="20"/>
        <w:lang w:val="id-ID"/>
      </w:rPr>
      <w:t xml:space="preserve">, </w:t>
    </w:r>
    <w:proofErr w:type="spellStart"/>
    <w:r w:rsidRPr="0077568E">
      <w:rPr>
        <w:rFonts w:ascii="Century Gothic" w:hAnsi="Century Gothic"/>
        <w:i/>
        <w:sz w:val="20"/>
        <w:szCs w:val="20"/>
        <w:lang w:val="en-US"/>
      </w:rPr>
      <w:t>pp.XX</w:t>
    </w:r>
    <w:proofErr w:type="spellEnd"/>
    <w:r w:rsidRPr="0077568E">
      <w:rPr>
        <w:rFonts w:ascii="Century Gothic" w:hAnsi="Century Gothic"/>
        <w:i/>
        <w:sz w:val="20"/>
        <w:szCs w:val="20"/>
        <w:lang w:val="en-US"/>
      </w:rPr>
      <w:t>-YY</w:t>
    </w:r>
    <w:r w:rsidRPr="0077568E">
      <w:rPr>
        <w:rFonts w:ascii="Century Gothic" w:hAnsi="Century Gothic"/>
        <w:i/>
        <w:sz w:val="20"/>
        <w:szCs w:val="20"/>
        <w:lang w:val="en-US"/>
      </w:rPr>
      <w:tab/>
    </w:r>
  </w:p>
  <w:p w14:paraId="61AB25E0" w14:textId="77777777" w:rsidR="00FB4CEE" w:rsidRPr="00427112" w:rsidRDefault="00FB4CEE" w:rsidP="008168FA">
    <w:pPr>
      <w:pStyle w:val="Header"/>
      <w:tabs>
        <w:tab w:val="clear" w:pos="4680"/>
        <w:tab w:val="clear" w:pos="9360"/>
        <w:tab w:val="center" w:pos="5102"/>
      </w:tabs>
      <w:rPr>
        <w:rFonts w:ascii="Century Gothic" w:hAnsi="Century Gothic"/>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E909" w14:textId="77777777" w:rsidR="00FB4CEE" w:rsidRDefault="00FB4CEE" w:rsidP="00E20C19">
    <w:pPr>
      <w:pStyle w:val="Header"/>
      <w:jc w:val="right"/>
      <w:rPr>
        <w:noProof/>
        <w:sz w:val="20"/>
        <w:szCs w:val="20"/>
      </w:rPr>
    </w:pPr>
    <w:r w:rsidRPr="001A1D29">
      <w:rPr>
        <w:smallCaps/>
        <w:sz w:val="20"/>
        <w:szCs w:val="20"/>
        <w:lang w:val="id-ID"/>
      </w:rPr>
      <w:tab/>
    </w:r>
    <w:r w:rsidRPr="001A1D29">
      <w:rPr>
        <w:smallCaps/>
        <w:sz w:val="20"/>
        <w:szCs w:val="20"/>
        <w:lang w:val="id-ID"/>
      </w:rPr>
      <w:tab/>
    </w:r>
    <w:r>
      <w:rPr>
        <w:i/>
        <w:sz w:val="20"/>
        <w:szCs w:val="20"/>
        <w:lang w:val="en-US"/>
      </w:rPr>
      <w:t>Corresponding Authors</w:t>
    </w:r>
    <w:r w:rsidRPr="001A1D29">
      <w:rPr>
        <w:i/>
        <w:sz w:val="20"/>
        <w:szCs w:val="20"/>
        <w:lang w:val="id-ID"/>
      </w:rPr>
      <w:t xml:space="preserve">, </w:t>
    </w:r>
    <w:r>
      <w:rPr>
        <w:i/>
        <w:sz w:val="20"/>
        <w:szCs w:val="20"/>
        <w:lang w:val="en-US"/>
      </w:rPr>
      <w:t>Title in5Words</w:t>
    </w:r>
    <w:r w:rsidRPr="001A1D29">
      <w:rPr>
        <w:i/>
        <w:sz w:val="20"/>
        <w:szCs w:val="20"/>
        <w:lang w:val="id-ID"/>
      </w:rPr>
      <w:t>...</w:t>
    </w:r>
    <w:r w:rsidRPr="001A1D29">
      <w:rPr>
        <w:sz w:val="20"/>
        <w:szCs w:val="20"/>
      </w:rPr>
      <w:fldChar w:fldCharType="begin"/>
    </w:r>
    <w:r w:rsidRPr="001A1D29">
      <w:rPr>
        <w:sz w:val="20"/>
        <w:szCs w:val="20"/>
      </w:rPr>
      <w:instrText xml:space="preserve"> PAGE   \* MERGEFORMAT </w:instrText>
    </w:r>
    <w:r w:rsidRPr="001A1D29">
      <w:rPr>
        <w:sz w:val="20"/>
        <w:szCs w:val="20"/>
      </w:rPr>
      <w:fldChar w:fldCharType="separate"/>
    </w:r>
    <w:r>
      <w:rPr>
        <w:noProof/>
        <w:sz w:val="20"/>
        <w:szCs w:val="20"/>
      </w:rPr>
      <w:t>3</w:t>
    </w:r>
    <w:r w:rsidRPr="001A1D29">
      <w:rPr>
        <w:noProof/>
        <w:sz w:val="20"/>
        <w:szCs w:val="20"/>
      </w:rPr>
      <w:fldChar w:fldCharType="end"/>
    </w:r>
  </w:p>
  <w:p w14:paraId="27529F77" w14:textId="77777777" w:rsidR="00FB4CEE" w:rsidRPr="001A1D29" w:rsidRDefault="00FB4CEE" w:rsidP="00E20C19">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3185" w14:textId="77777777" w:rsidR="00FB4CEE" w:rsidRPr="008168FA" w:rsidRDefault="008A061B" w:rsidP="008168FA">
    <w:pPr>
      <w:pStyle w:val="Header"/>
      <w:tabs>
        <w:tab w:val="clear" w:pos="4680"/>
        <w:tab w:val="clear" w:pos="9360"/>
        <w:tab w:val="left" w:pos="2650"/>
      </w:tabs>
    </w:pPr>
    <w:r>
      <w:rPr>
        <w:noProof/>
        <w:lang w:val="en-US" w:eastAsia="en-US"/>
      </w:rPr>
      <w:pict w14:anchorId="5C99B037">
        <v:shapetype id="_x0000_t202" coordsize="21600,21600" o:spt="202" path="m,l,21600r21600,l21600,xe">
          <v:stroke joinstyle="miter"/>
          <v:path gradientshapeok="t" o:connecttype="rect"/>
        </v:shapetype>
        <v:shape id="Text Box 7" o:spid="_x0000_s2059" type="#_x0000_t202" style="position:absolute;margin-left:50.2pt;margin-top:-3.4pt;width:219.95pt;height:59.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" strokecolor="white [3212]" strokeweight="0">
          <v:fill opacity="0"/>
          <v:textbox style="mso-next-textbox:#Text Box 7">
            <w:txbxContent>
              <w:p w14:paraId="1B63B68E" w14:textId="77777777" w:rsidR="00FB4CEE" w:rsidRPr="008118E5" w:rsidRDefault="00FB4CEE" w:rsidP="008168FA">
                <w:pPr>
                  <w:jc w:val="both"/>
                  <w:rPr>
                    <w:rFonts w:ascii="Century Gothic" w:hAnsi="Century Gothic"/>
                    <w:b/>
                    <w:sz w:val="18"/>
                    <w:szCs w:val="16"/>
                  </w:rPr>
                </w:pPr>
                <w:r>
                  <w:rPr>
                    <w:rFonts w:ascii="Century Gothic" w:hAnsi="Century Gothic"/>
                    <w:b/>
                    <w:sz w:val="18"/>
                    <w:szCs w:val="16"/>
                  </w:rPr>
                  <w:t>JTAM (</w:t>
                </w:r>
                <w:proofErr w:type="spellStart"/>
                <w:r w:rsidRPr="008118E5">
                  <w:rPr>
                    <w:rFonts w:ascii="Century Gothic" w:hAnsi="Century Gothic"/>
                    <w:b/>
                    <w:sz w:val="18"/>
                    <w:szCs w:val="16"/>
                  </w:rPr>
                  <w:t>Jurnal</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Teori</w:t>
                </w:r>
                <w:proofErr w:type="spellEnd"/>
                <w:r w:rsidRPr="008118E5">
                  <w:rPr>
                    <w:rFonts w:ascii="Century Gothic" w:hAnsi="Century Gothic"/>
                    <w:b/>
                    <w:sz w:val="18"/>
                    <w:szCs w:val="16"/>
                  </w:rPr>
                  <w:t xml:space="preserve"> dan </w:t>
                </w:r>
                <w:proofErr w:type="spellStart"/>
                <w:r w:rsidRPr="008118E5">
                  <w:rPr>
                    <w:rFonts w:ascii="Century Gothic" w:hAnsi="Century Gothic"/>
                    <w:b/>
                    <w:sz w:val="18"/>
                    <w:szCs w:val="16"/>
                  </w:rPr>
                  <w:t>Aplikasi</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Matematika</w:t>
                </w:r>
                <w:proofErr w:type="spellEnd"/>
                <w:r>
                  <w:rPr>
                    <w:rFonts w:ascii="Century Gothic" w:hAnsi="Century Gothic"/>
                    <w:b/>
                    <w:sz w:val="18"/>
                    <w:szCs w:val="16"/>
                  </w:rPr>
                  <w:t>)</w:t>
                </w:r>
              </w:p>
              <w:p w14:paraId="5B5F2F64" w14:textId="77777777" w:rsidR="00FB4CEE" w:rsidRDefault="008A061B" w:rsidP="008168FA">
                <w:pPr>
                  <w:jc w:val="both"/>
                  <w:rPr>
                    <w:rFonts w:ascii="Century" w:hAnsi="Century"/>
                    <w:sz w:val="20"/>
                  </w:rPr>
                </w:pPr>
                <w:hyperlink r:id="rId1" w:history="1">
                  <w:r w:rsidR="00FB4CEE" w:rsidRPr="008118E5">
                    <w:rPr>
                      <w:rStyle w:val="Hyperlink"/>
                      <w:rFonts w:ascii="Century" w:hAnsi="Century"/>
                      <w:sz w:val="20"/>
                    </w:rPr>
                    <w:t>http://journal.ummat.ac.id/index.php/jtam</w:t>
                  </w:r>
                </w:hyperlink>
              </w:p>
              <w:p w14:paraId="6DA9E5F1" w14:textId="77777777" w:rsidR="00FB4CEE" w:rsidRPr="008118E5" w:rsidRDefault="00FB4CEE" w:rsidP="008168FA">
                <w:pPr>
                  <w:jc w:val="both"/>
                  <w:rPr>
                    <w:rFonts w:ascii="Century" w:hAnsi="Century"/>
                    <w:sz w:val="2"/>
                    <w:szCs w:val="16"/>
                  </w:rPr>
                </w:pPr>
              </w:p>
              <w:p w14:paraId="29E74DDB" w14:textId="77777777" w:rsidR="00FB4CEE" w:rsidRPr="008118E5" w:rsidRDefault="00FB4CEE" w:rsidP="008168FA">
                <w:pPr>
                  <w:jc w:val="both"/>
                  <w:rPr>
                    <w:rFonts w:ascii="Century Gothic" w:hAnsi="Century Gothic"/>
                    <w:sz w:val="20"/>
                    <w:szCs w:val="16"/>
                  </w:rPr>
                </w:pPr>
                <w:r w:rsidRPr="008118E5">
                  <w:rPr>
                    <w:rFonts w:ascii="Century Gothic" w:hAnsi="Century Gothic"/>
                    <w:sz w:val="20"/>
                    <w:szCs w:val="16"/>
                  </w:rPr>
                  <w:t>p-ISSN 2597-7512 | e-ISSN 2614-1175</w:t>
                </w:r>
              </w:p>
              <w:p w14:paraId="29A2956A" w14:textId="77777777" w:rsidR="00FB4CEE" w:rsidRDefault="00FB4CEE" w:rsidP="008168FA">
                <w:pPr>
                  <w:jc w:val="both"/>
                  <w:rPr>
                    <w:rFonts w:ascii="Century Gothic" w:hAnsi="Century Gothic"/>
                    <w:sz w:val="18"/>
                    <w:szCs w:val="16"/>
                  </w:rPr>
                </w:pPr>
                <w:proofErr w:type="spellStart"/>
                <w:r w:rsidRPr="008118E5">
                  <w:rPr>
                    <w:rFonts w:ascii="Century Gothic" w:hAnsi="Century Gothic"/>
                    <w:sz w:val="18"/>
                    <w:szCs w:val="16"/>
                  </w:rPr>
                  <w:t>Vol.</w:t>
                </w:r>
                <w:r>
                  <w:rPr>
                    <w:rFonts w:ascii="Century Gothic" w:hAnsi="Century Gothic"/>
                    <w:sz w:val="18"/>
                    <w:szCs w:val="16"/>
                  </w:rPr>
                  <w:t>X</w:t>
                </w:r>
                <w:proofErr w:type="spellEnd"/>
                <w:r w:rsidRPr="008118E5">
                  <w:rPr>
                    <w:rFonts w:ascii="Century Gothic" w:hAnsi="Century Gothic"/>
                    <w:sz w:val="18"/>
                    <w:szCs w:val="16"/>
                  </w:rPr>
                  <w:t xml:space="preserve">, </w:t>
                </w:r>
                <w:proofErr w:type="spellStart"/>
                <w:proofErr w:type="gramStart"/>
                <w:r w:rsidRPr="008118E5">
                  <w:rPr>
                    <w:rFonts w:ascii="Century Gothic" w:hAnsi="Century Gothic"/>
                    <w:sz w:val="18"/>
                    <w:szCs w:val="16"/>
                  </w:rPr>
                  <w:t>No.</w:t>
                </w:r>
                <w:r>
                  <w:rPr>
                    <w:rFonts w:ascii="Century Gothic" w:hAnsi="Century Gothic"/>
                    <w:sz w:val="18"/>
                    <w:szCs w:val="16"/>
                  </w:rPr>
                  <w:t>Y</w:t>
                </w:r>
                <w:proofErr w:type="spellEnd"/>
                <w:proofErr w:type="gramEnd"/>
                <w:r w:rsidRPr="008118E5">
                  <w:rPr>
                    <w:rFonts w:ascii="Century Gothic" w:hAnsi="Century Gothic"/>
                    <w:sz w:val="18"/>
                    <w:szCs w:val="16"/>
                  </w:rPr>
                  <w:t xml:space="preserve">, </w:t>
                </w:r>
                <w:r>
                  <w:rPr>
                    <w:rFonts w:ascii="Century Gothic" w:hAnsi="Century Gothic"/>
                    <w:sz w:val="18"/>
                    <w:szCs w:val="16"/>
                  </w:rPr>
                  <w:t>Month  20XX, pp</w:t>
                </w:r>
                <w:r w:rsidRPr="008118E5">
                  <w:rPr>
                    <w:rFonts w:ascii="Century Gothic" w:hAnsi="Century Gothic"/>
                    <w:sz w:val="18"/>
                    <w:szCs w:val="16"/>
                  </w:rPr>
                  <w:t xml:space="preserve">. </w:t>
                </w:r>
                <w:r>
                  <w:rPr>
                    <w:rFonts w:ascii="Century Gothic" w:hAnsi="Century Gothic"/>
                    <w:sz w:val="18"/>
                    <w:szCs w:val="16"/>
                  </w:rPr>
                  <w:t>XX-YY</w:t>
                </w:r>
              </w:p>
            </w:txbxContent>
          </v:textbox>
        </v:shape>
      </w:pict>
    </w:r>
    <w:r w:rsidR="00FB4CEE">
      <w:rPr>
        <w:noProof/>
        <w:lang w:val="en-US" w:eastAsia="en-US"/>
      </w:rPr>
      <w:drawing>
        <wp:inline distT="0" distB="0" distL="0" distR="0" wp14:anchorId="0F0A0773" wp14:editId="0ECC759C">
          <wp:extent cx="688312" cy="648822"/>
          <wp:effectExtent l="0" t="0" r="0" b="0"/>
          <wp:docPr id="4" name="Picture 4" descr="C:\Users\WINDOWS 7\Pictures\Logo JTAM\JTAMIndeksasi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Logo JTAM\JTAMIndeksasi copy -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790" cy="650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3067475"/>
    <w:multiLevelType w:val="hybridMultilevel"/>
    <w:tmpl w:val="C896D02C"/>
    <w:lvl w:ilvl="0" w:tplc="9EDCEFCC">
      <w:start w:val="1"/>
      <w:numFmt w:val="decimal"/>
      <w:lvlText w:val="%1."/>
      <w:lvlJc w:val="left"/>
      <w:pPr>
        <w:ind w:left="804" w:hanging="360"/>
      </w:pPr>
      <w:rPr>
        <w:b/>
        <w:sz w:val="21"/>
        <w:szCs w:val="21"/>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15:restartNumberingAfterBreak="0">
    <w:nsid w:val="14E30AB8"/>
    <w:multiLevelType w:val="hybridMultilevel"/>
    <w:tmpl w:val="E8E4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616C4"/>
    <w:multiLevelType w:val="hybridMultilevel"/>
    <w:tmpl w:val="22208CC8"/>
    <w:lvl w:ilvl="0" w:tplc="4336F562">
      <w:start w:val="1"/>
      <w:numFmt w:val="decimal"/>
      <w:lvlText w:val="%1."/>
      <w:lvlJc w:val="left"/>
      <w:pPr>
        <w:ind w:left="1080" w:hanging="360"/>
      </w:pPr>
      <w:rPr>
        <w:b/>
        <w:sz w:val="21"/>
        <w:szCs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28273D7"/>
    <w:multiLevelType w:val="multilevel"/>
    <w:tmpl w:val="9C8E938C"/>
    <w:numStyleLink w:val="IEEEBullet1"/>
  </w:abstractNum>
  <w:abstractNum w:abstractNumId="7" w15:restartNumberingAfterBreak="0">
    <w:nsid w:val="3AE82645"/>
    <w:multiLevelType w:val="hybridMultilevel"/>
    <w:tmpl w:val="FF8AEB7C"/>
    <w:lvl w:ilvl="0" w:tplc="B0D696AA">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4C7C04C5"/>
    <w:multiLevelType w:val="hybridMultilevel"/>
    <w:tmpl w:val="0F34A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D222253"/>
    <w:multiLevelType w:val="multilevel"/>
    <w:tmpl w:val="085281CA"/>
    <w:lvl w:ilvl="0">
      <w:start w:val="1"/>
      <w:numFmt w:val="decimal"/>
      <w:lvlText w:val=""/>
      <w:lvlJc w:val="left"/>
      <w:pPr>
        <w:ind w:left="0" w:firstLine="0"/>
      </w:pPr>
      <w:rPr>
        <w:rFonts w:hint="default"/>
      </w:rPr>
    </w:lvl>
    <w:lvl w:ilvl="1">
      <w:start w:val="1"/>
      <w:numFmt w:val="decimal"/>
      <w:lvlText w:val=""/>
      <w:lvlJc w:val="left"/>
      <w:pPr>
        <w:ind w:left="0" w:firstLine="0"/>
      </w:pPr>
      <w:rPr>
        <w:rFonts w:hint="default"/>
      </w:rPr>
    </w:lvl>
    <w:lvl w:ilvl="2">
      <w:start w:val="1"/>
      <w:numFmt w:val="decimal"/>
      <w:lvlText w:val=""/>
      <w:lvlJc w:val="left"/>
      <w:pPr>
        <w:ind w:left="0" w:firstLine="0"/>
      </w:pPr>
      <w:rPr>
        <w:rFonts w:hint="default"/>
      </w:rPr>
    </w:lvl>
    <w:lvl w:ilvl="3">
      <w:start w:val="1"/>
      <w:numFmt w:val="decimal"/>
      <w:lvlText w:val="%4."/>
      <w:lvlJc w:val="left"/>
      <w:pPr>
        <w:tabs>
          <w:tab w:val="num" w:pos="360"/>
        </w:tabs>
        <w:ind w:left="360" w:hanging="360"/>
      </w:pPr>
      <w:rPr>
        <w:rFonts w:hint="default"/>
        <w:b/>
        <w:sz w:val="21"/>
        <w:szCs w:val="21"/>
      </w:rPr>
    </w:lvl>
    <w:lvl w:ilvl="4">
      <w:start w:val="1"/>
      <w:numFmt w:val="lowerLetter"/>
      <w:lvlText w:val="%5."/>
      <w:lvlJc w:val="left"/>
      <w:pPr>
        <w:tabs>
          <w:tab w:val="num" w:pos="786"/>
        </w:tabs>
        <w:ind w:left="786" w:hanging="360"/>
      </w:pPr>
      <w:rPr>
        <w:rFonts w:asciiTheme="majorHAnsi" w:hAnsiTheme="majorHAnsi" w:hint="default"/>
        <w:sz w:val="21"/>
        <w:szCs w:val="21"/>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abstractNumId w:val="10"/>
  </w:num>
  <w:num w:numId="2">
    <w:abstractNumId w:val="1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360"/>
          </w:tabs>
          <w:ind w:left="360" w:hanging="360"/>
        </w:pPr>
        <w:rPr>
          <w:rFonts w:hint="default"/>
          <w:b/>
          <w:sz w:val="21"/>
          <w:szCs w:val="21"/>
        </w:rPr>
      </w:lvl>
    </w:lvlOverride>
    <w:lvlOverride w:ilvl="4">
      <w:lvl w:ilvl="4">
        <w:start w:val="1"/>
        <w:numFmt w:val="lowerLetter"/>
        <w:lvlText w:val="%5."/>
        <w:lvlJc w:val="left"/>
        <w:pPr>
          <w:tabs>
            <w:tab w:val="num" w:pos="786"/>
          </w:tabs>
          <w:ind w:left="786" w:hanging="360"/>
        </w:pPr>
        <w:rPr>
          <w:rFonts w:asciiTheme="majorHAnsi" w:hAnsiTheme="majorHAnsi" w:hint="default"/>
          <w:sz w:val="21"/>
          <w:szCs w:val="21"/>
        </w:rPr>
      </w:lvl>
    </w:lvlOverride>
  </w:num>
  <w:num w:numId="7">
    <w:abstractNumId w:val="0"/>
  </w:num>
  <w:num w:numId="8">
    <w:abstractNumId w:val="4"/>
  </w:num>
  <w:num w:numId="9">
    <w:abstractNumId w:val="15"/>
  </w:num>
  <w:num w:numId="10">
    <w:abstractNumId w:val="5"/>
  </w:num>
  <w:num w:numId="11">
    <w:abstractNumId w:val="7"/>
  </w:num>
  <w:num w:numId="12">
    <w:abstractNumId w:val="13"/>
    <w:lvlOverride w:ilvl="0">
      <w:startOverride w:val="1"/>
    </w:lvlOverride>
  </w:num>
  <w:num w:numId="13">
    <w:abstractNumId w:val="0"/>
  </w:num>
  <w:num w:numId="14">
    <w:abstractNumId w:val="14"/>
  </w:num>
  <w:num w:numId="15">
    <w:abstractNumId w:val="9"/>
  </w:num>
  <w:num w:numId="16">
    <w:abstractNumId w:val="3"/>
  </w:num>
  <w:num w:numId="17">
    <w:abstractNumId w:val="2"/>
  </w:num>
  <w:num w:numId="18">
    <w:abstractNumId w:val="11"/>
  </w:num>
  <w:num w:numId="1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202E"/>
    <w:rsid w:val="00002AE5"/>
    <w:rsid w:val="000069C7"/>
    <w:rsid w:val="00010EDF"/>
    <w:rsid w:val="00017719"/>
    <w:rsid w:val="00020A6F"/>
    <w:rsid w:val="000227C5"/>
    <w:rsid w:val="00027F1D"/>
    <w:rsid w:val="0003296C"/>
    <w:rsid w:val="00044B1E"/>
    <w:rsid w:val="0004578F"/>
    <w:rsid w:val="00053481"/>
    <w:rsid w:val="00054421"/>
    <w:rsid w:val="00056CE7"/>
    <w:rsid w:val="00062122"/>
    <w:rsid w:val="00062E46"/>
    <w:rsid w:val="00066CB7"/>
    <w:rsid w:val="0006703C"/>
    <w:rsid w:val="00072471"/>
    <w:rsid w:val="00074AC8"/>
    <w:rsid w:val="00081408"/>
    <w:rsid w:val="00081EBE"/>
    <w:rsid w:val="00082A45"/>
    <w:rsid w:val="00085353"/>
    <w:rsid w:val="0008577D"/>
    <w:rsid w:val="00086EDC"/>
    <w:rsid w:val="00093581"/>
    <w:rsid w:val="000A010F"/>
    <w:rsid w:val="000A6695"/>
    <w:rsid w:val="000B1165"/>
    <w:rsid w:val="000B36A3"/>
    <w:rsid w:val="000B4A2C"/>
    <w:rsid w:val="000C013C"/>
    <w:rsid w:val="000C1AB8"/>
    <w:rsid w:val="000D0A8F"/>
    <w:rsid w:val="000D2D18"/>
    <w:rsid w:val="000D4841"/>
    <w:rsid w:val="000D536C"/>
    <w:rsid w:val="000D67E4"/>
    <w:rsid w:val="000E2C37"/>
    <w:rsid w:val="000E3F84"/>
    <w:rsid w:val="000E4F95"/>
    <w:rsid w:val="000F26A9"/>
    <w:rsid w:val="00103C8B"/>
    <w:rsid w:val="00103E04"/>
    <w:rsid w:val="00104C9F"/>
    <w:rsid w:val="001056DF"/>
    <w:rsid w:val="001110E6"/>
    <w:rsid w:val="00114025"/>
    <w:rsid w:val="00115691"/>
    <w:rsid w:val="0011587E"/>
    <w:rsid w:val="001160D2"/>
    <w:rsid w:val="00120373"/>
    <w:rsid w:val="001207E3"/>
    <w:rsid w:val="001218D3"/>
    <w:rsid w:val="00125158"/>
    <w:rsid w:val="001261AF"/>
    <w:rsid w:val="00131344"/>
    <w:rsid w:val="001348A5"/>
    <w:rsid w:val="0013730E"/>
    <w:rsid w:val="00140C4C"/>
    <w:rsid w:val="00140FB9"/>
    <w:rsid w:val="001428F8"/>
    <w:rsid w:val="00146992"/>
    <w:rsid w:val="0015135B"/>
    <w:rsid w:val="00151B8E"/>
    <w:rsid w:val="00153C49"/>
    <w:rsid w:val="001747C8"/>
    <w:rsid w:val="00175AFC"/>
    <w:rsid w:val="00177ADC"/>
    <w:rsid w:val="00182CE2"/>
    <w:rsid w:val="00192813"/>
    <w:rsid w:val="001928FB"/>
    <w:rsid w:val="00192BC7"/>
    <w:rsid w:val="001A1D29"/>
    <w:rsid w:val="001A50EA"/>
    <w:rsid w:val="001A6E68"/>
    <w:rsid w:val="001B3811"/>
    <w:rsid w:val="001B46B0"/>
    <w:rsid w:val="001B52EF"/>
    <w:rsid w:val="001B5783"/>
    <w:rsid w:val="001C0608"/>
    <w:rsid w:val="001C5A19"/>
    <w:rsid w:val="001D04EB"/>
    <w:rsid w:val="001D1CF2"/>
    <w:rsid w:val="001D34BD"/>
    <w:rsid w:val="001E43A6"/>
    <w:rsid w:val="001F16CD"/>
    <w:rsid w:val="001F47D2"/>
    <w:rsid w:val="001F7819"/>
    <w:rsid w:val="00201427"/>
    <w:rsid w:val="00202141"/>
    <w:rsid w:val="00207DE0"/>
    <w:rsid w:val="002202B7"/>
    <w:rsid w:val="0022285A"/>
    <w:rsid w:val="00224C61"/>
    <w:rsid w:val="00225171"/>
    <w:rsid w:val="00226AB3"/>
    <w:rsid w:val="00230E61"/>
    <w:rsid w:val="002500F1"/>
    <w:rsid w:val="00255378"/>
    <w:rsid w:val="0025575E"/>
    <w:rsid w:val="0025798B"/>
    <w:rsid w:val="0026094F"/>
    <w:rsid w:val="00271242"/>
    <w:rsid w:val="002718C7"/>
    <w:rsid w:val="0027227B"/>
    <w:rsid w:val="0027288E"/>
    <w:rsid w:val="00273AC7"/>
    <w:rsid w:val="00273D2C"/>
    <w:rsid w:val="00275BFA"/>
    <w:rsid w:val="00285ECD"/>
    <w:rsid w:val="0028667D"/>
    <w:rsid w:val="0028680C"/>
    <w:rsid w:val="00286CD6"/>
    <w:rsid w:val="00290E1B"/>
    <w:rsid w:val="00291B17"/>
    <w:rsid w:val="00292EFC"/>
    <w:rsid w:val="002A2262"/>
    <w:rsid w:val="002A2FD6"/>
    <w:rsid w:val="002A3963"/>
    <w:rsid w:val="002A4373"/>
    <w:rsid w:val="002A6742"/>
    <w:rsid w:val="002A73DB"/>
    <w:rsid w:val="002B09BC"/>
    <w:rsid w:val="002B14F1"/>
    <w:rsid w:val="002B26F1"/>
    <w:rsid w:val="002C1A7F"/>
    <w:rsid w:val="002C270E"/>
    <w:rsid w:val="002C4239"/>
    <w:rsid w:val="002C559D"/>
    <w:rsid w:val="002C67F8"/>
    <w:rsid w:val="002D1679"/>
    <w:rsid w:val="002D24B9"/>
    <w:rsid w:val="002D2D42"/>
    <w:rsid w:val="002D3DAA"/>
    <w:rsid w:val="002D68C9"/>
    <w:rsid w:val="002D7E4D"/>
    <w:rsid w:val="002E74AB"/>
    <w:rsid w:val="002F15EA"/>
    <w:rsid w:val="002F4690"/>
    <w:rsid w:val="002F5EDF"/>
    <w:rsid w:val="002F61F3"/>
    <w:rsid w:val="002F6C7B"/>
    <w:rsid w:val="002F72D0"/>
    <w:rsid w:val="002F7FAF"/>
    <w:rsid w:val="003003AB"/>
    <w:rsid w:val="00303687"/>
    <w:rsid w:val="00303AFA"/>
    <w:rsid w:val="00310DCB"/>
    <w:rsid w:val="00311C49"/>
    <w:rsid w:val="003126CD"/>
    <w:rsid w:val="0031279E"/>
    <w:rsid w:val="00315F3E"/>
    <w:rsid w:val="0032119E"/>
    <w:rsid w:val="00321304"/>
    <w:rsid w:val="0032717A"/>
    <w:rsid w:val="003303CD"/>
    <w:rsid w:val="00331F84"/>
    <w:rsid w:val="00332EA4"/>
    <w:rsid w:val="0033463E"/>
    <w:rsid w:val="003366F9"/>
    <w:rsid w:val="00353F69"/>
    <w:rsid w:val="00355B72"/>
    <w:rsid w:val="00360473"/>
    <w:rsid w:val="00360589"/>
    <w:rsid w:val="00360C6A"/>
    <w:rsid w:val="00360D09"/>
    <w:rsid w:val="003641CB"/>
    <w:rsid w:val="00366B29"/>
    <w:rsid w:val="003717D0"/>
    <w:rsid w:val="00382E62"/>
    <w:rsid w:val="00394DC4"/>
    <w:rsid w:val="003950A4"/>
    <w:rsid w:val="00397E48"/>
    <w:rsid w:val="003B2836"/>
    <w:rsid w:val="003C2005"/>
    <w:rsid w:val="003C3E37"/>
    <w:rsid w:val="003C7209"/>
    <w:rsid w:val="003D09F9"/>
    <w:rsid w:val="003D138F"/>
    <w:rsid w:val="003D3E2E"/>
    <w:rsid w:val="003D4C64"/>
    <w:rsid w:val="003E3577"/>
    <w:rsid w:val="003F3A61"/>
    <w:rsid w:val="00400DC7"/>
    <w:rsid w:val="00403498"/>
    <w:rsid w:val="00410A5D"/>
    <w:rsid w:val="00414909"/>
    <w:rsid w:val="004202C3"/>
    <w:rsid w:val="004211FE"/>
    <w:rsid w:val="004216B1"/>
    <w:rsid w:val="00425A6A"/>
    <w:rsid w:val="00426FBB"/>
    <w:rsid w:val="00427112"/>
    <w:rsid w:val="004337B8"/>
    <w:rsid w:val="00435689"/>
    <w:rsid w:val="00437E30"/>
    <w:rsid w:val="00437E48"/>
    <w:rsid w:val="0044773F"/>
    <w:rsid w:val="004501FE"/>
    <w:rsid w:val="00450CA0"/>
    <w:rsid w:val="0046428B"/>
    <w:rsid w:val="00466038"/>
    <w:rsid w:val="00471085"/>
    <w:rsid w:val="0047429A"/>
    <w:rsid w:val="004772BF"/>
    <w:rsid w:val="004778A8"/>
    <w:rsid w:val="0048374C"/>
    <w:rsid w:val="00486AE9"/>
    <w:rsid w:val="0048707A"/>
    <w:rsid w:val="0048771D"/>
    <w:rsid w:val="00487FE2"/>
    <w:rsid w:val="004A1511"/>
    <w:rsid w:val="004A6605"/>
    <w:rsid w:val="004B0DB7"/>
    <w:rsid w:val="004B36D5"/>
    <w:rsid w:val="004B519F"/>
    <w:rsid w:val="004B5BFE"/>
    <w:rsid w:val="004B7F34"/>
    <w:rsid w:val="004C2FD3"/>
    <w:rsid w:val="004C4227"/>
    <w:rsid w:val="004C45FA"/>
    <w:rsid w:val="004C4D2E"/>
    <w:rsid w:val="004D395E"/>
    <w:rsid w:val="004D6BC3"/>
    <w:rsid w:val="004D7355"/>
    <w:rsid w:val="004E1BD8"/>
    <w:rsid w:val="004E452A"/>
    <w:rsid w:val="004E4FE6"/>
    <w:rsid w:val="004E78E3"/>
    <w:rsid w:val="004F5EA9"/>
    <w:rsid w:val="005004BF"/>
    <w:rsid w:val="00502E89"/>
    <w:rsid w:val="00504748"/>
    <w:rsid w:val="00505FE2"/>
    <w:rsid w:val="0051095A"/>
    <w:rsid w:val="00510E95"/>
    <w:rsid w:val="0051451F"/>
    <w:rsid w:val="00515557"/>
    <w:rsid w:val="00521ED0"/>
    <w:rsid w:val="00522D23"/>
    <w:rsid w:val="00523350"/>
    <w:rsid w:val="00524694"/>
    <w:rsid w:val="00527D56"/>
    <w:rsid w:val="0053012F"/>
    <w:rsid w:val="00530A0F"/>
    <w:rsid w:val="0053221F"/>
    <w:rsid w:val="00536FAE"/>
    <w:rsid w:val="0054252A"/>
    <w:rsid w:val="00542C85"/>
    <w:rsid w:val="0055142F"/>
    <w:rsid w:val="00553510"/>
    <w:rsid w:val="00554186"/>
    <w:rsid w:val="00560AB2"/>
    <w:rsid w:val="005628CD"/>
    <w:rsid w:val="00564397"/>
    <w:rsid w:val="005645BF"/>
    <w:rsid w:val="0056697B"/>
    <w:rsid w:val="00576E09"/>
    <w:rsid w:val="005818EA"/>
    <w:rsid w:val="00585769"/>
    <w:rsid w:val="00591130"/>
    <w:rsid w:val="00591DB6"/>
    <w:rsid w:val="005965CC"/>
    <w:rsid w:val="005A3F28"/>
    <w:rsid w:val="005A40BE"/>
    <w:rsid w:val="005A6C73"/>
    <w:rsid w:val="005A7F4E"/>
    <w:rsid w:val="005B13E2"/>
    <w:rsid w:val="005B3934"/>
    <w:rsid w:val="005B4076"/>
    <w:rsid w:val="005B47D7"/>
    <w:rsid w:val="005B62FD"/>
    <w:rsid w:val="005C4BA9"/>
    <w:rsid w:val="005C5526"/>
    <w:rsid w:val="005C62C6"/>
    <w:rsid w:val="005D21E9"/>
    <w:rsid w:val="005D7B9E"/>
    <w:rsid w:val="005E300C"/>
    <w:rsid w:val="005E45DB"/>
    <w:rsid w:val="005E74EE"/>
    <w:rsid w:val="005F03CA"/>
    <w:rsid w:val="005F0834"/>
    <w:rsid w:val="005F6DC3"/>
    <w:rsid w:val="006017FD"/>
    <w:rsid w:val="00601A8E"/>
    <w:rsid w:val="00602488"/>
    <w:rsid w:val="006079BE"/>
    <w:rsid w:val="00617C9B"/>
    <w:rsid w:val="0062033E"/>
    <w:rsid w:val="00623F92"/>
    <w:rsid w:val="00624482"/>
    <w:rsid w:val="00630921"/>
    <w:rsid w:val="00630A4E"/>
    <w:rsid w:val="00633178"/>
    <w:rsid w:val="006343E3"/>
    <w:rsid w:val="0063726A"/>
    <w:rsid w:val="006411AE"/>
    <w:rsid w:val="00643796"/>
    <w:rsid w:val="00646737"/>
    <w:rsid w:val="0064799C"/>
    <w:rsid w:val="00654156"/>
    <w:rsid w:val="00656AEC"/>
    <w:rsid w:val="00657AE5"/>
    <w:rsid w:val="00666AA3"/>
    <w:rsid w:val="00683A5B"/>
    <w:rsid w:val="0069080D"/>
    <w:rsid w:val="006937CC"/>
    <w:rsid w:val="00694D34"/>
    <w:rsid w:val="00695864"/>
    <w:rsid w:val="006977E6"/>
    <w:rsid w:val="006A3AE1"/>
    <w:rsid w:val="006A4145"/>
    <w:rsid w:val="006B09B8"/>
    <w:rsid w:val="006B310A"/>
    <w:rsid w:val="006B47CA"/>
    <w:rsid w:val="006C7AAA"/>
    <w:rsid w:val="006D1C2A"/>
    <w:rsid w:val="006D264F"/>
    <w:rsid w:val="006D2AA0"/>
    <w:rsid w:val="006D3F45"/>
    <w:rsid w:val="006E0507"/>
    <w:rsid w:val="006E2A8D"/>
    <w:rsid w:val="006E35C8"/>
    <w:rsid w:val="006E4AB3"/>
    <w:rsid w:val="006E6B57"/>
    <w:rsid w:val="006E7574"/>
    <w:rsid w:val="006E7B22"/>
    <w:rsid w:val="006F4323"/>
    <w:rsid w:val="006F724E"/>
    <w:rsid w:val="00701D28"/>
    <w:rsid w:val="00703430"/>
    <w:rsid w:val="007069BE"/>
    <w:rsid w:val="00707835"/>
    <w:rsid w:val="007119E5"/>
    <w:rsid w:val="00711BD2"/>
    <w:rsid w:val="00711FEB"/>
    <w:rsid w:val="00721E2E"/>
    <w:rsid w:val="0072276A"/>
    <w:rsid w:val="007227F5"/>
    <w:rsid w:val="00724B17"/>
    <w:rsid w:val="0072566E"/>
    <w:rsid w:val="00733156"/>
    <w:rsid w:val="00733E74"/>
    <w:rsid w:val="0074085C"/>
    <w:rsid w:val="00745C86"/>
    <w:rsid w:val="00764603"/>
    <w:rsid w:val="0076604D"/>
    <w:rsid w:val="0077568E"/>
    <w:rsid w:val="00780330"/>
    <w:rsid w:val="00781DBA"/>
    <w:rsid w:val="007829E1"/>
    <w:rsid w:val="00784428"/>
    <w:rsid w:val="00784BFF"/>
    <w:rsid w:val="00784FCC"/>
    <w:rsid w:val="0078621C"/>
    <w:rsid w:val="00790909"/>
    <w:rsid w:val="0079301B"/>
    <w:rsid w:val="007A77C6"/>
    <w:rsid w:val="007B34E6"/>
    <w:rsid w:val="007B5A07"/>
    <w:rsid w:val="007B668E"/>
    <w:rsid w:val="007C7D51"/>
    <w:rsid w:val="007D3E71"/>
    <w:rsid w:val="007E132A"/>
    <w:rsid w:val="007E34AA"/>
    <w:rsid w:val="007E5D6A"/>
    <w:rsid w:val="007E645D"/>
    <w:rsid w:val="007F1DF2"/>
    <w:rsid w:val="007F60D4"/>
    <w:rsid w:val="007F7260"/>
    <w:rsid w:val="007F75CA"/>
    <w:rsid w:val="00801E3F"/>
    <w:rsid w:val="008068B4"/>
    <w:rsid w:val="00806F94"/>
    <w:rsid w:val="00815DBA"/>
    <w:rsid w:val="008168FA"/>
    <w:rsid w:val="00816EA9"/>
    <w:rsid w:val="00820A91"/>
    <w:rsid w:val="00821E08"/>
    <w:rsid w:val="008230F3"/>
    <w:rsid w:val="00825A13"/>
    <w:rsid w:val="00834154"/>
    <w:rsid w:val="00834EFD"/>
    <w:rsid w:val="00835767"/>
    <w:rsid w:val="0083587F"/>
    <w:rsid w:val="00841914"/>
    <w:rsid w:val="00842567"/>
    <w:rsid w:val="00842B65"/>
    <w:rsid w:val="00844B24"/>
    <w:rsid w:val="0084515F"/>
    <w:rsid w:val="00846E87"/>
    <w:rsid w:val="0084748F"/>
    <w:rsid w:val="0085092D"/>
    <w:rsid w:val="00865FB3"/>
    <w:rsid w:val="00873013"/>
    <w:rsid w:val="008746C3"/>
    <w:rsid w:val="008757E0"/>
    <w:rsid w:val="00877D4C"/>
    <w:rsid w:val="00885298"/>
    <w:rsid w:val="0089763B"/>
    <w:rsid w:val="008A061B"/>
    <w:rsid w:val="008A0B0A"/>
    <w:rsid w:val="008A1519"/>
    <w:rsid w:val="008A2479"/>
    <w:rsid w:val="008A51A3"/>
    <w:rsid w:val="008B114A"/>
    <w:rsid w:val="008B6295"/>
    <w:rsid w:val="008B6AE3"/>
    <w:rsid w:val="008D1045"/>
    <w:rsid w:val="008D75AE"/>
    <w:rsid w:val="008D78D7"/>
    <w:rsid w:val="008E0EBD"/>
    <w:rsid w:val="008E2316"/>
    <w:rsid w:val="008E5277"/>
    <w:rsid w:val="008E5996"/>
    <w:rsid w:val="008E62F2"/>
    <w:rsid w:val="008F1272"/>
    <w:rsid w:val="008F59D6"/>
    <w:rsid w:val="00901AE1"/>
    <w:rsid w:val="00901EFD"/>
    <w:rsid w:val="00904754"/>
    <w:rsid w:val="00905356"/>
    <w:rsid w:val="00906D58"/>
    <w:rsid w:val="00914838"/>
    <w:rsid w:val="00914E29"/>
    <w:rsid w:val="009205B4"/>
    <w:rsid w:val="009223D5"/>
    <w:rsid w:val="00922923"/>
    <w:rsid w:val="00932F60"/>
    <w:rsid w:val="00937F31"/>
    <w:rsid w:val="009408BA"/>
    <w:rsid w:val="00946DC6"/>
    <w:rsid w:val="009507C0"/>
    <w:rsid w:val="009537A7"/>
    <w:rsid w:val="009550E8"/>
    <w:rsid w:val="00955B59"/>
    <w:rsid w:val="009570BE"/>
    <w:rsid w:val="00962C93"/>
    <w:rsid w:val="009671E5"/>
    <w:rsid w:val="00971BB3"/>
    <w:rsid w:val="00971EBF"/>
    <w:rsid w:val="009761A6"/>
    <w:rsid w:val="00977D12"/>
    <w:rsid w:val="00984993"/>
    <w:rsid w:val="00985DB4"/>
    <w:rsid w:val="00991EED"/>
    <w:rsid w:val="00992262"/>
    <w:rsid w:val="009926BC"/>
    <w:rsid w:val="00993DEB"/>
    <w:rsid w:val="00997F50"/>
    <w:rsid w:val="009A09C7"/>
    <w:rsid w:val="009A328E"/>
    <w:rsid w:val="009A4319"/>
    <w:rsid w:val="009A4D2F"/>
    <w:rsid w:val="009A6C3F"/>
    <w:rsid w:val="009A6E9C"/>
    <w:rsid w:val="009B0A53"/>
    <w:rsid w:val="009B153A"/>
    <w:rsid w:val="009B73F2"/>
    <w:rsid w:val="009C0F83"/>
    <w:rsid w:val="009C12BD"/>
    <w:rsid w:val="009C30E3"/>
    <w:rsid w:val="009C4741"/>
    <w:rsid w:val="009C50FE"/>
    <w:rsid w:val="009D2660"/>
    <w:rsid w:val="009D34EA"/>
    <w:rsid w:val="009D3C51"/>
    <w:rsid w:val="009E16B4"/>
    <w:rsid w:val="00A03A12"/>
    <w:rsid w:val="00A03E75"/>
    <w:rsid w:val="00A04DC8"/>
    <w:rsid w:val="00A06680"/>
    <w:rsid w:val="00A11080"/>
    <w:rsid w:val="00A11D7B"/>
    <w:rsid w:val="00A12127"/>
    <w:rsid w:val="00A1414F"/>
    <w:rsid w:val="00A1532F"/>
    <w:rsid w:val="00A20553"/>
    <w:rsid w:val="00A20729"/>
    <w:rsid w:val="00A20D66"/>
    <w:rsid w:val="00A22FE0"/>
    <w:rsid w:val="00A37654"/>
    <w:rsid w:val="00A403B3"/>
    <w:rsid w:val="00A4337B"/>
    <w:rsid w:val="00A459B0"/>
    <w:rsid w:val="00A45FCE"/>
    <w:rsid w:val="00A56932"/>
    <w:rsid w:val="00A61420"/>
    <w:rsid w:val="00A64A36"/>
    <w:rsid w:val="00A7266B"/>
    <w:rsid w:val="00A75671"/>
    <w:rsid w:val="00A773CC"/>
    <w:rsid w:val="00A87305"/>
    <w:rsid w:val="00A9318B"/>
    <w:rsid w:val="00A94AC1"/>
    <w:rsid w:val="00A95B87"/>
    <w:rsid w:val="00A9735F"/>
    <w:rsid w:val="00AA5A8D"/>
    <w:rsid w:val="00AB18B7"/>
    <w:rsid w:val="00AB2575"/>
    <w:rsid w:val="00AB43DC"/>
    <w:rsid w:val="00AB5DD6"/>
    <w:rsid w:val="00AC0074"/>
    <w:rsid w:val="00AC157F"/>
    <w:rsid w:val="00AD2BAB"/>
    <w:rsid w:val="00AD335D"/>
    <w:rsid w:val="00AD3C84"/>
    <w:rsid w:val="00AD4D82"/>
    <w:rsid w:val="00AE1477"/>
    <w:rsid w:val="00AF200C"/>
    <w:rsid w:val="00AF5B48"/>
    <w:rsid w:val="00AF792B"/>
    <w:rsid w:val="00B00190"/>
    <w:rsid w:val="00B0294E"/>
    <w:rsid w:val="00B10F2B"/>
    <w:rsid w:val="00B138C3"/>
    <w:rsid w:val="00B144C6"/>
    <w:rsid w:val="00B23E27"/>
    <w:rsid w:val="00B24C52"/>
    <w:rsid w:val="00B316D9"/>
    <w:rsid w:val="00B333DE"/>
    <w:rsid w:val="00B3521D"/>
    <w:rsid w:val="00B52834"/>
    <w:rsid w:val="00B5517A"/>
    <w:rsid w:val="00B55D5E"/>
    <w:rsid w:val="00B56B16"/>
    <w:rsid w:val="00B717BA"/>
    <w:rsid w:val="00B735B0"/>
    <w:rsid w:val="00B75787"/>
    <w:rsid w:val="00B8037F"/>
    <w:rsid w:val="00B81E91"/>
    <w:rsid w:val="00B867D4"/>
    <w:rsid w:val="00B91814"/>
    <w:rsid w:val="00B92B81"/>
    <w:rsid w:val="00B94516"/>
    <w:rsid w:val="00B9550F"/>
    <w:rsid w:val="00B97AA1"/>
    <w:rsid w:val="00BA183C"/>
    <w:rsid w:val="00BA655F"/>
    <w:rsid w:val="00BA665D"/>
    <w:rsid w:val="00BA7955"/>
    <w:rsid w:val="00BB0AC0"/>
    <w:rsid w:val="00BB13C6"/>
    <w:rsid w:val="00BB2855"/>
    <w:rsid w:val="00BB3407"/>
    <w:rsid w:val="00BB738A"/>
    <w:rsid w:val="00BC57FF"/>
    <w:rsid w:val="00BC6B25"/>
    <w:rsid w:val="00BC7909"/>
    <w:rsid w:val="00BC7E86"/>
    <w:rsid w:val="00BD19C1"/>
    <w:rsid w:val="00BD25B8"/>
    <w:rsid w:val="00BD34C2"/>
    <w:rsid w:val="00BD5E85"/>
    <w:rsid w:val="00BE3C75"/>
    <w:rsid w:val="00BE6F8C"/>
    <w:rsid w:val="00BF097D"/>
    <w:rsid w:val="00BF1228"/>
    <w:rsid w:val="00BF4618"/>
    <w:rsid w:val="00C0011E"/>
    <w:rsid w:val="00C012E1"/>
    <w:rsid w:val="00C029BD"/>
    <w:rsid w:val="00C06BB4"/>
    <w:rsid w:val="00C10D20"/>
    <w:rsid w:val="00C12AC4"/>
    <w:rsid w:val="00C12E0C"/>
    <w:rsid w:val="00C14968"/>
    <w:rsid w:val="00C21916"/>
    <w:rsid w:val="00C25D68"/>
    <w:rsid w:val="00C2650B"/>
    <w:rsid w:val="00C32E48"/>
    <w:rsid w:val="00C457CA"/>
    <w:rsid w:val="00C500EF"/>
    <w:rsid w:val="00C50BA0"/>
    <w:rsid w:val="00C52304"/>
    <w:rsid w:val="00C553C1"/>
    <w:rsid w:val="00C57349"/>
    <w:rsid w:val="00C57FB7"/>
    <w:rsid w:val="00C62CEB"/>
    <w:rsid w:val="00C65F3F"/>
    <w:rsid w:val="00C72414"/>
    <w:rsid w:val="00C73707"/>
    <w:rsid w:val="00C8667B"/>
    <w:rsid w:val="00C86750"/>
    <w:rsid w:val="00C91EF5"/>
    <w:rsid w:val="00C9234E"/>
    <w:rsid w:val="00C93BB2"/>
    <w:rsid w:val="00C94402"/>
    <w:rsid w:val="00C94817"/>
    <w:rsid w:val="00C9683E"/>
    <w:rsid w:val="00CA2A24"/>
    <w:rsid w:val="00CA4CE3"/>
    <w:rsid w:val="00CA51F4"/>
    <w:rsid w:val="00CA5B49"/>
    <w:rsid w:val="00CB1354"/>
    <w:rsid w:val="00CB19D8"/>
    <w:rsid w:val="00CB60BA"/>
    <w:rsid w:val="00CB65CB"/>
    <w:rsid w:val="00CC131B"/>
    <w:rsid w:val="00CC75C0"/>
    <w:rsid w:val="00CD23EF"/>
    <w:rsid w:val="00CD4F3F"/>
    <w:rsid w:val="00CE34BC"/>
    <w:rsid w:val="00CE562B"/>
    <w:rsid w:val="00CF6E84"/>
    <w:rsid w:val="00CF75F6"/>
    <w:rsid w:val="00D00025"/>
    <w:rsid w:val="00D03A46"/>
    <w:rsid w:val="00D05BEA"/>
    <w:rsid w:val="00D150AD"/>
    <w:rsid w:val="00D17D7F"/>
    <w:rsid w:val="00D2480A"/>
    <w:rsid w:val="00D305E5"/>
    <w:rsid w:val="00D30F2D"/>
    <w:rsid w:val="00D311F8"/>
    <w:rsid w:val="00D36B52"/>
    <w:rsid w:val="00D3708C"/>
    <w:rsid w:val="00D377C8"/>
    <w:rsid w:val="00D37FE2"/>
    <w:rsid w:val="00D41274"/>
    <w:rsid w:val="00D43BF3"/>
    <w:rsid w:val="00D47EA8"/>
    <w:rsid w:val="00D50D14"/>
    <w:rsid w:val="00D57413"/>
    <w:rsid w:val="00D5746B"/>
    <w:rsid w:val="00D60CD8"/>
    <w:rsid w:val="00D67306"/>
    <w:rsid w:val="00D677E9"/>
    <w:rsid w:val="00D75021"/>
    <w:rsid w:val="00D767BB"/>
    <w:rsid w:val="00D8752A"/>
    <w:rsid w:val="00D92681"/>
    <w:rsid w:val="00D939B0"/>
    <w:rsid w:val="00D958E2"/>
    <w:rsid w:val="00DB16E0"/>
    <w:rsid w:val="00DB2DF9"/>
    <w:rsid w:val="00DB383B"/>
    <w:rsid w:val="00DB7E63"/>
    <w:rsid w:val="00DC2055"/>
    <w:rsid w:val="00DC41E2"/>
    <w:rsid w:val="00DC563F"/>
    <w:rsid w:val="00DD16DC"/>
    <w:rsid w:val="00DD18AF"/>
    <w:rsid w:val="00DD71E8"/>
    <w:rsid w:val="00DD7F83"/>
    <w:rsid w:val="00DE17D6"/>
    <w:rsid w:val="00DE335E"/>
    <w:rsid w:val="00DF1B93"/>
    <w:rsid w:val="00DF44EA"/>
    <w:rsid w:val="00DF68F5"/>
    <w:rsid w:val="00DF6A46"/>
    <w:rsid w:val="00DF7CA2"/>
    <w:rsid w:val="00E00B83"/>
    <w:rsid w:val="00E0641E"/>
    <w:rsid w:val="00E06664"/>
    <w:rsid w:val="00E11080"/>
    <w:rsid w:val="00E135B9"/>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53106"/>
    <w:rsid w:val="00E53721"/>
    <w:rsid w:val="00E6457D"/>
    <w:rsid w:val="00E65018"/>
    <w:rsid w:val="00E678CD"/>
    <w:rsid w:val="00E70EE3"/>
    <w:rsid w:val="00E72A45"/>
    <w:rsid w:val="00E72D69"/>
    <w:rsid w:val="00E7329A"/>
    <w:rsid w:val="00E7529B"/>
    <w:rsid w:val="00E8135E"/>
    <w:rsid w:val="00E82706"/>
    <w:rsid w:val="00E8787B"/>
    <w:rsid w:val="00E94339"/>
    <w:rsid w:val="00E97563"/>
    <w:rsid w:val="00EA2E3F"/>
    <w:rsid w:val="00EB0353"/>
    <w:rsid w:val="00EB0B63"/>
    <w:rsid w:val="00EB2163"/>
    <w:rsid w:val="00EC1C35"/>
    <w:rsid w:val="00EC246A"/>
    <w:rsid w:val="00EC265C"/>
    <w:rsid w:val="00EC2D7F"/>
    <w:rsid w:val="00EC2DD7"/>
    <w:rsid w:val="00EC65B7"/>
    <w:rsid w:val="00ED25B0"/>
    <w:rsid w:val="00ED61CB"/>
    <w:rsid w:val="00ED711E"/>
    <w:rsid w:val="00EE4353"/>
    <w:rsid w:val="00EF1DE7"/>
    <w:rsid w:val="00EF2488"/>
    <w:rsid w:val="00EF290B"/>
    <w:rsid w:val="00EF3452"/>
    <w:rsid w:val="00EF61AD"/>
    <w:rsid w:val="00F0600D"/>
    <w:rsid w:val="00F062D8"/>
    <w:rsid w:val="00F06A72"/>
    <w:rsid w:val="00F06C6A"/>
    <w:rsid w:val="00F1242E"/>
    <w:rsid w:val="00F136F0"/>
    <w:rsid w:val="00F20BBB"/>
    <w:rsid w:val="00F20DCD"/>
    <w:rsid w:val="00F219CD"/>
    <w:rsid w:val="00F22C0B"/>
    <w:rsid w:val="00F34AE2"/>
    <w:rsid w:val="00F359FA"/>
    <w:rsid w:val="00F41BED"/>
    <w:rsid w:val="00F4394A"/>
    <w:rsid w:val="00F43BD8"/>
    <w:rsid w:val="00F55879"/>
    <w:rsid w:val="00F562F3"/>
    <w:rsid w:val="00F57140"/>
    <w:rsid w:val="00F66CC2"/>
    <w:rsid w:val="00F67BC3"/>
    <w:rsid w:val="00F70782"/>
    <w:rsid w:val="00F73EC9"/>
    <w:rsid w:val="00F74B89"/>
    <w:rsid w:val="00F75133"/>
    <w:rsid w:val="00F80742"/>
    <w:rsid w:val="00F83116"/>
    <w:rsid w:val="00F85074"/>
    <w:rsid w:val="00F85303"/>
    <w:rsid w:val="00F870D3"/>
    <w:rsid w:val="00F87656"/>
    <w:rsid w:val="00F93767"/>
    <w:rsid w:val="00F96D95"/>
    <w:rsid w:val="00FA30B6"/>
    <w:rsid w:val="00FA3899"/>
    <w:rsid w:val="00FA4909"/>
    <w:rsid w:val="00FA4CF1"/>
    <w:rsid w:val="00FA5A26"/>
    <w:rsid w:val="00FA6751"/>
    <w:rsid w:val="00FA7575"/>
    <w:rsid w:val="00FB1048"/>
    <w:rsid w:val="00FB3938"/>
    <w:rsid w:val="00FB4CEE"/>
    <w:rsid w:val="00FB62C4"/>
    <w:rsid w:val="00FB7701"/>
    <w:rsid w:val="00FC2DF1"/>
    <w:rsid w:val="00FD0B66"/>
    <w:rsid w:val="00FD15E7"/>
    <w:rsid w:val="00FD1AC5"/>
    <w:rsid w:val="00FD3D75"/>
    <w:rsid w:val="00FD50AD"/>
    <w:rsid w:val="00FD549E"/>
    <w:rsid w:val="00FD5CF0"/>
    <w:rsid w:val="00FE61AD"/>
    <w:rsid w:val="00FF04CE"/>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v:fill color="white"/>
    </o:shapedefaults>
    <o:shapelayout v:ext="edit">
      <o:idmap v:ext="edit" data="1"/>
      <o:rules v:ext="edit">
        <o:r id="V:Rule10" type="connector" idref="#Straight Arrow Connector 59"/>
        <o:r id="V:Rule11" type="connector" idref="#Straight Arrow Connector 1"/>
        <o:r id="V:Rule12" type="connector" idref="#Straight Arrow Connector 66"/>
        <o:r id="V:Rule13" type="connector" idref="#Straight Arrow Connector 63"/>
        <o:r id="V:Rule14" type="connector" idref="#Straight Arrow Connector 68"/>
        <o:r id="V:Rule15" type="connector" idref="#Straight Arrow Connector 62"/>
        <o:r id="V:Rule16" type="connector" idref="#Straight Arrow Connector 61"/>
        <o:r id="V:Rule17" type="connector" idref="#Straight Arrow Connector 70"/>
        <o:r id="V:Rule18" type="connector" idref="#Straight Arrow Connector 58"/>
      </o:rules>
    </o:shapelayout>
  </w:shapeDefaults>
  <w:decimalSymbol w:val="."/>
  <w:listSeparator w:val=","/>
  <w14:docId w14:val="543EC106"/>
  <w15:docId w15:val="{56E848B5-634F-4AAF-82B2-D6344B8E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Strong">
    <w:name w:val="Strong"/>
    <w:basedOn w:val="DefaultParagraphFont"/>
    <w:uiPriority w:val="22"/>
    <w:qFormat/>
    <w:rsid w:val="00ED711E"/>
    <w:rPr>
      <w:b/>
      <w:bCs/>
    </w:rPr>
  </w:style>
  <w:style w:type="character" w:customStyle="1" w:styleId="ListParagraphChar">
    <w:name w:val="List Paragraph Char"/>
    <w:basedOn w:val="DefaultParagraphFont"/>
    <w:link w:val="ListParagraph"/>
    <w:uiPriority w:val="34"/>
    <w:locked/>
    <w:rsid w:val="008E62F2"/>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555412">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31764/jtam.vXiY.ZZZ"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2.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image" Target="media/image11.emf"/><Relationship Id="rId10" Type="http://schemas.openxmlformats.org/officeDocument/2006/relationships/header" Target="header3.xml"/><Relationship Id="rId19" Type="http://schemas.openxmlformats.org/officeDocument/2006/relationships/image" Target="media/image7.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chart" Target="charts/chart1.xml"/><Relationship Id="rId30" Type="http://schemas.openxmlformats.org/officeDocument/2006/relationships/image" Target="media/image13.jpeg"/><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journal.ummat.ac.id/index.php/jta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mj-lt"/>
                <a:cs typeface="Times New Roman" panose="02020603050405020304" pitchFamily="18" charset="0"/>
              </a:rPr>
              <a:t>Percentage</a:t>
            </a:r>
            <a:r>
              <a:rPr lang="en-US" sz="1100" b="1" baseline="0">
                <a:solidFill>
                  <a:sysClr val="windowText" lastClr="000000"/>
                </a:solidFill>
                <a:latin typeface="+mj-lt"/>
                <a:cs typeface="Times New Roman" panose="02020603050405020304" pitchFamily="18" charset="0"/>
              </a:rPr>
              <a:t> of Mathematical Literacy Proficiency Achievement</a:t>
            </a:r>
            <a:endParaRPr lang="en-US" sz="1100" b="1" i="0" baseline="0">
              <a:solidFill>
                <a:sysClr val="windowText" lastClr="000000"/>
              </a:solidFill>
              <a:latin typeface="+mj-lt"/>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ICM Learning</c:v>
                </c:pt>
              </c:strCache>
            </c:strRef>
          </c:tx>
          <c:spPr>
            <a:pattFill prst="diagBrick">
              <a:fgClr>
                <a:schemeClr val="accent1"/>
              </a:fgClr>
              <a:bgClr>
                <a:schemeClr val="bg1"/>
              </a:bgClr>
            </a:pattFill>
            <a:ln>
              <a:solidFill>
                <a:srgbClr val="002060"/>
              </a:solidFill>
            </a:ln>
            <a:effectLst/>
          </c:spPr>
          <c:invertIfNegative val="0"/>
          <c:cat>
            <c:numRef>
              <c:f>Sheet1!$A$2:$A$7</c:f>
              <c:numCache>
                <c:formatCode>General</c:formatCode>
                <c:ptCount val="6"/>
                <c:pt idx="0">
                  <c:v>1</c:v>
                </c:pt>
                <c:pt idx="1">
                  <c:v>2</c:v>
                </c:pt>
                <c:pt idx="2">
                  <c:v>3</c:v>
                </c:pt>
                <c:pt idx="3">
                  <c:v>4</c:v>
                </c:pt>
                <c:pt idx="4">
                  <c:v>5</c:v>
                </c:pt>
                <c:pt idx="5">
                  <c:v>6</c:v>
                </c:pt>
              </c:numCache>
            </c:numRef>
          </c:cat>
          <c:val>
            <c:numRef>
              <c:f>Sheet1!$B$2:$B$7</c:f>
              <c:numCache>
                <c:formatCode>0.00%</c:formatCode>
                <c:ptCount val="6"/>
                <c:pt idx="0">
                  <c:v>0.93330000000000002</c:v>
                </c:pt>
                <c:pt idx="1">
                  <c:v>0.87139999999999995</c:v>
                </c:pt>
                <c:pt idx="2" formatCode="0%">
                  <c:v>0.85000000000000064</c:v>
                </c:pt>
                <c:pt idx="3">
                  <c:v>0.65710000000000113</c:v>
                </c:pt>
                <c:pt idx="4">
                  <c:v>0.53879999999999995</c:v>
                </c:pt>
                <c:pt idx="5">
                  <c:v>0.1971</c:v>
                </c:pt>
              </c:numCache>
            </c:numRef>
          </c:val>
          <c:extLst>
            <c:ext xmlns:c16="http://schemas.microsoft.com/office/drawing/2014/chart" uri="{C3380CC4-5D6E-409C-BE32-E72D297353CC}">
              <c16:uniqueId val="{00000000-BF05-4685-A182-FD3284097266}"/>
            </c:ext>
          </c:extLst>
        </c:ser>
        <c:ser>
          <c:idx val="1"/>
          <c:order val="1"/>
          <c:tx>
            <c:strRef>
              <c:f>Sheet1!$C$1</c:f>
              <c:strCache>
                <c:ptCount val="1"/>
                <c:pt idx="0">
                  <c:v>Conventional Learning</c:v>
                </c:pt>
              </c:strCache>
            </c:strRef>
          </c:tx>
          <c:spPr>
            <a:pattFill prst="pct10">
              <a:fgClr>
                <a:srgbClr val="FF0000"/>
              </a:fgClr>
              <a:bgClr>
                <a:schemeClr val="bg1"/>
              </a:bgClr>
            </a:pattFill>
            <a:ln>
              <a:solidFill>
                <a:srgbClr val="C00000"/>
              </a:solidFill>
            </a:ln>
            <a:effectLst/>
          </c:spPr>
          <c:invertIfNegative val="0"/>
          <c:cat>
            <c:numRef>
              <c:f>Sheet1!$A$2:$A$7</c:f>
              <c:numCache>
                <c:formatCode>General</c:formatCode>
                <c:ptCount val="6"/>
                <c:pt idx="0">
                  <c:v>1</c:v>
                </c:pt>
                <c:pt idx="1">
                  <c:v>2</c:v>
                </c:pt>
                <c:pt idx="2">
                  <c:v>3</c:v>
                </c:pt>
                <c:pt idx="3">
                  <c:v>4</c:v>
                </c:pt>
                <c:pt idx="4">
                  <c:v>5</c:v>
                </c:pt>
                <c:pt idx="5">
                  <c:v>6</c:v>
                </c:pt>
              </c:numCache>
            </c:numRef>
          </c:cat>
          <c:val>
            <c:numRef>
              <c:f>Sheet1!$C$2:$C$7</c:f>
              <c:numCache>
                <c:formatCode>0.00%</c:formatCode>
                <c:ptCount val="6"/>
                <c:pt idx="0">
                  <c:v>0.83800000000000063</c:v>
                </c:pt>
                <c:pt idx="1">
                  <c:v>0.73570000000000113</c:v>
                </c:pt>
                <c:pt idx="2">
                  <c:v>0.81430000000000002</c:v>
                </c:pt>
                <c:pt idx="3">
                  <c:v>0.54690000000000005</c:v>
                </c:pt>
                <c:pt idx="4">
                  <c:v>0.3347000000000005</c:v>
                </c:pt>
                <c:pt idx="5">
                  <c:v>0.15140000000000031</c:v>
                </c:pt>
              </c:numCache>
            </c:numRef>
          </c:val>
          <c:extLst>
            <c:ext xmlns:c16="http://schemas.microsoft.com/office/drawing/2014/chart" uri="{C3380CC4-5D6E-409C-BE32-E72D297353CC}">
              <c16:uniqueId val="{00000001-BF05-4685-A182-FD3284097266}"/>
            </c:ext>
          </c:extLst>
        </c:ser>
        <c:dLbls>
          <c:showLegendKey val="0"/>
          <c:showVal val="0"/>
          <c:showCatName val="0"/>
          <c:showSerName val="0"/>
          <c:showPercent val="0"/>
          <c:showBubbleSize val="0"/>
        </c:dLbls>
        <c:gapWidth val="150"/>
        <c:axId val="83704832"/>
        <c:axId val="86999424"/>
      </c:barChart>
      <c:catAx>
        <c:axId val="837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999424"/>
        <c:crosses val="autoZero"/>
        <c:auto val="1"/>
        <c:lblAlgn val="ctr"/>
        <c:lblOffset val="100"/>
        <c:noMultiLvlLbl val="0"/>
      </c:catAx>
      <c:valAx>
        <c:axId val="8699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mj-lt"/>
                    <a:cs typeface="Times New Roman" panose="02020603050405020304" pitchFamily="18" charset="0"/>
                  </a:rPr>
                  <a:t>Percentage</a:t>
                </a:r>
              </a:p>
            </c:rich>
          </c:tx>
          <c:layout>
            <c:manualLayout>
              <c:xMode val="edge"/>
              <c:yMode val="edge"/>
              <c:x val="0.10689170182841194"/>
              <c:y val="0.3486343359023593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704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F4E27-5BED-43D8-8A07-A77DFFE5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13</Pages>
  <Words>12818</Words>
  <Characters>73065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85712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asus</cp:lastModifiedBy>
  <cp:revision>280</cp:revision>
  <cp:lastPrinted>2017-04-18T03:46:00Z</cp:lastPrinted>
  <dcterms:created xsi:type="dcterms:W3CDTF">2013-02-05T02:20:00Z</dcterms:created>
  <dcterms:modified xsi:type="dcterms:W3CDTF">2020-03-04T14:26:00Z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e90c44e4-a3ab-35cf-a5c1-656e704f4b02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