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21A4"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49EA4999" w14:textId="573ED822" w:rsidR="00D41274" w:rsidRPr="007855B5" w:rsidRDefault="0032542A" w:rsidP="0032542A">
      <w:pPr>
        <w:pStyle w:val="IEEETitle"/>
        <w:tabs>
          <w:tab w:val="left" w:pos="1014"/>
          <w:tab w:val="center" w:pos="5017"/>
        </w:tabs>
        <w:spacing w:after="240"/>
        <w:rPr>
          <w:rFonts w:asciiTheme="majorHAnsi" w:hAnsiTheme="majorHAnsi"/>
          <w:b/>
          <w:sz w:val="34"/>
          <w:szCs w:val="34"/>
          <w:lang w:val="en-US"/>
        </w:rPr>
      </w:pPr>
      <w:r>
        <w:rPr>
          <w:rStyle w:val="shorttext"/>
          <w:rFonts w:asciiTheme="majorHAnsi" w:hAnsiTheme="majorHAnsi"/>
          <w:b/>
          <w:sz w:val="34"/>
          <w:szCs w:val="34"/>
          <w:shd w:val="clear" w:color="auto" w:fill="FFFFFF"/>
          <w:lang w:val="en-US"/>
        </w:rPr>
        <w:t xml:space="preserve">A framework for </w:t>
      </w:r>
      <w:r w:rsidR="008F4BD0">
        <w:rPr>
          <w:rStyle w:val="shorttext"/>
          <w:rFonts w:asciiTheme="majorHAnsi" w:hAnsiTheme="majorHAnsi"/>
          <w:b/>
          <w:sz w:val="34"/>
          <w:szCs w:val="34"/>
          <w:shd w:val="clear" w:color="auto" w:fill="FFFFFF"/>
          <w:lang w:val="en-US"/>
        </w:rPr>
        <w:t>assessing</w:t>
      </w:r>
      <w:r>
        <w:rPr>
          <w:rStyle w:val="shorttext"/>
          <w:rFonts w:asciiTheme="majorHAnsi" w:hAnsiTheme="majorHAnsi"/>
          <w:b/>
          <w:sz w:val="34"/>
          <w:szCs w:val="34"/>
          <w:shd w:val="clear" w:color="auto" w:fill="FFFFFF"/>
          <w:lang w:val="en-US"/>
        </w:rPr>
        <w:t xml:space="preserve"> translation among multiple representations</w:t>
      </w:r>
    </w:p>
    <w:p w14:paraId="3C165530" w14:textId="77777777" w:rsidR="005B3934" w:rsidRPr="000D2D1A" w:rsidRDefault="007D44B3" w:rsidP="005B3934">
      <w:pPr>
        <w:jc w:val="center"/>
        <w:rPr>
          <w:rFonts w:asciiTheme="majorHAnsi" w:hAnsiTheme="majorHAnsi"/>
          <w:b/>
          <w:bCs/>
          <w:sz w:val="22"/>
          <w:szCs w:val="22"/>
        </w:rPr>
      </w:pPr>
      <w:r>
        <w:rPr>
          <w:rFonts w:asciiTheme="majorHAnsi" w:hAnsiTheme="majorHAnsi"/>
          <w:b/>
          <w:bCs/>
          <w:sz w:val="22"/>
          <w:szCs w:val="22"/>
          <w:lang w:val="en-US"/>
        </w:rPr>
        <w:t>Parhaini Andriani</w:t>
      </w:r>
      <w:r w:rsidR="00AB2575" w:rsidRPr="007855B5">
        <w:rPr>
          <w:rFonts w:asciiTheme="majorHAnsi" w:hAnsiTheme="majorHAnsi"/>
          <w:b/>
          <w:bCs/>
          <w:sz w:val="22"/>
          <w:szCs w:val="22"/>
          <w:vertAlign w:val="superscript"/>
          <w:lang w:val="en-US"/>
        </w:rPr>
        <w:t>1</w:t>
      </w:r>
      <w:r w:rsidR="005B3934" w:rsidRPr="007855B5">
        <w:rPr>
          <w:rFonts w:asciiTheme="majorHAnsi" w:hAnsiTheme="majorHAnsi"/>
          <w:b/>
          <w:bCs/>
          <w:sz w:val="22"/>
          <w:szCs w:val="22"/>
          <w:lang w:val="id-ID"/>
        </w:rPr>
        <w:t xml:space="preserve">, </w:t>
      </w:r>
      <w:r>
        <w:rPr>
          <w:rFonts w:asciiTheme="majorHAnsi" w:hAnsiTheme="majorHAnsi"/>
          <w:b/>
          <w:bCs/>
          <w:sz w:val="22"/>
          <w:szCs w:val="22"/>
          <w:lang w:val="en-US"/>
        </w:rPr>
        <w:t>Kiki Riska Ayu Kurniawati</w:t>
      </w:r>
      <w:r w:rsidR="000D2D1A">
        <w:rPr>
          <w:rFonts w:asciiTheme="majorHAnsi" w:hAnsiTheme="majorHAnsi"/>
          <w:b/>
          <w:bCs/>
          <w:sz w:val="22"/>
          <w:szCs w:val="22"/>
          <w:vertAlign w:val="superscript"/>
          <w:lang w:val="en-US"/>
        </w:rPr>
        <w:t>2</w:t>
      </w:r>
      <w:r w:rsidR="000D2D1A">
        <w:rPr>
          <w:rFonts w:asciiTheme="majorHAnsi" w:hAnsiTheme="majorHAnsi"/>
          <w:b/>
          <w:bCs/>
          <w:sz w:val="22"/>
          <w:szCs w:val="22"/>
          <w:lang w:val="en-US"/>
        </w:rPr>
        <w:t>, Dona Afriyani</w:t>
      </w:r>
      <w:r w:rsidR="000D2D1A">
        <w:rPr>
          <w:rFonts w:asciiTheme="majorHAnsi" w:hAnsiTheme="majorHAnsi"/>
          <w:b/>
          <w:bCs/>
          <w:sz w:val="22"/>
          <w:szCs w:val="22"/>
          <w:vertAlign w:val="superscript"/>
          <w:lang w:val="en-US"/>
        </w:rPr>
        <w:t>3</w:t>
      </w:r>
      <w:r w:rsidR="000D2D1A">
        <w:rPr>
          <w:rFonts w:asciiTheme="majorHAnsi" w:hAnsiTheme="majorHAnsi"/>
          <w:b/>
          <w:bCs/>
          <w:sz w:val="22"/>
          <w:szCs w:val="22"/>
          <w:lang w:val="en-US"/>
        </w:rPr>
        <w:t xml:space="preserve"> </w:t>
      </w:r>
    </w:p>
    <w:p w14:paraId="3FCEEDC7" w14:textId="7B6958BA" w:rsidR="00CB19D8" w:rsidRDefault="00F66CC2" w:rsidP="005B3934">
      <w:pPr>
        <w:jc w:val="center"/>
        <w:rPr>
          <w:rFonts w:asciiTheme="majorHAnsi" w:hAnsiTheme="majorHAnsi" w:cstheme="minorHAnsi"/>
          <w:sz w:val="22"/>
          <w:szCs w:val="22"/>
        </w:rPr>
      </w:pPr>
      <w:r w:rsidRPr="007855B5">
        <w:rPr>
          <w:rFonts w:asciiTheme="majorHAnsi" w:hAnsiTheme="majorHAnsi" w:cstheme="minorHAnsi"/>
          <w:sz w:val="22"/>
          <w:szCs w:val="22"/>
          <w:vertAlign w:val="superscript"/>
        </w:rPr>
        <w:t>1</w:t>
      </w:r>
      <w:r w:rsidR="007D44B3">
        <w:rPr>
          <w:rFonts w:asciiTheme="majorHAnsi" w:hAnsiTheme="majorHAnsi" w:cstheme="minorHAnsi"/>
          <w:sz w:val="22"/>
          <w:szCs w:val="22"/>
          <w:vertAlign w:val="superscript"/>
        </w:rPr>
        <w:t>,</w:t>
      </w:r>
      <w:r w:rsidR="000D2D1A">
        <w:rPr>
          <w:rFonts w:asciiTheme="majorHAnsi" w:hAnsiTheme="majorHAnsi" w:cstheme="minorHAnsi"/>
          <w:sz w:val="22"/>
          <w:szCs w:val="22"/>
          <w:vertAlign w:val="superscript"/>
        </w:rPr>
        <w:t>2</w:t>
      </w:r>
      <w:r w:rsidR="007D44B3">
        <w:rPr>
          <w:rFonts w:asciiTheme="majorHAnsi" w:hAnsiTheme="majorHAnsi" w:cstheme="minorHAnsi"/>
          <w:sz w:val="22"/>
          <w:szCs w:val="22"/>
          <w:vertAlign w:val="superscript"/>
        </w:rPr>
        <w:t xml:space="preserve"> </w:t>
      </w:r>
      <w:r w:rsidR="007D44B3">
        <w:rPr>
          <w:rFonts w:asciiTheme="majorHAnsi" w:hAnsiTheme="majorHAnsi" w:cstheme="minorHAnsi"/>
          <w:sz w:val="22"/>
          <w:szCs w:val="22"/>
        </w:rPr>
        <w:t>Mathematics Education D</w:t>
      </w:r>
      <w:r w:rsidR="00B07206">
        <w:rPr>
          <w:rFonts w:asciiTheme="majorHAnsi" w:hAnsiTheme="majorHAnsi" w:cstheme="minorHAnsi"/>
          <w:sz w:val="22"/>
          <w:szCs w:val="22"/>
        </w:rPr>
        <w:t>eparte</w:t>
      </w:r>
      <w:r w:rsidRPr="007855B5">
        <w:rPr>
          <w:rFonts w:asciiTheme="majorHAnsi" w:hAnsiTheme="majorHAnsi" w:cstheme="minorHAnsi"/>
          <w:sz w:val="22"/>
          <w:szCs w:val="22"/>
        </w:rPr>
        <w:t>ment</w:t>
      </w:r>
      <w:r w:rsidR="005B3934" w:rsidRPr="007855B5">
        <w:rPr>
          <w:rFonts w:asciiTheme="majorHAnsi" w:hAnsiTheme="majorHAnsi" w:cstheme="minorHAnsi"/>
          <w:sz w:val="22"/>
          <w:szCs w:val="22"/>
        </w:rPr>
        <w:t xml:space="preserve">, </w:t>
      </w:r>
      <w:r w:rsidR="007D44B3">
        <w:rPr>
          <w:rFonts w:asciiTheme="majorHAnsi" w:hAnsiTheme="majorHAnsi" w:cstheme="minorHAnsi"/>
          <w:sz w:val="22"/>
          <w:szCs w:val="22"/>
        </w:rPr>
        <w:t xml:space="preserve">State </w:t>
      </w:r>
      <w:r w:rsidR="005C1094">
        <w:rPr>
          <w:rFonts w:asciiTheme="majorHAnsi" w:hAnsiTheme="majorHAnsi" w:cstheme="minorHAnsi"/>
          <w:sz w:val="22"/>
          <w:szCs w:val="22"/>
        </w:rPr>
        <w:t xml:space="preserve">Islamic </w:t>
      </w:r>
      <w:r w:rsidR="00B867D4" w:rsidRPr="007855B5">
        <w:rPr>
          <w:rFonts w:asciiTheme="majorHAnsi" w:hAnsiTheme="majorHAnsi" w:cstheme="minorHAnsi"/>
          <w:sz w:val="22"/>
          <w:szCs w:val="22"/>
        </w:rPr>
        <w:t>University</w:t>
      </w:r>
      <w:r w:rsidR="007D44B3">
        <w:rPr>
          <w:rFonts w:asciiTheme="majorHAnsi" w:hAnsiTheme="majorHAnsi" w:cstheme="minorHAnsi"/>
          <w:sz w:val="22"/>
          <w:szCs w:val="22"/>
        </w:rPr>
        <w:t xml:space="preserve"> of Mataram, Indonesia</w:t>
      </w:r>
    </w:p>
    <w:p w14:paraId="0084AEE2" w14:textId="2BA51B4F" w:rsidR="007D44B3" w:rsidRDefault="000D2D1A" w:rsidP="007D44B3">
      <w:pPr>
        <w:jc w:val="center"/>
        <w:rPr>
          <w:rFonts w:asciiTheme="majorHAnsi" w:hAnsiTheme="majorHAnsi" w:cstheme="minorHAnsi"/>
          <w:sz w:val="22"/>
          <w:szCs w:val="22"/>
        </w:rPr>
      </w:pPr>
      <w:r>
        <w:rPr>
          <w:rFonts w:asciiTheme="majorHAnsi" w:hAnsiTheme="majorHAnsi" w:cstheme="minorHAnsi"/>
          <w:sz w:val="22"/>
          <w:szCs w:val="22"/>
          <w:vertAlign w:val="superscript"/>
        </w:rPr>
        <w:t>3</w:t>
      </w:r>
      <w:r w:rsidR="007D44B3">
        <w:rPr>
          <w:rFonts w:asciiTheme="majorHAnsi" w:hAnsiTheme="majorHAnsi" w:cstheme="minorHAnsi"/>
          <w:sz w:val="22"/>
          <w:szCs w:val="22"/>
          <w:vertAlign w:val="superscript"/>
        </w:rPr>
        <w:t xml:space="preserve"> </w:t>
      </w:r>
      <w:r w:rsidR="007D44B3">
        <w:rPr>
          <w:rFonts w:asciiTheme="majorHAnsi" w:hAnsiTheme="majorHAnsi" w:cstheme="minorHAnsi"/>
          <w:sz w:val="22"/>
          <w:szCs w:val="22"/>
        </w:rPr>
        <w:t>Mathematics Education D</w:t>
      </w:r>
      <w:r w:rsidR="007D44B3" w:rsidRPr="007855B5">
        <w:rPr>
          <w:rFonts w:asciiTheme="majorHAnsi" w:hAnsiTheme="majorHAnsi" w:cstheme="minorHAnsi"/>
          <w:sz w:val="22"/>
          <w:szCs w:val="22"/>
        </w:rPr>
        <w:t xml:space="preserve">epartement, </w:t>
      </w:r>
      <w:r w:rsidR="007D44B3">
        <w:rPr>
          <w:rFonts w:asciiTheme="majorHAnsi" w:hAnsiTheme="majorHAnsi" w:cstheme="minorHAnsi"/>
          <w:sz w:val="22"/>
          <w:szCs w:val="22"/>
        </w:rPr>
        <w:t xml:space="preserve">State </w:t>
      </w:r>
      <w:r w:rsidR="005C1094">
        <w:rPr>
          <w:rFonts w:asciiTheme="majorHAnsi" w:hAnsiTheme="majorHAnsi" w:cstheme="minorHAnsi"/>
          <w:sz w:val="22"/>
          <w:szCs w:val="22"/>
        </w:rPr>
        <w:t xml:space="preserve">Islamic </w:t>
      </w:r>
      <w:r w:rsidR="007D44B3">
        <w:rPr>
          <w:rFonts w:asciiTheme="majorHAnsi" w:hAnsiTheme="majorHAnsi" w:cstheme="minorHAnsi"/>
          <w:sz w:val="22"/>
          <w:szCs w:val="22"/>
        </w:rPr>
        <w:t>Institute of Batusangkar, Indonesia</w:t>
      </w:r>
    </w:p>
    <w:p w14:paraId="124A950C" w14:textId="5B78AC6C" w:rsidR="005B3934" w:rsidRPr="007855B5" w:rsidRDefault="00A81344" w:rsidP="004D6B4B">
      <w:pPr>
        <w:jc w:val="center"/>
        <w:rPr>
          <w:rFonts w:asciiTheme="majorHAnsi" w:hAnsiTheme="majorHAnsi" w:cstheme="minorHAnsi"/>
          <w:sz w:val="22"/>
          <w:szCs w:val="22"/>
        </w:rPr>
      </w:pPr>
      <w:hyperlink r:id="rId8" w:history="1">
        <w:r w:rsidR="007D44B3" w:rsidRPr="00123729">
          <w:rPr>
            <w:rStyle w:val="Hyperlink"/>
            <w:rFonts w:asciiTheme="majorHAnsi" w:hAnsiTheme="majorHAnsi" w:cstheme="minorHAnsi"/>
            <w:sz w:val="22"/>
            <w:szCs w:val="22"/>
          </w:rPr>
          <w:t>parhaini.andriani@uinmataram.ac.id</w:t>
        </w:r>
      </w:hyperlink>
      <w:r w:rsidR="007D44B3" w:rsidRPr="007D44B3">
        <w:rPr>
          <w:rFonts w:asciiTheme="majorHAnsi" w:hAnsiTheme="majorHAnsi" w:cstheme="minorHAnsi"/>
          <w:sz w:val="22"/>
          <w:szCs w:val="22"/>
          <w:vertAlign w:val="superscript"/>
        </w:rPr>
        <w:t>1</w:t>
      </w:r>
      <w:r w:rsidR="007D44B3">
        <w:rPr>
          <w:rFonts w:asciiTheme="majorHAnsi" w:hAnsiTheme="majorHAnsi" w:cstheme="minorHAnsi"/>
          <w:sz w:val="22"/>
          <w:szCs w:val="22"/>
        </w:rPr>
        <w:t>,</w:t>
      </w:r>
      <w:r w:rsidR="000D2D1A">
        <w:rPr>
          <w:rFonts w:asciiTheme="majorHAnsi" w:hAnsiTheme="majorHAnsi" w:cstheme="minorHAnsi"/>
          <w:sz w:val="22"/>
          <w:szCs w:val="22"/>
        </w:rPr>
        <w:t xml:space="preserve"> </w:t>
      </w:r>
      <w:hyperlink r:id="rId9" w:history="1">
        <w:r w:rsidR="00192800" w:rsidRPr="00312E60">
          <w:rPr>
            <w:rStyle w:val="Hyperlink"/>
            <w:rFonts w:asciiTheme="majorHAnsi" w:hAnsiTheme="majorHAnsi" w:cstheme="minorHAnsi"/>
            <w:sz w:val="22"/>
            <w:szCs w:val="22"/>
          </w:rPr>
          <w:t>kikirak27@uinmataram.ac.id</w:t>
        </w:r>
      </w:hyperlink>
      <w:r w:rsidR="000D2D1A">
        <w:rPr>
          <w:rFonts w:asciiTheme="majorHAnsi" w:hAnsiTheme="majorHAnsi" w:cstheme="minorHAnsi"/>
          <w:sz w:val="22"/>
          <w:szCs w:val="22"/>
          <w:vertAlign w:val="superscript"/>
        </w:rPr>
        <w:t>2</w:t>
      </w:r>
      <w:r w:rsidR="007D44B3">
        <w:rPr>
          <w:rFonts w:asciiTheme="majorHAnsi" w:hAnsiTheme="majorHAnsi" w:cstheme="minorHAnsi"/>
          <w:sz w:val="22"/>
          <w:szCs w:val="22"/>
        </w:rPr>
        <w:t xml:space="preserve"> </w:t>
      </w:r>
      <w:hyperlink r:id="rId10" w:history="1">
        <w:r w:rsidR="00B65CC8" w:rsidRPr="00123729">
          <w:rPr>
            <w:rStyle w:val="Hyperlink"/>
            <w:rFonts w:asciiTheme="majorHAnsi" w:hAnsiTheme="majorHAnsi" w:cstheme="minorHAnsi"/>
            <w:sz w:val="22"/>
            <w:szCs w:val="22"/>
          </w:rPr>
          <w:t>donaafriyani@iainbatusangkar.ac.id</w:t>
        </w:r>
      </w:hyperlink>
      <w:r w:rsidR="00FA51DC" w:rsidRPr="00FA51DC">
        <w:rPr>
          <w:rFonts w:asciiTheme="majorHAnsi" w:hAnsiTheme="majorHAnsi" w:cstheme="minorHAnsi"/>
          <w:sz w:val="22"/>
          <w:szCs w:val="22"/>
          <w:vertAlign w:val="superscript"/>
        </w:rPr>
        <w:t>3</w:t>
      </w:r>
      <w:r w:rsidR="007D44B3">
        <w:rPr>
          <w:rFonts w:asciiTheme="majorHAnsi" w:hAnsiTheme="majorHAnsi" w:cstheme="minorHAnsi"/>
          <w:sz w:val="22"/>
          <w:szCs w:val="22"/>
        </w:rPr>
        <w:t xml:space="preserve"> </w:t>
      </w:r>
    </w:p>
    <w:p w14:paraId="5244A495" w14:textId="77777777" w:rsidR="00D41274" w:rsidRPr="00B3521D" w:rsidRDefault="00D41274" w:rsidP="00D41274">
      <w:pPr>
        <w:rPr>
          <w:rFonts w:ascii="Century Gothic" w:hAnsi="Century Gothic"/>
        </w:rPr>
      </w:pPr>
    </w:p>
    <w:p w14:paraId="2E6ABCF3" w14:textId="77777777" w:rsidR="00D41274" w:rsidRPr="00B3521D" w:rsidRDefault="00D41274">
      <w:pPr>
        <w:rPr>
          <w:rFonts w:ascii="Century Gothic" w:hAnsi="Century Gothic"/>
        </w:rPr>
        <w:sectPr w:rsidR="00D41274" w:rsidRPr="00B3521D" w:rsidSect="00AD3C84">
          <w:headerReference w:type="even" r:id="rId11"/>
          <w:headerReference w:type="default" r:id="rId12"/>
          <w:headerReference w:type="first" r:id="rId13"/>
          <w:footerReference w:type="first" r:id="rId14"/>
          <w:pgSz w:w="11906" w:h="16838" w:code="9"/>
          <w:pgMar w:top="1134" w:right="1134" w:bottom="1134" w:left="1134" w:header="851" w:footer="567" w:gutter="0"/>
          <w:cols w:space="708"/>
          <w:titlePg/>
          <w:docGrid w:linePitch="360"/>
        </w:sectPr>
      </w:pPr>
    </w:p>
    <w:p w14:paraId="4FDF816E" w14:textId="77777777" w:rsidR="009D3C51" w:rsidRPr="00B3521D" w:rsidRDefault="009D3C51" w:rsidP="007E34AA">
      <w:pPr>
        <w:pStyle w:val="IEEEAbtract"/>
        <w:ind w:left="1985" w:right="1779"/>
        <w:rPr>
          <w:rFonts w:ascii="Century Gothic" w:hAnsi="Century Gothic"/>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B3521D" w14:paraId="187024DF"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4C7539EB"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483BC7DC" w14:textId="77777777" w:rsidR="009507C0" w:rsidRPr="00B3521D" w:rsidRDefault="009507C0"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386F1472" w14:textId="77777777" w:rsidR="009507C0" w:rsidRPr="007855B5" w:rsidRDefault="009507C0" w:rsidP="00521ED0">
            <w:pPr>
              <w:spacing w:before="120"/>
              <w:jc w:val="center"/>
              <w:rPr>
                <w:rFonts w:asciiTheme="majorHAnsi" w:hAnsiTheme="majorHAnsi"/>
                <w:color w:val="000000"/>
                <w:sz w:val="20"/>
                <w:szCs w:val="20"/>
              </w:rPr>
            </w:pPr>
            <w:r w:rsidRPr="007855B5">
              <w:rPr>
                <w:rFonts w:asciiTheme="majorHAnsi" w:hAnsiTheme="majorHAnsi"/>
                <w:b/>
                <w:bCs/>
                <w:iCs/>
                <w:color w:val="000000"/>
                <w:sz w:val="20"/>
                <w:szCs w:val="20"/>
              </w:rPr>
              <w:t>ABSTRA</w:t>
            </w:r>
            <w:r w:rsidR="007855B5" w:rsidRPr="007855B5">
              <w:rPr>
                <w:rFonts w:asciiTheme="majorHAnsi" w:hAnsiTheme="majorHAnsi"/>
                <w:b/>
                <w:bCs/>
                <w:iCs/>
                <w:color w:val="000000"/>
                <w:sz w:val="20"/>
                <w:szCs w:val="20"/>
              </w:rPr>
              <w:t>CT</w:t>
            </w:r>
          </w:p>
        </w:tc>
      </w:tr>
      <w:tr w:rsidR="007855B5" w:rsidRPr="00B3521D" w14:paraId="65B09285" w14:textId="77777777" w:rsidTr="004A4C1F">
        <w:trPr>
          <w:trHeight w:val="1268"/>
          <w:jc w:val="center"/>
        </w:trPr>
        <w:tc>
          <w:tcPr>
            <w:tcW w:w="2113" w:type="dxa"/>
            <w:tcBorders>
              <w:top w:val="single" w:sz="4" w:space="0" w:color="auto"/>
              <w:left w:val="nil"/>
              <w:bottom w:val="single" w:sz="4" w:space="0" w:color="auto"/>
              <w:right w:val="nil"/>
            </w:tcBorders>
          </w:tcPr>
          <w:p w14:paraId="21432F1E" w14:textId="77777777" w:rsidR="007855B5" w:rsidRPr="007855B5" w:rsidRDefault="007855B5" w:rsidP="007855B5">
            <w:pPr>
              <w:spacing w:before="120" w:after="120"/>
              <w:jc w:val="both"/>
              <w:rPr>
                <w:rFonts w:asciiTheme="majorHAnsi" w:hAnsiTheme="majorHAnsi"/>
                <w:b/>
                <w:sz w:val="18"/>
                <w:szCs w:val="18"/>
              </w:rPr>
            </w:pPr>
            <w:r w:rsidRPr="007855B5">
              <w:rPr>
                <w:rFonts w:asciiTheme="majorHAnsi" w:hAnsiTheme="majorHAnsi"/>
                <w:b/>
                <w:sz w:val="18"/>
                <w:szCs w:val="18"/>
              </w:rPr>
              <w:t>Article History:</w:t>
            </w:r>
          </w:p>
          <w:p w14:paraId="29735CE7"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Received   : D-M-20XX</w:t>
            </w:r>
          </w:p>
          <w:p w14:paraId="49BFDCF0"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Revised     : D-M-20XX</w:t>
            </w:r>
          </w:p>
          <w:p w14:paraId="608BC6EA"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Accepted   : D-M-20XX</w:t>
            </w:r>
          </w:p>
          <w:p w14:paraId="6D5AF624" w14:textId="77777777" w:rsidR="007855B5" w:rsidRDefault="007855B5" w:rsidP="00B23EE2">
            <w:pPr>
              <w:jc w:val="both"/>
              <w:rPr>
                <w:rFonts w:asciiTheme="majorHAnsi" w:hAnsiTheme="majorHAnsi"/>
                <w:sz w:val="18"/>
                <w:szCs w:val="18"/>
              </w:rPr>
            </w:pPr>
            <w:r w:rsidRPr="007855B5">
              <w:rPr>
                <w:rFonts w:asciiTheme="majorHAnsi" w:hAnsiTheme="majorHAnsi"/>
                <w:sz w:val="18"/>
                <w:szCs w:val="18"/>
              </w:rPr>
              <w:t>Online        : D-M-20</w:t>
            </w:r>
            <w:r w:rsidR="00B23EE2">
              <w:rPr>
                <w:rFonts w:asciiTheme="majorHAnsi" w:hAnsiTheme="majorHAnsi"/>
                <w:sz w:val="18"/>
                <w:szCs w:val="18"/>
              </w:rPr>
              <w:t>XX</w:t>
            </w:r>
          </w:p>
          <w:p w14:paraId="55A1BBF0" w14:textId="77777777" w:rsidR="003D74B8" w:rsidRPr="003D74B8" w:rsidRDefault="003D74B8" w:rsidP="00B23EE2">
            <w:pPr>
              <w:jc w:val="both"/>
              <w:rPr>
                <w:rFonts w:asciiTheme="majorHAnsi" w:hAnsiTheme="majorHAnsi"/>
                <w:sz w:val="10"/>
                <w:szCs w:val="18"/>
              </w:rPr>
            </w:pPr>
          </w:p>
        </w:tc>
        <w:tc>
          <w:tcPr>
            <w:tcW w:w="283" w:type="dxa"/>
            <w:vMerge w:val="restart"/>
            <w:tcBorders>
              <w:top w:val="nil"/>
              <w:left w:val="nil"/>
              <w:right w:val="nil"/>
            </w:tcBorders>
          </w:tcPr>
          <w:p w14:paraId="38B3BF94" w14:textId="77777777" w:rsidR="007855B5" w:rsidRPr="00B3521D" w:rsidRDefault="007855B5" w:rsidP="00E03F00">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62C95EFD" w14:textId="0C70A93A" w:rsidR="007855B5" w:rsidRPr="007855B5" w:rsidRDefault="007D44B3" w:rsidP="00C93BB2">
            <w:pPr>
              <w:spacing w:before="120" w:after="240"/>
              <w:jc w:val="both"/>
              <w:rPr>
                <w:rFonts w:asciiTheme="majorHAnsi" w:hAnsiTheme="majorHAnsi"/>
                <w:sz w:val="20"/>
                <w:szCs w:val="20"/>
                <w:lang w:val="en-US"/>
              </w:rPr>
            </w:pPr>
            <w:r w:rsidRPr="007D44B3">
              <w:rPr>
                <w:rFonts w:asciiTheme="majorHAnsi" w:hAnsiTheme="majorHAnsi"/>
                <w:sz w:val="20"/>
                <w:szCs w:val="20"/>
                <w:lang w:val="id-ID"/>
              </w:rPr>
              <w:t xml:space="preserve">The purpose of this study is to describe the level of translation between mathematical representations of pre-service mathematics teachers. A descriptive qualitative study was conducted to fourty pre-service mathematics teachers in State </w:t>
            </w:r>
            <w:r w:rsidR="005C1094" w:rsidRPr="007D44B3">
              <w:rPr>
                <w:rFonts w:asciiTheme="majorHAnsi" w:hAnsiTheme="majorHAnsi"/>
                <w:sz w:val="20"/>
                <w:szCs w:val="20"/>
                <w:lang w:val="id-ID"/>
              </w:rPr>
              <w:t xml:space="preserve">Islamic </w:t>
            </w:r>
            <w:r w:rsidRPr="007D44B3">
              <w:rPr>
                <w:rFonts w:asciiTheme="majorHAnsi" w:hAnsiTheme="majorHAnsi"/>
                <w:sz w:val="20"/>
                <w:szCs w:val="20"/>
                <w:lang w:val="id-ID"/>
              </w:rPr>
              <w:t>University of Mataram. Data were obtained from mathematical translational thinking tests and task-based interviews. Data were analyzed using fixed comparison analysis. This study found five levels of translational ability between mathematical representations, namely: level 0, level 1, level 2, level 3 and level 4. The characteristics of each level are built based on four mathematical translational thinking processes: unpacking the source</w:t>
            </w:r>
            <w:r w:rsidR="008F4BD0">
              <w:rPr>
                <w:rFonts w:asciiTheme="majorHAnsi" w:hAnsiTheme="majorHAnsi"/>
                <w:sz w:val="20"/>
                <w:szCs w:val="20"/>
                <w:lang w:val="en-US"/>
              </w:rPr>
              <w:t xml:space="preserve"> of</w:t>
            </w:r>
            <w:r w:rsidRPr="007D44B3">
              <w:rPr>
                <w:rFonts w:asciiTheme="majorHAnsi" w:hAnsiTheme="majorHAnsi"/>
                <w:sz w:val="20"/>
                <w:szCs w:val="20"/>
                <w:lang w:val="id-ID"/>
              </w:rPr>
              <w:t xml:space="preserve"> representation</w:t>
            </w:r>
            <w:r w:rsidR="008F4BD0">
              <w:rPr>
                <w:rFonts w:asciiTheme="majorHAnsi" w:hAnsiTheme="majorHAnsi"/>
                <w:sz w:val="20"/>
                <w:szCs w:val="20"/>
                <w:lang w:val="en-US"/>
              </w:rPr>
              <w:t>s</w:t>
            </w:r>
            <w:r w:rsidRPr="007D44B3">
              <w:rPr>
                <w:rFonts w:asciiTheme="majorHAnsi" w:hAnsiTheme="majorHAnsi"/>
                <w:sz w:val="20"/>
                <w:szCs w:val="20"/>
                <w:lang w:val="id-ID"/>
              </w:rPr>
              <w:t>, coordinating initial stage, design the target representation and determine the equivalence between the source and target representations.</w:t>
            </w:r>
          </w:p>
          <w:p w14:paraId="624E0206" w14:textId="77777777" w:rsidR="007855B5" w:rsidRPr="007855B5" w:rsidRDefault="007855B5" w:rsidP="00C93BB2">
            <w:pPr>
              <w:spacing w:before="120" w:after="240"/>
              <w:jc w:val="both"/>
              <w:rPr>
                <w:rFonts w:asciiTheme="majorHAnsi" w:hAnsiTheme="majorHAnsi"/>
                <w:i/>
                <w:sz w:val="20"/>
                <w:szCs w:val="20"/>
                <w:lang w:val="en-US"/>
              </w:rPr>
            </w:pPr>
          </w:p>
        </w:tc>
      </w:tr>
      <w:tr w:rsidR="007855B5" w:rsidRPr="00B3521D" w14:paraId="297B8734" w14:textId="77777777" w:rsidTr="009A3841">
        <w:trPr>
          <w:trHeight w:val="1569"/>
          <w:jc w:val="center"/>
        </w:trPr>
        <w:tc>
          <w:tcPr>
            <w:tcW w:w="2113" w:type="dxa"/>
            <w:tcBorders>
              <w:top w:val="single" w:sz="4" w:space="0" w:color="auto"/>
              <w:left w:val="nil"/>
              <w:bottom w:val="single" w:sz="4" w:space="0" w:color="auto"/>
              <w:right w:val="nil"/>
            </w:tcBorders>
          </w:tcPr>
          <w:p w14:paraId="41F1D933" w14:textId="77777777" w:rsidR="007855B5" w:rsidRPr="007855B5" w:rsidRDefault="007855B5" w:rsidP="00E03F00">
            <w:pPr>
              <w:spacing w:before="120" w:after="120"/>
              <w:jc w:val="both"/>
              <w:rPr>
                <w:rFonts w:asciiTheme="majorHAnsi" w:hAnsiTheme="majorHAnsi"/>
                <w:b/>
                <w:i/>
                <w:sz w:val="18"/>
                <w:szCs w:val="18"/>
              </w:rPr>
            </w:pPr>
            <w:r w:rsidRPr="007855B5">
              <w:rPr>
                <w:rFonts w:asciiTheme="majorHAnsi" w:hAnsiTheme="majorHAnsi"/>
                <w:b/>
                <w:sz w:val="18"/>
                <w:szCs w:val="18"/>
              </w:rPr>
              <w:t>Keyword</w:t>
            </w:r>
            <w:r w:rsidRPr="007855B5">
              <w:rPr>
                <w:rFonts w:asciiTheme="majorHAnsi" w:hAnsiTheme="majorHAnsi"/>
                <w:b/>
                <w:i/>
                <w:sz w:val="18"/>
                <w:szCs w:val="18"/>
              </w:rPr>
              <w:t>:</w:t>
            </w:r>
          </w:p>
          <w:p w14:paraId="76264E0B" w14:textId="1F6A5475" w:rsidR="007855B5" w:rsidRPr="007855B5" w:rsidRDefault="008C4880" w:rsidP="009B0A53">
            <w:pPr>
              <w:jc w:val="both"/>
              <w:rPr>
                <w:rFonts w:asciiTheme="majorHAnsi" w:hAnsiTheme="majorHAnsi"/>
                <w:sz w:val="18"/>
                <w:szCs w:val="18"/>
              </w:rPr>
            </w:pPr>
            <w:r>
              <w:rPr>
                <w:rFonts w:asciiTheme="majorHAnsi" w:hAnsiTheme="majorHAnsi"/>
                <w:sz w:val="18"/>
                <w:szCs w:val="18"/>
              </w:rPr>
              <w:t>translation among multiple representation</w:t>
            </w:r>
            <w:r w:rsidR="00026B88">
              <w:rPr>
                <w:rFonts w:asciiTheme="majorHAnsi" w:hAnsiTheme="majorHAnsi"/>
                <w:sz w:val="18"/>
                <w:szCs w:val="18"/>
              </w:rPr>
              <w:t>;</w:t>
            </w:r>
          </w:p>
          <w:p w14:paraId="368CF801" w14:textId="49983F3D" w:rsidR="007855B5" w:rsidRPr="007855B5" w:rsidRDefault="007E681F" w:rsidP="009B0A53">
            <w:pPr>
              <w:jc w:val="both"/>
              <w:rPr>
                <w:rFonts w:asciiTheme="majorHAnsi" w:hAnsiTheme="majorHAnsi"/>
                <w:sz w:val="18"/>
                <w:szCs w:val="18"/>
              </w:rPr>
            </w:pPr>
            <w:r>
              <w:rPr>
                <w:rFonts w:asciiTheme="majorHAnsi" w:hAnsiTheme="majorHAnsi"/>
                <w:sz w:val="18"/>
                <w:szCs w:val="18"/>
              </w:rPr>
              <w:t>mathematical translation ability</w:t>
            </w:r>
            <w:r w:rsidR="00026B88">
              <w:rPr>
                <w:rFonts w:asciiTheme="majorHAnsi" w:hAnsiTheme="majorHAnsi"/>
                <w:sz w:val="18"/>
                <w:szCs w:val="18"/>
              </w:rPr>
              <w:t>.</w:t>
            </w:r>
          </w:p>
          <w:p w14:paraId="5AE3ECDF" w14:textId="77777777" w:rsidR="007855B5" w:rsidRPr="007855B5" w:rsidRDefault="007855B5" w:rsidP="007E681F">
            <w:pPr>
              <w:jc w:val="both"/>
              <w:rPr>
                <w:rFonts w:asciiTheme="majorHAnsi" w:hAnsiTheme="majorHAnsi"/>
                <w:sz w:val="18"/>
                <w:szCs w:val="18"/>
              </w:rPr>
            </w:pPr>
          </w:p>
        </w:tc>
        <w:tc>
          <w:tcPr>
            <w:tcW w:w="283" w:type="dxa"/>
            <w:vMerge/>
            <w:tcBorders>
              <w:left w:val="nil"/>
              <w:right w:val="nil"/>
            </w:tcBorders>
          </w:tcPr>
          <w:p w14:paraId="750318D3" w14:textId="77777777" w:rsidR="007855B5" w:rsidRPr="00B3521D" w:rsidRDefault="007855B5" w:rsidP="00E03F00">
            <w:pPr>
              <w:spacing w:before="120"/>
              <w:jc w:val="both"/>
              <w:rPr>
                <w:rFonts w:ascii="Century Gothic" w:hAnsi="Century Gothic"/>
                <w:sz w:val="18"/>
                <w:szCs w:val="18"/>
              </w:rPr>
            </w:pPr>
          </w:p>
        </w:tc>
        <w:tc>
          <w:tcPr>
            <w:tcW w:w="7227" w:type="dxa"/>
            <w:gridSpan w:val="2"/>
            <w:vMerge/>
            <w:tcBorders>
              <w:left w:val="nil"/>
              <w:right w:val="nil"/>
            </w:tcBorders>
          </w:tcPr>
          <w:p w14:paraId="12DC537C" w14:textId="77777777" w:rsidR="007855B5" w:rsidRPr="00B3521D" w:rsidRDefault="007855B5" w:rsidP="00E03F00">
            <w:pPr>
              <w:spacing w:before="120"/>
              <w:jc w:val="both"/>
              <w:rPr>
                <w:rFonts w:ascii="Century Gothic" w:hAnsi="Century Gothic"/>
                <w:iCs/>
                <w:color w:val="000000"/>
                <w:sz w:val="18"/>
                <w:szCs w:val="18"/>
              </w:rPr>
            </w:pPr>
          </w:p>
        </w:tc>
      </w:tr>
      <w:tr w:rsidR="007855B5" w:rsidRPr="00B3521D" w14:paraId="56706377" w14:textId="77777777" w:rsidTr="004A4C1F">
        <w:trPr>
          <w:trHeight w:val="355"/>
          <w:jc w:val="center"/>
        </w:trPr>
        <w:tc>
          <w:tcPr>
            <w:tcW w:w="2113" w:type="dxa"/>
            <w:tcBorders>
              <w:top w:val="single" w:sz="4" w:space="0" w:color="auto"/>
              <w:left w:val="nil"/>
              <w:bottom w:val="single" w:sz="4" w:space="0" w:color="auto"/>
              <w:right w:val="nil"/>
            </w:tcBorders>
          </w:tcPr>
          <w:p w14:paraId="02FE907D" w14:textId="77777777" w:rsidR="007855B5" w:rsidRPr="005F4A93" w:rsidRDefault="007855B5" w:rsidP="007855B5">
            <w:pPr>
              <w:jc w:val="center"/>
              <w:rPr>
                <w:rFonts w:asciiTheme="majorHAnsi" w:hAnsiTheme="majorHAnsi"/>
                <w:b/>
                <w:sz w:val="8"/>
                <w:szCs w:val="18"/>
              </w:rPr>
            </w:pPr>
          </w:p>
          <w:p w14:paraId="7AF9C088" w14:textId="77777777" w:rsidR="007855B5" w:rsidRDefault="007855B5" w:rsidP="007855B5">
            <w:pPr>
              <w:jc w:val="center"/>
              <w:rPr>
                <w:rFonts w:asciiTheme="majorHAnsi" w:hAnsiTheme="majorHAnsi"/>
                <w:b/>
                <w:sz w:val="18"/>
                <w:szCs w:val="18"/>
              </w:rPr>
            </w:pPr>
            <w:r>
              <w:rPr>
                <w:noProof/>
                <w:lang w:val="en-US" w:eastAsia="en-US"/>
              </w:rPr>
              <w:drawing>
                <wp:inline distT="0" distB="0" distL="0" distR="0" wp14:anchorId="36B9A98B" wp14:editId="0BAA1117">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MUM\OJSQ\JTAM\JTAM-Barcode cop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5A5C194B" w14:textId="77777777" w:rsidR="007855B5" w:rsidRPr="005F4A93" w:rsidRDefault="007855B5" w:rsidP="007855B5">
            <w:pPr>
              <w:jc w:val="center"/>
              <w:rPr>
                <w:rFonts w:asciiTheme="majorHAnsi" w:hAnsiTheme="majorHAnsi"/>
                <w:b/>
                <w:sz w:val="10"/>
                <w:szCs w:val="18"/>
              </w:rPr>
            </w:pPr>
          </w:p>
        </w:tc>
        <w:tc>
          <w:tcPr>
            <w:tcW w:w="283" w:type="dxa"/>
            <w:vMerge/>
            <w:tcBorders>
              <w:left w:val="nil"/>
              <w:bottom w:val="single" w:sz="4" w:space="0" w:color="auto"/>
              <w:right w:val="nil"/>
            </w:tcBorders>
          </w:tcPr>
          <w:p w14:paraId="1A4334C8" w14:textId="77777777" w:rsidR="007855B5" w:rsidRPr="00B3521D" w:rsidRDefault="007855B5" w:rsidP="00E03F00">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1F4C8AAA" w14:textId="77777777" w:rsidR="007855B5" w:rsidRPr="00B3521D" w:rsidRDefault="007855B5" w:rsidP="00E03F00">
            <w:pPr>
              <w:spacing w:before="120"/>
              <w:jc w:val="both"/>
              <w:rPr>
                <w:rFonts w:ascii="Century Gothic" w:hAnsi="Century Gothic"/>
                <w:iCs/>
                <w:color w:val="000000"/>
                <w:sz w:val="18"/>
                <w:szCs w:val="18"/>
              </w:rPr>
            </w:pPr>
          </w:p>
        </w:tc>
      </w:tr>
      <w:tr w:rsidR="00F41BED" w:rsidRPr="00B3521D" w14:paraId="5027F04A" w14:textId="77777777" w:rsidTr="00F41BED">
        <w:trPr>
          <w:trHeight w:val="60"/>
          <w:jc w:val="center"/>
        </w:trPr>
        <w:tc>
          <w:tcPr>
            <w:tcW w:w="4685" w:type="dxa"/>
            <w:gridSpan w:val="3"/>
            <w:tcBorders>
              <w:top w:val="single" w:sz="4" w:space="0" w:color="auto"/>
              <w:left w:val="nil"/>
              <w:bottom w:val="single" w:sz="4" w:space="0" w:color="auto"/>
              <w:right w:val="nil"/>
            </w:tcBorders>
          </w:tcPr>
          <w:p w14:paraId="30A49F8D"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noProof/>
                <w:sz w:val="18"/>
                <w:szCs w:val="18"/>
                <w:lang w:val="en-US" w:eastAsia="en-US"/>
              </w:rPr>
              <w:drawing>
                <wp:inline distT="0" distB="0" distL="0" distR="0" wp14:anchorId="165E5FCC" wp14:editId="3D8DD0AE">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3689BD77" w14:textId="77777777" w:rsidR="00F41BED" w:rsidRPr="005F4A93" w:rsidRDefault="00A81344" w:rsidP="005F4A93">
            <w:pPr>
              <w:jc w:val="center"/>
              <w:rPr>
                <w:rFonts w:asciiTheme="majorHAnsi" w:hAnsiTheme="majorHAnsi"/>
                <w:iCs/>
                <w:color w:val="000000"/>
                <w:sz w:val="18"/>
                <w:szCs w:val="18"/>
              </w:rPr>
            </w:pPr>
            <w:hyperlink r:id="rId17" w:history="1">
              <w:r w:rsidR="00F41BED" w:rsidRPr="005F4A93">
                <w:rPr>
                  <w:rStyle w:val="Hyperlink"/>
                  <w:rFonts w:asciiTheme="majorHAnsi" w:hAnsiTheme="majorHAnsi"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5D363E84"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iCs/>
                <w:noProof/>
                <w:color w:val="000000"/>
                <w:sz w:val="18"/>
                <w:szCs w:val="18"/>
                <w:lang w:val="en-US" w:eastAsia="en-US"/>
              </w:rPr>
              <w:drawing>
                <wp:inline distT="0" distB="0" distL="0" distR="0" wp14:anchorId="048B6633" wp14:editId="72DC74D6">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05094851" w14:textId="77777777" w:rsidR="00F41BED" w:rsidRPr="005F4A93" w:rsidRDefault="00F41BED" w:rsidP="005F4A93">
            <w:pPr>
              <w:jc w:val="center"/>
              <w:rPr>
                <w:rFonts w:asciiTheme="majorHAnsi" w:hAnsiTheme="majorHAnsi"/>
                <w:b/>
                <w:iCs/>
                <w:color w:val="000000"/>
                <w:sz w:val="18"/>
                <w:szCs w:val="18"/>
              </w:rPr>
            </w:pPr>
            <w:r w:rsidRPr="005F4A93">
              <w:rPr>
                <w:rFonts w:asciiTheme="majorHAnsi" w:hAnsiTheme="majorHAnsi"/>
                <w:b/>
                <w:iCs/>
                <w:color w:val="000000"/>
                <w:sz w:val="18"/>
                <w:szCs w:val="18"/>
              </w:rPr>
              <w:t xml:space="preserve">This is an open access article under the </w:t>
            </w:r>
            <w:r w:rsidRPr="005F4A93">
              <w:rPr>
                <w:rFonts w:asciiTheme="majorHAnsi" w:hAnsiTheme="majorHAnsi"/>
                <w:b/>
                <w:iCs/>
                <w:color w:val="4F81BD" w:themeColor="accent1"/>
                <w:sz w:val="18"/>
                <w:szCs w:val="18"/>
              </w:rPr>
              <w:t>CC–BY-SA</w:t>
            </w:r>
            <w:r w:rsidRPr="005F4A93">
              <w:rPr>
                <w:rFonts w:asciiTheme="majorHAnsi" w:hAnsiTheme="majorHAnsi"/>
                <w:b/>
                <w:iCs/>
                <w:color w:val="000000"/>
                <w:sz w:val="18"/>
                <w:szCs w:val="18"/>
              </w:rPr>
              <w:t xml:space="preserve"> license</w:t>
            </w:r>
          </w:p>
        </w:tc>
      </w:tr>
    </w:tbl>
    <w:p w14:paraId="273A2ECF" w14:textId="77777777" w:rsidR="00F66CC2" w:rsidRPr="00B3521D" w:rsidRDefault="00F66CC2" w:rsidP="00F66CC2">
      <w:pPr>
        <w:pStyle w:val="PARAGRAPHnoindent"/>
        <w:spacing w:line="240" w:lineRule="auto"/>
        <w:jc w:val="center"/>
        <w:rPr>
          <w:color w:val="000000"/>
          <w:sz w:val="14"/>
          <w:szCs w:val="14"/>
        </w:rPr>
      </w:pPr>
    </w:p>
    <w:p w14:paraId="7E229290" w14:textId="77777777" w:rsidR="00437CE1" w:rsidRDefault="00437CE1" w:rsidP="00F66CC2">
      <w:pPr>
        <w:pStyle w:val="PARAGRAPHnoindent"/>
        <w:spacing w:line="240" w:lineRule="auto"/>
        <w:jc w:val="center"/>
        <w:rPr>
          <w:color w:val="000000"/>
        </w:rPr>
      </w:pPr>
    </w:p>
    <w:p w14:paraId="0F5D9693"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4664D69" w14:textId="77777777" w:rsidR="00437CE1" w:rsidRPr="00437CE1" w:rsidRDefault="00437CE1" w:rsidP="00437CE1">
      <w:pPr>
        <w:rPr>
          <w:lang w:val="en-US" w:eastAsia="en-US"/>
        </w:rPr>
      </w:pPr>
    </w:p>
    <w:p w14:paraId="33B47DFA" w14:textId="77777777" w:rsidR="00B3521D" w:rsidRPr="00B3521D" w:rsidRDefault="00B3521D" w:rsidP="00B3521D">
      <w:pPr>
        <w:rPr>
          <w:sz w:val="14"/>
          <w:lang w:val="en-US" w:eastAsia="en-US"/>
        </w:rPr>
      </w:pPr>
    </w:p>
    <w:p w14:paraId="2E51A894"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AD3C84">
          <w:type w:val="continuous"/>
          <w:pgSz w:w="11906" w:h="16838" w:code="9"/>
          <w:pgMar w:top="1134" w:right="1134" w:bottom="1134" w:left="1134" w:header="851" w:footer="567" w:gutter="0"/>
          <w:cols w:space="238"/>
          <w:docGrid w:linePitch="360"/>
        </w:sectPr>
      </w:pPr>
    </w:p>
    <w:p w14:paraId="0DBCF78E" w14:textId="77777777" w:rsidR="00AD335D" w:rsidRPr="00993520" w:rsidRDefault="009B0A53" w:rsidP="00E77E85">
      <w:pPr>
        <w:pStyle w:val="IEEEHeading1"/>
        <w:numPr>
          <w:ilvl w:val="0"/>
          <w:numId w:val="11"/>
        </w:numPr>
        <w:spacing w:before="0" w:after="0" w:line="23" w:lineRule="atLeast"/>
        <w:jc w:val="left"/>
        <w:rPr>
          <w:rFonts w:asciiTheme="majorHAnsi" w:hAnsiTheme="majorHAnsi"/>
          <w:b/>
          <w:sz w:val="22"/>
        </w:rPr>
      </w:pPr>
      <w:r w:rsidRPr="00993520">
        <w:rPr>
          <w:rFonts w:asciiTheme="majorHAnsi" w:hAnsiTheme="majorHAnsi"/>
          <w:b/>
          <w:iCs/>
          <w:sz w:val="22"/>
          <w:lang w:val="en-US"/>
        </w:rPr>
        <w:t>INTRODUCTION</w:t>
      </w:r>
      <w:r w:rsidRPr="00993520">
        <w:rPr>
          <w:rFonts w:asciiTheme="majorHAnsi" w:hAnsiTheme="majorHAnsi"/>
          <w:b/>
          <w:sz w:val="22"/>
          <w:lang w:val="id-ID"/>
        </w:rPr>
        <w:t xml:space="preserve"> </w:t>
      </w:r>
    </w:p>
    <w:p w14:paraId="2571C87F" w14:textId="1063339E" w:rsidR="009C30E3" w:rsidRDefault="00B65CC8" w:rsidP="00E77E85">
      <w:pPr>
        <w:pStyle w:val="IEEEParagraph"/>
        <w:spacing w:line="23" w:lineRule="atLeast"/>
        <w:ind w:firstLine="360"/>
        <w:rPr>
          <w:rStyle w:val="longtext"/>
          <w:rFonts w:asciiTheme="majorHAnsi" w:hAnsiTheme="majorHAnsi"/>
          <w:shd w:val="clear" w:color="auto" w:fill="FFFFFF"/>
        </w:rPr>
      </w:pPr>
      <w:r w:rsidRPr="00B65CC8">
        <w:rPr>
          <w:rStyle w:val="longtext"/>
          <w:rFonts w:asciiTheme="majorHAnsi" w:hAnsiTheme="majorHAnsi"/>
          <w:shd w:val="clear" w:color="auto" w:fill="FFFFFF"/>
        </w:rPr>
        <w:t xml:space="preserve">Research at the end of this decade has studied a lot about mathematics content knowledge, which is a basic competency that pre-service mathematics teachers must possess. This knowledge is the basis that a person must have to be called mathematically literate </w:t>
      </w:r>
      <w:r w:rsidR="00FA3A23">
        <w:rPr>
          <w:rStyle w:val="longtext"/>
          <w:rFonts w:asciiTheme="majorHAnsi" w:hAnsiTheme="majorHAnsi"/>
          <w:shd w:val="clear" w:color="auto" w:fill="FFFFFF"/>
        </w:rPr>
        <w:fldChar w:fldCharType="begin" w:fldLock="1"/>
      </w:r>
      <w:r w:rsidR="00B36084">
        <w:rPr>
          <w:rStyle w:val="longtext"/>
          <w:rFonts w:asciiTheme="majorHAnsi" w:hAnsiTheme="majorHAnsi"/>
          <w:shd w:val="clear" w:color="auto" w:fill="FFFFFF"/>
        </w:rPr>
        <w:instrText>ADDIN CSL_CITATION { "citationItems" : [ { "id" : "ITEM-1", "itemData" : { "ISSN" : "13079298", "abstract" : "This study critically examined the math content knowledge (MCK) of teacher candidates (TCs) enrolled in a two-year Master of Teaching (MT) degree. Teachers require a solid math knowledge base in order to support students\u2019 achievement. Provincial and international math assessments have been of major concern in Ontario, Canada, due to declining scores. Research aimed to investigate the development of TCs\u2019 math capacities for effective teaching is important to teachers, school districts, universities, professional learning associations, and policy makers. The researchers of this study analyzed the basic numeracy skills of 151 TCs through pre- and post-tests. In addition, eight TCs took part in semi-structured interviews and shared their experiences in the MT math program. Test results indicated improvements in many areas, however, not all numeracy skills improved significantly. Interviews revealed TCs\u2019 perceptions of the math test, courses, and instructors, as well as the importance of teaching math during their practicum placements. The researchers made recommendations to teacher education programs in areas such as: establishing minimum math competency standards, enhancing coherence between MT math courses and practicum placements, and providing additional support for TCs with low math proficiency.", "author" : [ { "dropping-particle" : "", "family" : "Reid", "given" : "Mary", "non-dropping-particle" : "", "parse-names" : false, "suffix" : "" }, { "dropping-particle" : "", "family" : "Reid", "given" : "Steven", "non-dropping-particle" : "", "parse-names" : false, "suffix" : "" } ], "container-title" : "International Electronic Journal of Elementary Education", "id" : "ITEM-1", "issue" : "4", "issued" : { "date-parts" : [ [ "2017" ] ] }, "page" : "851-872", "title" : "Learning to be a math teacher: What knowledge is essential?", "type" : "article-journal", "volume" : "9" }, "uris" : [ "http://www.mendeley.com/documents/?uuid=0bd2b143-4ca5-428b-84ad-cadb0671da52", "http://www.mendeley.com/documents/?uuid=85c36ba9-b7db-471d-8e65-a57f6d6e652e" ] } ], "mendeley" : { "formattedCitation" : "(Reid &amp; Reid, 2017)", "plainTextFormattedCitation" : "(Reid &amp; Reid, 2017)", "previouslyFormattedCitation" : "(Reid &amp; Reid, 2017)" }, "properties" : { "noteIndex" : 0 }, "schema" : "https://github.com/citation-style-language/schema/raw/master/csl-citation.json" }</w:instrText>
      </w:r>
      <w:r w:rsidR="00FA3A23">
        <w:rPr>
          <w:rStyle w:val="longtext"/>
          <w:rFonts w:asciiTheme="majorHAnsi" w:hAnsiTheme="majorHAnsi"/>
          <w:shd w:val="clear" w:color="auto" w:fill="FFFFFF"/>
        </w:rPr>
        <w:fldChar w:fldCharType="separate"/>
      </w:r>
      <w:r w:rsidR="00FA3A23" w:rsidRPr="00FA3A23">
        <w:rPr>
          <w:rStyle w:val="longtext"/>
          <w:rFonts w:asciiTheme="majorHAnsi" w:hAnsiTheme="majorHAnsi"/>
          <w:noProof/>
          <w:shd w:val="clear" w:color="auto" w:fill="FFFFFF"/>
        </w:rPr>
        <w:t>(Reid &amp; Reid, 2017)</w:t>
      </w:r>
      <w:r w:rsidR="00FA3A23">
        <w:rPr>
          <w:rStyle w:val="longtext"/>
          <w:rFonts w:asciiTheme="majorHAnsi" w:hAnsiTheme="majorHAnsi"/>
          <w:shd w:val="clear" w:color="auto" w:fill="FFFFFF"/>
        </w:rPr>
        <w:fldChar w:fldCharType="end"/>
      </w:r>
      <w:r w:rsidR="00FA3A23">
        <w:rPr>
          <w:rStyle w:val="longtext"/>
          <w:rFonts w:asciiTheme="majorHAnsi" w:hAnsiTheme="majorHAnsi"/>
          <w:shd w:val="clear" w:color="auto" w:fill="FFFFFF"/>
        </w:rPr>
        <w:t>.</w:t>
      </w:r>
      <w:r w:rsidRPr="00B65CC8">
        <w:rPr>
          <w:rStyle w:val="longtext"/>
          <w:rFonts w:asciiTheme="majorHAnsi" w:hAnsiTheme="majorHAnsi"/>
          <w:shd w:val="clear" w:color="auto" w:fill="FFFFFF"/>
        </w:rPr>
        <w:t xml:space="preserve"> </w:t>
      </w:r>
      <w:r w:rsidR="00451411" w:rsidRPr="00451411">
        <w:rPr>
          <w:rStyle w:val="longtext"/>
          <w:rFonts w:asciiTheme="majorHAnsi" w:hAnsiTheme="majorHAnsi"/>
          <w:shd w:val="clear" w:color="auto" w:fill="FFFFFF"/>
        </w:rPr>
        <w:t>Mathematical content knowledge is a significant aspect for pre-service teacher in understanding learning situations and planning educational actions to encourage learning</w:t>
      </w:r>
      <w:r w:rsidR="00292F67">
        <w:rPr>
          <w:rStyle w:val="longtext"/>
          <w:rFonts w:asciiTheme="majorHAnsi" w:hAnsiTheme="majorHAnsi"/>
          <w:shd w:val="clear" w:color="auto" w:fill="FFFFFF"/>
        </w:rPr>
        <w:t xml:space="preserve"> </w:t>
      </w:r>
      <w:r w:rsidR="00292F67">
        <w:rPr>
          <w:rStyle w:val="longtext"/>
          <w:rFonts w:asciiTheme="majorHAnsi" w:hAnsiTheme="majorHAnsi"/>
          <w:shd w:val="clear" w:color="auto" w:fill="FFFFFF"/>
        </w:rPr>
        <w:fldChar w:fldCharType="begin" w:fldLock="1"/>
      </w:r>
      <w:r w:rsidR="003A33A8">
        <w:rPr>
          <w:rStyle w:val="longtext"/>
          <w:rFonts w:asciiTheme="majorHAnsi" w:hAnsiTheme="majorHAnsi"/>
          <w:shd w:val="clear" w:color="auto" w:fill="FFFFFF"/>
        </w:rPr>
        <w:instrText>ADDIN CSL_CITATION { "citationItems" : [ { "id" : "ITEM-1", "itemData" : { "DOI" : "10.1007/s10763-014-9596-z", "ISSN" : "15731774", "abstract" : "This study addresses the relation of pre-school teachers\u2019 mathematics content knowledge and their performance\u2014how they perceive mathematical learning situations and whether they are able to plan adequate actions that foster children\u2019s learning\u2014in the informal settings of pre-schools. It thus addresses a serious gap in teacher research that has so far mostly been focussed on the formal settings of primary and secondary schools. The paper presents the instruments used to assess the knowledge (a paper\u2013pencil test) and the performance (a video-based assessment), as well as the results of a study involving 354 prospective pre-school teachers. The results indicate that mathematical content knowledge is a significant predictor of the pre-school teachers\u2019 ability to perceive learning situations and to plan educational actions to foster learning. Such evidence not only supports the validity of the knowledge test, but it is also relevant for policy makers because it leads to conclusions about the important opportunities to learn that need to be provided during pre-school teacher training.", "author" : [ { "dropping-particle" : "", "family" : "Dunekacke", "given" : "Simone", "non-dropping-particle" : "", "parse-names" : false, "suffix" : "" }, { "dropping-particle" : "", "family" : "Jen\u00dfen", "given" : "Lars", "non-dropping-particle" : "", "parse-names" : false, "suffix" : "" }, { "dropping-particle" : "", "family" : "Bl\u00f6meke", "given" : "Sigrid", "non-dropping-particle" : "", "parse-names" : false, "suffix" : "" } ], "container-title" : "International Journal of Science and Mathematics Education", "id" : "ITEM-1", "issue" : "2", "issued" : { "date-parts" : [ [ "2015" ] ] }, "page" : "267-286", "title" : "Effects of Mathematics Content Knowledge on Pre-school Teachers\u2019 Performance: a Video-Based Assessment of Perception and Planning Abilities in Informal Learning Situations", "type" : "article-journal", "volume" : "13" }, "uris" : [ "http://www.mendeley.com/documents/?uuid=d85c677f-06a9-45af-b12a-dfe6b7efe703", "http://www.mendeley.com/documents/?uuid=a89be988-8e62-44bb-9158-27a1252db7e7" ] } ], "mendeley" : { "formattedCitation" : "(Dunekacke et al., 2015)", "plainTextFormattedCitation" : "(Dunekacke et al., 2015)", "previouslyFormattedCitation" : "(Dunekacke et al., 2015)" }, "properties" : { "noteIndex" : 0 }, "schema" : "https://github.com/citation-style-language/schema/raw/master/csl-citation.json" }</w:instrText>
      </w:r>
      <w:r w:rsidR="00292F67">
        <w:rPr>
          <w:rStyle w:val="longtext"/>
          <w:rFonts w:asciiTheme="majorHAnsi" w:hAnsiTheme="majorHAnsi"/>
          <w:shd w:val="clear" w:color="auto" w:fill="FFFFFF"/>
        </w:rPr>
        <w:fldChar w:fldCharType="separate"/>
      </w:r>
      <w:r w:rsidR="00292F67" w:rsidRPr="00292F67">
        <w:rPr>
          <w:rStyle w:val="longtext"/>
          <w:rFonts w:asciiTheme="majorHAnsi" w:hAnsiTheme="majorHAnsi"/>
          <w:noProof/>
          <w:shd w:val="clear" w:color="auto" w:fill="FFFFFF"/>
        </w:rPr>
        <w:t>(Dunekacke et al., 2015)</w:t>
      </w:r>
      <w:r w:rsidR="00292F67">
        <w:rPr>
          <w:rStyle w:val="longtext"/>
          <w:rFonts w:asciiTheme="majorHAnsi" w:hAnsiTheme="majorHAnsi"/>
          <w:shd w:val="clear" w:color="auto" w:fill="FFFFFF"/>
        </w:rPr>
        <w:fldChar w:fldCharType="end"/>
      </w:r>
      <w:r w:rsidR="00FA3A23" w:rsidRPr="00451411">
        <w:rPr>
          <w:rStyle w:val="longtext"/>
          <w:rFonts w:asciiTheme="majorHAnsi" w:hAnsiTheme="majorHAnsi"/>
          <w:shd w:val="clear" w:color="auto" w:fill="FFFFFF"/>
        </w:rPr>
        <w:t>.</w:t>
      </w:r>
      <w:r w:rsidRPr="00B65CC8">
        <w:rPr>
          <w:rStyle w:val="longtext"/>
          <w:rFonts w:asciiTheme="majorHAnsi" w:hAnsiTheme="majorHAnsi"/>
          <w:shd w:val="clear" w:color="auto" w:fill="FFFFFF"/>
        </w:rPr>
        <w:t xml:space="preserve"> Thus, knowledge of mathematics content is important to be a concern in the teacher education curriculum.</w:t>
      </w:r>
    </w:p>
    <w:p w14:paraId="192575AC" w14:textId="0500A8D1" w:rsidR="00F918F5" w:rsidRDefault="00F918F5" w:rsidP="00E77E85">
      <w:pPr>
        <w:pStyle w:val="IEEEParagraph"/>
        <w:spacing w:line="23" w:lineRule="atLeast"/>
        <w:ind w:firstLine="360"/>
        <w:rPr>
          <w:rStyle w:val="longtext"/>
          <w:rFonts w:asciiTheme="majorHAnsi" w:hAnsiTheme="majorHAnsi"/>
          <w:shd w:val="clear" w:color="auto" w:fill="FFFFFF"/>
        </w:rPr>
      </w:pPr>
      <w:r w:rsidRPr="00F918F5">
        <w:rPr>
          <w:rStyle w:val="longtext"/>
          <w:rFonts w:asciiTheme="majorHAnsi" w:hAnsiTheme="majorHAnsi"/>
          <w:shd w:val="clear" w:color="auto" w:fill="FFFFFF"/>
        </w:rPr>
        <w:t xml:space="preserve">Knowledge of mathematical content covers various aspects, including: the ability to describe mathematical relations, communicate mathematical knowledge and operate mathematical objects. This ability can be achieved by learning that emphasizes the use of various types of mathematical representations in solving problems. According to </w:t>
      </w:r>
      <w:r w:rsidR="003A33A8">
        <w:rPr>
          <w:rStyle w:val="longtext"/>
          <w:rFonts w:asciiTheme="majorHAnsi" w:hAnsiTheme="majorHAnsi"/>
          <w:shd w:val="clear" w:color="auto" w:fill="FFFFFF"/>
        </w:rPr>
        <w:fldChar w:fldCharType="begin" w:fldLock="1"/>
      </w:r>
      <w:r w:rsidR="003A33A8">
        <w:rPr>
          <w:rStyle w:val="longtext"/>
          <w:rFonts w:asciiTheme="majorHAnsi" w:hAnsiTheme="majorHAnsi"/>
          <w:shd w:val="clear" w:color="auto" w:fill="FFFFFF"/>
        </w:rPr>
        <w:instrText>ADDIN CSL_CITATION { "citationItems" : [ { "id" : "ITEM-1", "itemData" : { "DOI" : "10.2991/icli-17.2018.45", "abstract" : "This article aims to formulate the alternative of coherently integrated steps of learning fractions for elementary schools based on the analysis of subjects' ability. The subjects consist of 33 university students (future elementary school teachers), 29 elementary teachers spread out in Indonesia, and an elementary school teacher model. The analyzed abilities are the possibilities of difficulty and misunderstanding, and the order of learning steps of the relevant topics. The subjects' abilities were seen as being in a Zone of Actual Development (ZAD). Data were taken from the procedures of fraction problem-solving, questionnaires consisting of open questions, and the description of the classroom learning that was then analyzed qualitatively. The results showed that based on the ZAD analysis, the subjects have not been able to integrate a concrete representation with the general properties of the symbolic representation. Such identification and the integrated literature review resulted in the formulation of a learning step called as Theoretical Discussion.", "author" : [ { "dropping-particle" : "", "family" : "Rahardi", "given" : "Rustanto", "non-dropping-particle" : "", "parse-names" : false, "suffix" : "" }, { "dropping-particle" : "", "family" : "Irawan", "given" : "Edy Bambang", "non-dropping-particle" : "", "parse-names" : false, "suffix" : "" }, { "dropping-particle" : "", "family" : "Irawati", "given" : "Santi", "non-dropping-particle" : "", "parse-names" : false, "suffix" : "" } ], "id" : "ITEM-1", "issued" : { "date-parts" : [ [ "2018" ] ] }, "title" : "Investigating Indonesian Teachers' ZAD in the Representation of Fractions", "type" : "paper-conference" }, "uris" : [ "http://www.mendeley.com/documents/?uuid=061dd43e-dd05-401a-b228-5e8889962077", "http://www.mendeley.com/documents/?uuid=500eb144-b206-4762-a1c6-2ae40606e9b1" ] } ], "mendeley" : { "formattedCitation" : "(Rahardi et al., 2018)", "manualFormatting" : "Rahardi et al., (2018)", "plainTextFormattedCitation" : "(Rahardi et al., 2018)", "previouslyFormattedCitation" : "(Rahardi et al., 2018)" }, "properties" : { "noteIndex" : 0 }, "schema" : "https://github.com/citation-style-language/schema/raw/master/csl-citation.json" }</w:instrText>
      </w:r>
      <w:r w:rsidR="003A33A8">
        <w:rPr>
          <w:rStyle w:val="longtext"/>
          <w:rFonts w:asciiTheme="majorHAnsi" w:hAnsiTheme="majorHAnsi"/>
          <w:shd w:val="clear" w:color="auto" w:fill="FFFFFF"/>
        </w:rPr>
        <w:fldChar w:fldCharType="separate"/>
      </w:r>
      <w:r w:rsidR="003A33A8" w:rsidRPr="003A33A8">
        <w:rPr>
          <w:rStyle w:val="longtext"/>
          <w:rFonts w:asciiTheme="majorHAnsi" w:hAnsiTheme="majorHAnsi"/>
          <w:noProof/>
          <w:shd w:val="clear" w:color="auto" w:fill="FFFFFF"/>
        </w:rPr>
        <w:t xml:space="preserve">Rahardi et al., </w:t>
      </w:r>
      <w:r w:rsidR="003A33A8">
        <w:rPr>
          <w:rStyle w:val="longtext"/>
          <w:rFonts w:asciiTheme="majorHAnsi" w:hAnsiTheme="majorHAnsi"/>
          <w:noProof/>
          <w:shd w:val="clear" w:color="auto" w:fill="FFFFFF"/>
        </w:rPr>
        <w:t>(</w:t>
      </w:r>
      <w:r w:rsidR="003A33A8" w:rsidRPr="003A33A8">
        <w:rPr>
          <w:rStyle w:val="longtext"/>
          <w:rFonts w:asciiTheme="majorHAnsi" w:hAnsiTheme="majorHAnsi"/>
          <w:noProof/>
          <w:shd w:val="clear" w:color="auto" w:fill="FFFFFF"/>
        </w:rPr>
        <w:t>2018)</w:t>
      </w:r>
      <w:r w:rsidR="003A33A8">
        <w:rPr>
          <w:rStyle w:val="longtext"/>
          <w:rFonts w:asciiTheme="majorHAnsi" w:hAnsiTheme="majorHAnsi"/>
          <w:shd w:val="clear" w:color="auto" w:fill="FFFFFF"/>
        </w:rPr>
        <w:fldChar w:fldCharType="end"/>
      </w:r>
      <w:r w:rsidR="003A33A8">
        <w:rPr>
          <w:rStyle w:val="longtext"/>
          <w:rFonts w:asciiTheme="majorHAnsi" w:hAnsiTheme="majorHAnsi"/>
          <w:shd w:val="clear" w:color="auto" w:fill="FFFFFF"/>
        </w:rPr>
        <w:t xml:space="preserve"> </w:t>
      </w:r>
      <w:r w:rsidR="003A33A8" w:rsidRPr="003A33A8">
        <w:rPr>
          <w:rStyle w:val="longtext"/>
          <w:rFonts w:asciiTheme="majorHAnsi" w:hAnsiTheme="majorHAnsi"/>
          <w:shd w:val="clear" w:color="auto" w:fill="FFFFFF"/>
        </w:rPr>
        <w:t xml:space="preserve">there are seven ways to represent mathematical ideas, namely: </w:t>
      </w:r>
      <w:r w:rsidR="003A33A8" w:rsidRPr="003A33A8">
        <w:rPr>
          <w:rStyle w:val="longtext"/>
          <w:rFonts w:asciiTheme="majorHAnsi" w:hAnsiTheme="majorHAnsi"/>
          <w:shd w:val="clear" w:color="auto" w:fill="FFFFFF"/>
        </w:rPr>
        <w:t>(a) real world situations, (b) manipulative models, (c) pictures or diagrams, (d) writing special symbols, (e) inductive, (f) mathematical symbols and procedures, and (g) spoken words</w:t>
      </w:r>
      <w:r w:rsidRPr="00F918F5">
        <w:rPr>
          <w:rStyle w:val="longtext"/>
          <w:rFonts w:asciiTheme="majorHAnsi" w:hAnsiTheme="majorHAnsi"/>
          <w:shd w:val="clear" w:color="auto" w:fill="FFFFFF"/>
        </w:rPr>
        <w:t xml:space="preserve">. The development </w:t>
      </w:r>
      <w:r w:rsidRPr="00F918F5">
        <w:rPr>
          <w:rStyle w:val="longtext"/>
          <w:rFonts w:asciiTheme="majorHAnsi" w:hAnsiTheme="majorHAnsi"/>
          <w:shd w:val="clear" w:color="auto" w:fill="FFFFFF"/>
        </w:rPr>
        <w:lastRenderedPageBreak/>
        <w:t>of students' ability to move between and within these representations can improve their mathematical understanding both conceptually and procedurally.</w:t>
      </w:r>
    </w:p>
    <w:p w14:paraId="4D20108A" w14:textId="12BBDFE4" w:rsidR="00F918F5" w:rsidRDefault="00F918F5" w:rsidP="00E77E85">
      <w:pPr>
        <w:pStyle w:val="IEEEParagraph"/>
        <w:spacing w:line="23" w:lineRule="atLeast"/>
        <w:ind w:firstLine="360"/>
        <w:rPr>
          <w:rStyle w:val="longtext"/>
          <w:rFonts w:asciiTheme="majorHAnsi" w:hAnsiTheme="majorHAnsi"/>
          <w:shd w:val="clear" w:color="auto" w:fill="FFFFFF"/>
        </w:rPr>
      </w:pPr>
      <w:r w:rsidRPr="00F918F5">
        <w:rPr>
          <w:rStyle w:val="longtext"/>
          <w:rFonts w:asciiTheme="majorHAnsi" w:hAnsiTheme="majorHAnsi"/>
          <w:shd w:val="clear" w:color="auto" w:fill="FFFFFF"/>
        </w:rPr>
        <w:t xml:space="preserve">Students' proficiency in using mathematical concepts and procedures in solving problems depends on their fluency in translating problems into mathematical models </w:t>
      </w:r>
      <w:r w:rsidR="00B36084">
        <w:rPr>
          <w:rStyle w:val="longtext"/>
          <w:rFonts w:asciiTheme="majorHAnsi" w:hAnsiTheme="majorHAnsi"/>
          <w:shd w:val="clear" w:color="auto" w:fill="FFFFFF"/>
        </w:rPr>
        <w:fldChar w:fldCharType="begin" w:fldLock="1"/>
      </w:r>
      <w:r w:rsidR="00BF6D92">
        <w:rPr>
          <w:rStyle w:val="longtext"/>
          <w:rFonts w:asciiTheme="majorHAnsi" w:hAnsiTheme="majorHAnsi"/>
          <w:shd w:val="clear" w:color="auto" w:fill="FFFFFF"/>
        </w:rPr>
        <w:instrText>ADDIN CSL_CITATION { "citationItems" : [ { "id" : "ITEM-1", "itemData" : { "DOI" : "10.1016/j.sbspro.2015.07.197", "ISSN" : "18770428", "abstract" : "The main purpose of this study to examine the prospective primary school teachers' ability to transform multiple representations. This study is a descriptive survey model that has been applied to determine prospective teachers' skills of transforming multiple representations. The sample of this study was consisted of 134 prospective teachers who are at the third grade at the department of Primary School Education in a state university in the 2012-2013 academic year. \"Multiple Representation Transformation Test\" which was developed by the researcher was used as the data collection tool in the research. In conclusion, the prospective primary teachers are usually successful in transformations between representations; however, that they, in this process, are unsuccessful in transforming especially oral representations into other representations. Based on this result, the factors that cause the failures of the prospective teachers in transforming oral representation can be analyzed in another study.", "author" : [ { "dropping-particle" : "", "family" : "Bal", "given" : "Ayten Pinar", "non-dropping-particle" : "", "parse-names" : false, "suffix" : "" } ], "container-title" : "Procedia - Social and Behavioral Sciences", "id" : "ITEM-1", "issued" : { "date-parts" : [ [ "2015" ] ] }, "page" : "582-588", "title" : "Skills of Using and Transform Multiple Representations of the Prospective Teachers", "type" : "article-journal", "volume" : "197" }, "uris" : [ "http://www.mendeley.com/documents/?uuid=bfc132dd-c769-49dc-b17f-6ad1aed331cc", "http://www.mendeley.com/documents/?uuid=f64259d9-ded5-4783-a5c2-43bb86e37774" ] } ], "mendeley" : { "formattedCitation" : "(Bal, 2015)", "plainTextFormattedCitation" : "(Bal, 2015)", "previouslyFormattedCitation" : "(Bal, 2015)" }, "properties" : { "noteIndex" : 0 }, "schema" : "https://github.com/citation-style-language/schema/raw/master/csl-citation.json" }</w:instrText>
      </w:r>
      <w:r w:rsidR="00B36084">
        <w:rPr>
          <w:rStyle w:val="longtext"/>
          <w:rFonts w:asciiTheme="majorHAnsi" w:hAnsiTheme="majorHAnsi"/>
          <w:shd w:val="clear" w:color="auto" w:fill="FFFFFF"/>
        </w:rPr>
        <w:fldChar w:fldCharType="separate"/>
      </w:r>
      <w:r w:rsidR="00B36084" w:rsidRPr="00B36084">
        <w:rPr>
          <w:rStyle w:val="longtext"/>
          <w:rFonts w:asciiTheme="majorHAnsi" w:hAnsiTheme="majorHAnsi"/>
          <w:noProof/>
          <w:shd w:val="clear" w:color="auto" w:fill="FFFFFF"/>
        </w:rPr>
        <w:t>(Bal, 2015)</w:t>
      </w:r>
      <w:r w:rsidR="00B36084">
        <w:rPr>
          <w:rStyle w:val="longtext"/>
          <w:rFonts w:asciiTheme="majorHAnsi" w:hAnsiTheme="majorHAnsi"/>
          <w:shd w:val="clear" w:color="auto" w:fill="FFFFFF"/>
        </w:rPr>
        <w:fldChar w:fldCharType="end"/>
      </w:r>
      <w:r w:rsidR="0048612F">
        <w:rPr>
          <w:rStyle w:val="longtext"/>
          <w:rFonts w:asciiTheme="majorHAnsi" w:hAnsiTheme="majorHAnsi"/>
          <w:shd w:val="clear" w:color="auto" w:fill="FFFFFF"/>
        </w:rPr>
        <w:t xml:space="preserve">. </w:t>
      </w:r>
      <w:r w:rsidRPr="00F918F5">
        <w:rPr>
          <w:rStyle w:val="longtext"/>
          <w:rFonts w:asciiTheme="majorHAnsi" w:hAnsiTheme="majorHAnsi"/>
          <w:shd w:val="clear" w:color="auto" w:fill="FFFFFF"/>
        </w:rPr>
        <w:t xml:space="preserve">Mathematical problem modeling is related to the activity of constructing different mathematical representations. For example, create a symbolic model (symbolic representation) of real world situation problems (verbal representation). The cognitive process in changing one form of mathematical representation to another from a different mathematical representation is called translation between mathematical representations </w:t>
      </w:r>
      <w:r w:rsidR="001244AA">
        <w:rPr>
          <w:rStyle w:val="longtext"/>
          <w:rFonts w:asciiTheme="majorHAnsi" w:hAnsiTheme="majorHAnsi"/>
          <w:shd w:val="clear" w:color="auto" w:fill="FFFFFF"/>
        </w:rPr>
        <w:fldChar w:fldCharType="begin" w:fldLock="1"/>
      </w:r>
      <w:r w:rsidR="00763FE2">
        <w:rPr>
          <w:rStyle w:val="longtext"/>
          <w:rFonts w:asciiTheme="majorHAnsi" w:hAnsiTheme="majorHAnsi"/>
          <w:shd w:val="clear" w:color="auto" w:fill="FFFFFF"/>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"http://www.mendeley.com/documents/?uuid=83db75a7-7a12-4749-879b-28f86372fb93" ] } ], "mendeley" : { "formattedCitation" : "(Boss\u00e9 et al., 2014)", "plainTextFormattedCitation" : "(Boss\u00e9 et al., 2014)", "previouslyFormattedCitation" : "(Boss\u00e9 et al., 2014)" }, "properties" : { "noteIndex" : 0 }, "schema" : "https://github.com/citation-style-language/schema/raw/master/csl-citation.json" }</w:instrText>
      </w:r>
      <w:r w:rsidR="001244AA">
        <w:rPr>
          <w:rStyle w:val="longtext"/>
          <w:rFonts w:asciiTheme="majorHAnsi" w:hAnsiTheme="majorHAnsi"/>
          <w:shd w:val="clear" w:color="auto" w:fill="FFFFFF"/>
        </w:rPr>
        <w:fldChar w:fldCharType="separate"/>
      </w:r>
      <w:r w:rsidR="001244AA" w:rsidRPr="001244AA">
        <w:rPr>
          <w:rStyle w:val="longtext"/>
          <w:rFonts w:asciiTheme="majorHAnsi" w:hAnsiTheme="majorHAnsi"/>
          <w:noProof/>
          <w:shd w:val="clear" w:color="auto" w:fill="FFFFFF"/>
        </w:rPr>
        <w:t>(Bossé et al., 2014)</w:t>
      </w:r>
      <w:r w:rsidR="001244AA">
        <w:rPr>
          <w:rStyle w:val="longtext"/>
          <w:rFonts w:asciiTheme="majorHAnsi" w:hAnsiTheme="majorHAnsi"/>
          <w:shd w:val="clear" w:color="auto" w:fill="FFFFFF"/>
        </w:rPr>
        <w:fldChar w:fldCharType="end"/>
      </w:r>
      <w:r w:rsidR="001244AA">
        <w:rPr>
          <w:rStyle w:val="longtext"/>
          <w:rFonts w:asciiTheme="majorHAnsi" w:hAnsiTheme="majorHAnsi"/>
          <w:shd w:val="clear" w:color="auto" w:fill="FFFFFF"/>
        </w:rPr>
        <w:t xml:space="preserve">. </w:t>
      </w:r>
      <w:r w:rsidRPr="00F918F5">
        <w:rPr>
          <w:rStyle w:val="longtext"/>
          <w:rFonts w:asciiTheme="majorHAnsi" w:hAnsiTheme="majorHAnsi"/>
          <w:shd w:val="clear" w:color="auto" w:fill="FFFFFF"/>
        </w:rPr>
        <w:t>The term used in this study is mathematical translational thinking</w:t>
      </w:r>
      <w:r>
        <w:rPr>
          <w:rStyle w:val="longtext"/>
          <w:rFonts w:asciiTheme="majorHAnsi" w:hAnsiTheme="majorHAnsi"/>
          <w:shd w:val="clear" w:color="auto" w:fill="FFFFFF"/>
        </w:rPr>
        <w:t>.</w:t>
      </w:r>
    </w:p>
    <w:p w14:paraId="62275BCB" w14:textId="54B1B8F4" w:rsidR="004A508E" w:rsidRDefault="004A508E" w:rsidP="00E77E85">
      <w:pPr>
        <w:pStyle w:val="IEEEParagraph"/>
        <w:spacing w:line="23" w:lineRule="atLeast"/>
        <w:ind w:firstLine="360"/>
        <w:rPr>
          <w:rStyle w:val="longtext"/>
          <w:rFonts w:asciiTheme="majorHAnsi" w:hAnsiTheme="majorHAnsi"/>
          <w:shd w:val="clear" w:color="auto" w:fill="FFFFFF"/>
        </w:rPr>
      </w:pPr>
      <w:r w:rsidRPr="004A508E">
        <w:rPr>
          <w:rStyle w:val="longtext"/>
          <w:rFonts w:asciiTheme="majorHAnsi" w:hAnsiTheme="majorHAnsi"/>
          <w:shd w:val="clear" w:color="auto" w:fill="FFFFFF"/>
        </w:rPr>
        <w:t xml:space="preserve">Some researchers define mathematical translational thinking. According to </w:t>
      </w:r>
      <w:r w:rsidR="00053070">
        <w:rPr>
          <w:rStyle w:val="longtext"/>
          <w:rFonts w:asciiTheme="majorHAnsi" w:hAnsiTheme="majorHAnsi"/>
          <w:shd w:val="clear" w:color="auto" w:fill="FFFFFF"/>
        </w:rPr>
        <w:fldChar w:fldCharType="begin" w:fldLock="1"/>
      </w:r>
      <w:r w:rsidR="00EE4555">
        <w:rPr>
          <w:rStyle w:val="longtext"/>
          <w:rFonts w:asciiTheme="majorHAnsi" w:hAnsiTheme="majorHAnsi"/>
          <w:shd w:val="clear" w:color="auto" w:fill="FFFFFF"/>
        </w:rPr>
        <w:instrText>ADDIN CSL_CITATION { "citationItems" : [ { "id" : "ITEM-1", "itemData" : { "DOI" : "10.20414/betajtm.v13i2.327", "ISSN" : "2085-5893", "abstract" : "\u00a0[English]: The fragmentation of thinking structure is a failed construction existing in students\u2019 memory due to disconnections on what they have learned. It makes students undergo difficulties and errors in solving mathematical modeling problems. There is a need to prevent permanent fragmentations. The problem-solving involving modeling problems requires translational thinking, changing from source representations to targeted representations. This research aimed to formulate undergraduate students\u2019 effort in restructuring their fragmented translational thinking (defragmentation of translational thinking structure). The defragmentation was mapped through the CRA framework (checking, repairing, ascertaining). The subjects were three of eighty-five 4th and 6th-semester students. Data were analyzed through three stages; categorization, reduction, and conclusion. The analysis resulted in three types of defragmentation of translational thinking structure: from verbal representations to graph representations, from graph representations to symbolic representations (algebraic forms), and from the graph and symbolic representations to mathematical models. The finding shows that it is essential for mathematics educators to allow students to manage their thinking structures while experiencing difficulties and errors in mathematical problem-solving.\r Keywords: Thinking structure, Fragmentation, Defragmentation, Translational thinking, CRA framework\u00a0\r [Bahasa]: Fragmentasi struktur berpikir merupakan kegagalan konstruksi yang terjadi di dalam memori akibat dari konsep-konsep yang dipelajari tidak terkoneksi dengan baik. Hal ini membuat mahasiswa sering mengalami kesulitan dan kesalahan dalam memecahkan masalah pemodelan matematika. Untuk itu, perlu dilakukan upaya agar tidak terjadi fragmentasi struktur berpikir yang permanen. Dalam memecahkan masalah pemodelan matematika, mahasiswa perlu melakukan berpikir translasi, yaitu mengubah representasi sumber menjadi representasi yang ditargetkan. Penelitian ini bertujuan untuk merumuskan upaya mahasiswa dalam melakukan penataan fragmentasi struktur berpikir translasi yang terjadi (defragmentasi struktur berpikir translasi) dalam memecahkan masalah pemodelan matematika. Defragmentasi yang dilakukan mahasiswa dipetakan melalui kerangka CRA (checking, repairing, dan ascertaining). Subjek penelitian adalah mahasiswa semester 4 dan 6 yang terdiri dari 3 orang dipilih dari 85 mahasiswa. Analisis data dilakukan melalui tiga taha\u2026", "author" : [ { "dropping-particle" : "", "family" : "Wibawa", "given" : "Kadek Adi", "non-dropping-particle" : "", "parse-names" : false, "suffix" : "" }, { "dropping-particle" : "", "family" : "Payadnya", "given" : "I Putu Ade Andre", "non-dropping-particle" : "", "parse-names" : false, "suffix" : "" }, { "dropping-particle" : "", "family" : "Atmaja", "given" : "I Made Dharma", "non-dropping-particle" : "", "parse-names" : false, "suffix" : "" }, { "dropping-particle" : "", "family" : "Simons", "given" : "Marius Derick", "non-dropping-particle" : "", "parse-names" : false, "suffix" : "" } ], "container-title" : "Beta: Jurnal Tadris Matematika", "id" : "ITEM-1", "issue" : "2", "issued" : { "date-parts" : [ [ "2020" ] ] }, "page" : "130-151", "title" : "Defragmenting structures of students\u2019 translational thinking in solving mathematical modeling problems based on CRA framework", "type" : "article-journal", "volume" : "13" }, "uris" : [ "http://www.mendeley.com/documents/?uuid=cd5bfb5b-3329-4e3a-8492-df0cc0bc40b3", "http://www.mendeley.com/documents/?uuid=8a455417-5fdd-412f-8493-d01a295f5052" ] } ], "mendeley" : { "formattedCitation" : "(Wibawa et al., 2020)", "manualFormatting" : "Wibawa et al., (2020)", "plainTextFormattedCitation" : "(Wibawa et al., 2020)", "previouslyFormattedCitation" : "(Wibawa et al., 2020)" }, "properties" : { "noteIndex" : 0 }, "schema" : "https://github.com/citation-style-language/schema/raw/master/csl-citation.json" }</w:instrText>
      </w:r>
      <w:r w:rsidR="00053070">
        <w:rPr>
          <w:rStyle w:val="longtext"/>
          <w:rFonts w:asciiTheme="majorHAnsi" w:hAnsiTheme="majorHAnsi"/>
          <w:shd w:val="clear" w:color="auto" w:fill="FFFFFF"/>
        </w:rPr>
        <w:fldChar w:fldCharType="separate"/>
      </w:r>
      <w:r w:rsidR="00053070" w:rsidRPr="00053070">
        <w:rPr>
          <w:rStyle w:val="longtext"/>
          <w:rFonts w:asciiTheme="majorHAnsi" w:hAnsiTheme="majorHAnsi"/>
          <w:noProof/>
          <w:shd w:val="clear" w:color="auto" w:fill="FFFFFF"/>
        </w:rPr>
        <w:t xml:space="preserve">Wibawa et al., </w:t>
      </w:r>
      <w:r w:rsidR="002304B8">
        <w:rPr>
          <w:rStyle w:val="longtext"/>
          <w:rFonts w:asciiTheme="majorHAnsi" w:hAnsiTheme="majorHAnsi"/>
          <w:noProof/>
          <w:shd w:val="clear" w:color="auto" w:fill="FFFFFF"/>
        </w:rPr>
        <w:t>(</w:t>
      </w:r>
      <w:r w:rsidR="00053070" w:rsidRPr="00053070">
        <w:rPr>
          <w:rStyle w:val="longtext"/>
          <w:rFonts w:asciiTheme="majorHAnsi" w:hAnsiTheme="majorHAnsi"/>
          <w:noProof/>
          <w:shd w:val="clear" w:color="auto" w:fill="FFFFFF"/>
        </w:rPr>
        <w:t>2020)</w:t>
      </w:r>
      <w:r w:rsidR="00053070">
        <w:rPr>
          <w:rStyle w:val="longtext"/>
          <w:rFonts w:asciiTheme="majorHAnsi" w:hAnsiTheme="majorHAnsi"/>
          <w:shd w:val="clear" w:color="auto" w:fill="FFFFFF"/>
        </w:rPr>
        <w:fldChar w:fldCharType="end"/>
      </w:r>
      <w:r w:rsidR="00053070">
        <w:rPr>
          <w:rStyle w:val="longtext"/>
          <w:rFonts w:asciiTheme="majorHAnsi" w:hAnsiTheme="majorHAnsi"/>
          <w:shd w:val="clear" w:color="auto" w:fill="FFFFFF"/>
        </w:rPr>
        <w:t xml:space="preserve"> </w:t>
      </w:r>
      <w:r w:rsidRPr="004A508E">
        <w:rPr>
          <w:rStyle w:val="longtext"/>
          <w:rFonts w:asciiTheme="majorHAnsi" w:hAnsiTheme="majorHAnsi"/>
          <w:shd w:val="clear" w:color="auto" w:fill="FFFFFF"/>
        </w:rPr>
        <w:t xml:space="preserve">mathematical translation is a psychological, intellectual or cognitive process associated with changing the information encoded in one mathematical representation (source) to another mathematical representation (target). Another definition stated by </w:t>
      </w:r>
      <w:r w:rsidR="001B0AAE">
        <w:rPr>
          <w:rStyle w:val="longtext"/>
          <w:rFonts w:asciiTheme="majorHAnsi" w:hAnsiTheme="majorHAnsi"/>
          <w:shd w:val="clear" w:color="auto" w:fill="FFFFFF"/>
        </w:rPr>
        <w:fldChar w:fldCharType="begin" w:fldLock="1"/>
      </w:r>
      <w:r w:rsidR="001B0AAE">
        <w:rPr>
          <w:rStyle w:val="longtext"/>
          <w:rFonts w:asciiTheme="majorHAnsi" w:hAnsiTheme="majorHAnsi"/>
          <w:shd w:val="clear" w:color="auto" w:fill="FFFFFF"/>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"http://www.mendeley.com/documents/?uuid=a2139259-05ed-46ad-9e8d-bf994d34d974", "http://www.mendeley.com/documents/?uuid=83db75a7-7a12-4749-879b-28f86372fb93" ] } ], "mendeley" : { "formattedCitation" : "(Boss\u00e9 et al., 2014)", "manualFormatting" : "Boss\u00e9 et al., (2014)", "plainTextFormattedCitation" : "(Boss\u00e9 et al., 2014)", "previouslyFormattedCitation" : "(Boss\u00e9 et al., 2014)" }, "properties" : { "noteIndex" : 0 }, "schema" : "https://github.com/citation-style-language/schema/raw/master/csl-citation.json" }</w:instrText>
      </w:r>
      <w:r w:rsidR="001B0AAE">
        <w:rPr>
          <w:rStyle w:val="longtext"/>
          <w:rFonts w:asciiTheme="majorHAnsi" w:hAnsiTheme="majorHAnsi"/>
          <w:shd w:val="clear" w:color="auto" w:fill="FFFFFF"/>
        </w:rPr>
        <w:fldChar w:fldCharType="separate"/>
      </w:r>
      <w:r w:rsidR="001B0AAE" w:rsidRPr="001B0AAE">
        <w:rPr>
          <w:rStyle w:val="longtext"/>
          <w:rFonts w:asciiTheme="majorHAnsi" w:hAnsiTheme="majorHAnsi"/>
          <w:noProof/>
          <w:shd w:val="clear" w:color="auto" w:fill="FFFFFF"/>
        </w:rPr>
        <w:t xml:space="preserve">Bossé et al., </w:t>
      </w:r>
      <w:r w:rsidR="001B0AAE">
        <w:rPr>
          <w:rStyle w:val="longtext"/>
          <w:rFonts w:asciiTheme="majorHAnsi" w:hAnsiTheme="majorHAnsi"/>
          <w:noProof/>
          <w:shd w:val="clear" w:color="auto" w:fill="FFFFFF"/>
        </w:rPr>
        <w:t>(</w:t>
      </w:r>
      <w:r w:rsidR="001B0AAE" w:rsidRPr="001B0AAE">
        <w:rPr>
          <w:rStyle w:val="longtext"/>
          <w:rFonts w:asciiTheme="majorHAnsi" w:hAnsiTheme="majorHAnsi"/>
          <w:noProof/>
          <w:shd w:val="clear" w:color="auto" w:fill="FFFFFF"/>
        </w:rPr>
        <w:t>2014)</w:t>
      </w:r>
      <w:r w:rsidR="001B0AAE">
        <w:rPr>
          <w:rStyle w:val="longtext"/>
          <w:rFonts w:asciiTheme="majorHAnsi" w:hAnsiTheme="majorHAnsi"/>
          <w:shd w:val="clear" w:color="auto" w:fill="FFFFFF"/>
        </w:rPr>
        <w:fldChar w:fldCharType="end"/>
      </w:r>
      <w:r w:rsidRPr="004A508E">
        <w:rPr>
          <w:rStyle w:val="longtext"/>
          <w:rFonts w:asciiTheme="majorHAnsi" w:hAnsiTheme="majorHAnsi"/>
          <w:shd w:val="clear" w:color="auto" w:fill="FFFFFF"/>
        </w:rPr>
        <w:t xml:space="preserve"> which views mathematical translation as a process in which constructions or ideas formed from a mathematical representation (source) that have been successfully reformulated into a targeted mathematical representation, using structures and characteristics that are in accordance with the targeted representation. This means that mathematical translation activities involve at least two different types of representations. The translation between the two forms of representation involves several cognitive activities, such as</w:t>
      </w:r>
      <w:r w:rsidR="00081DF9">
        <w:rPr>
          <w:rStyle w:val="longtext"/>
          <w:rFonts w:asciiTheme="majorHAnsi" w:hAnsiTheme="majorHAnsi"/>
          <w:shd w:val="clear" w:color="auto" w:fill="FFFFFF"/>
        </w:rPr>
        <w:t xml:space="preserve"> </w:t>
      </w:r>
      <w:r w:rsidRPr="004A508E">
        <w:rPr>
          <w:rStyle w:val="longtext"/>
          <w:rFonts w:asciiTheme="majorHAnsi" w:hAnsiTheme="majorHAnsi"/>
          <w:shd w:val="clear" w:color="auto" w:fill="FFFFFF"/>
        </w:rPr>
        <w:t xml:space="preserve">mapping or constructing ideas from one form of representation to another </w:t>
      </w:r>
      <w:r w:rsidR="00B55D34">
        <w:rPr>
          <w:rStyle w:val="longtext"/>
          <w:rFonts w:asciiTheme="majorHAnsi" w:hAnsiTheme="majorHAnsi"/>
          <w:shd w:val="clear" w:color="auto" w:fill="FFFFFF"/>
        </w:rPr>
        <w:fldChar w:fldCharType="begin" w:fldLock="1"/>
      </w:r>
      <w:r w:rsidR="00F44FD0">
        <w:rPr>
          <w:rStyle w:val="longtext"/>
          <w:rFonts w:asciiTheme="majorHAnsi" w:hAnsiTheme="majorHAnsi"/>
          <w:shd w:val="clear" w:color="auto" w:fill="FFFFFF"/>
        </w:rPr>
        <w:instrText>ADDIN CSL_CITATION { "citationItems" : [ { "id" : "ITEM-1", "itemData" : { "DOI" : "10.1111/j.1949-8594.2011.00129.x", "abstract" : "Translation errors and conceptual misunderstandings made by students translating among graphical, tabular, and symbolic representations of linear functions were examined. The study situated student errors in the context of the \u201cTranslation-Verification Model\u201d developed specifically for the purpose of explaining student behavior during the process of translating relationships from one mathematical representation to another. Three distinct error types were identified to explain student performance.An examination of the error types revealed that specific translation errors tend to occur at different stages of the translation process. Translation errors are also related to \u201cattribute density,\u201d the amount of information inherently encoded in a given representation. The findings of the study have implications for teaching linear relationships\u2014student weaknesses and strengths are identified.", "author" : [ { "dropping-particle" : "", "family" : "Adu-Gyamfi", "given" : "Kwaku", "non-dropping-particle" : "", "parse-names" : false, "suffix" : "" }, { "dropping-particle" : "V.", "family" : "Stiff", "given" : "Lee", "non-dropping-particle" : "", "parse-names" : false, "suffix" : "" }, { "dropping-particle" : "", "family" : "Boss\u00e9", "given" : "Michael J.", "non-dropping-particle" : "", "parse-names" : false, "suffix" : "" } ], "container-title" : "School Science and Mathematics", "id" : "ITEM-1", "issue" : "3", "issued" : { "date-parts" : [ [ "2012" ] ] }, "page" : "159-170", "title" : "Lost in Translation: Examining Translation Errors Associated With Mathematical Representations", "type" : "article-journal", "volume" : "112" }, "uris" : [ "http://www.mendeley.com/documents/?uuid=5f484e8d-6357-4d76-94da-d0b63b919485", "http://www.mendeley.com/documents/?uuid=c62e2260-9b32-473b-8575-f41ae702f2ca" ] } ], "mendeley" : { "formattedCitation" : "(Adu-Gyamfi et al., 2012)", "plainTextFormattedCitation" : "(Adu-Gyamfi et al., 2012)", "previouslyFormattedCitation" : "(Adu-Gyamfi et al., 2012)" }, "properties" : { "noteIndex" : 0 }, "schema" : "https://github.com/citation-style-language/schema/raw/master/csl-citation.json" }</w:instrText>
      </w:r>
      <w:r w:rsidR="00B55D34">
        <w:rPr>
          <w:rStyle w:val="longtext"/>
          <w:rFonts w:asciiTheme="majorHAnsi" w:hAnsiTheme="majorHAnsi"/>
          <w:shd w:val="clear" w:color="auto" w:fill="FFFFFF"/>
        </w:rPr>
        <w:fldChar w:fldCharType="separate"/>
      </w:r>
      <w:r w:rsidR="00B55D34" w:rsidRPr="00B55D34">
        <w:rPr>
          <w:rStyle w:val="longtext"/>
          <w:rFonts w:asciiTheme="majorHAnsi" w:hAnsiTheme="majorHAnsi"/>
          <w:noProof/>
          <w:shd w:val="clear" w:color="auto" w:fill="FFFFFF"/>
        </w:rPr>
        <w:t>(Adu-Gyamfi et al., 2012)</w:t>
      </w:r>
      <w:r w:rsidR="00B55D34">
        <w:rPr>
          <w:rStyle w:val="longtext"/>
          <w:rFonts w:asciiTheme="majorHAnsi" w:hAnsiTheme="majorHAnsi"/>
          <w:shd w:val="clear" w:color="auto" w:fill="FFFFFF"/>
        </w:rPr>
        <w:fldChar w:fldCharType="end"/>
      </w:r>
      <w:r w:rsidR="00B55D34">
        <w:rPr>
          <w:rStyle w:val="longtext"/>
          <w:rFonts w:asciiTheme="majorHAnsi" w:hAnsiTheme="majorHAnsi"/>
          <w:shd w:val="clear" w:color="auto" w:fill="FFFFFF"/>
        </w:rPr>
        <w:t>.</w:t>
      </w:r>
    </w:p>
    <w:p w14:paraId="1AF95689" w14:textId="6A12C84C" w:rsidR="004A508E" w:rsidRDefault="00E95272" w:rsidP="00E77E85">
      <w:pPr>
        <w:pStyle w:val="IEEEParagraph"/>
        <w:spacing w:line="23" w:lineRule="atLeast"/>
        <w:ind w:firstLine="360"/>
        <w:rPr>
          <w:rStyle w:val="longtext"/>
          <w:rFonts w:asciiTheme="majorHAnsi" w:hAnsiTheme="majorHAnsi"/>
          <w:shd w:val="clear" w:color="auto" w:fill="FFFFFF"/>
        </w:rPr>
      </w:pPr>
      <w:r w:rsidRPr="00E95272">
        <w:rPr>
          <w:rStyle w:val="longtext"/>
          <w:rFonts w:asciiTheme="majorHAnsi" w:hAnsiTheme="majorHAnsi"/>
          <w:shd w:val="clear" w:color="auto" w:fill="FFFFFF"/>
        </w:rPr>
        <w:t xml:space="preserve">Furthermore, </w:t>
      </w:r>
      <w:r w:rsidR="00BF6D92">
        <w:rPr>
          <w:rStyle w:val="longtext"/>
          <w:rFonts w:asciiTheme="majorHAnsi" w:hAnsiTheme="majorHAnsi"/>
          <w:shd w:val="clear" w:color="auto" w:fill="FFFFFF"/>
        </w:rPr>
        <w:fldChar w:fldCharType="begin" w:fldLock="1"/>
      </w:r>
      <w:r w:rsidR="00BF6D92">
        <w:rPr>
          <w:rStyle w:val="longtext"/>
          <w:rFonts w:asciiTheme="majorHAnsi" w:hAnsiTheme="majorHAnsi"/>
          <w:shd w:val="clear" w:color="auto" w:fill="FFFFFF"/>
        </w:rPr>
        <w:instrText>ADDIN CSL_CITATION { "citationItems" : [ { "id" : "ITEM-1", "itemData" : { "DOI" : "10.1111/ssm.12360", "ISSN" : "19498594", "abstract" : "Previous research has investigated the representational translation practices of high school students, high school teachers, and college preservice teachers in various mathematical contexts including linear functions. Findings from qualitative research has frequently led to new notions about participant work and understanding. Many quantitative research has investigated the degree to which some in these populations correctly perform these translations. However, it seems that only infrequently have empirical research investigated findings from qualitative studies and vice versa, and findings regarding one population are rarely compared with findings of another population. This study (a) empirically explores the frequency of success of preservice teachers (N\u00a0=\u00a080) regarding representational translations in the context of linear functions, (b) quantifies results from previous qualitative, literature-based research regarding high school students and teachers, and (c) quantitatively compares the results. This study demonstrates that some mathematical representational translations are more difficult than others.", "author" : [ { "dropping-particle" : "", "family" : "Adu-Gyamfi", "given" : "Kwaku", "non-dropping-particle" : "", "parse-names" : false, "suffix" : "" }, { "dropping-particle" : "", "family" : "Boss\u00e9", "given" : "Michael J.", "non-dropping-particle" : "", "parse-names" : false, "suffix" : "" }, { "dropping-particle" : "", "family" : "Lynch-Davis", "given" : "Kathleen", "non-dropping-particle" : "", "parse-names" : false, "suffix" : "" } ], "container-title" : "School Science and Mathematics", "id" : "ITEM-1", "issue" : "7", "issued" : { "date-parts" : [ [ "2019" ] ] }, "page" : "396-404", "title" : "Three types of mathematical representational translations: Comparing empirical and theoretical results", "type" : "article-journal", "volume" : "119" }, "uris" : [ "http://www.mendeley.com/documents/?uuid=a5bc590e-97c1-4946-b92a-39e0eb3b4e78", "http://www.mendeley.com/documents/?uuid=1a688683-8fe7-4ec5-ba17-0df7f04add5a" ] } ], "mendeley" : { "formattedCitation" : "(Adu-Gyamfi et al., 2019)", "manualFormatting" : "Adu-Gyamfi et al., (2019)", "plainTextFormattedCitation" : "(Adu-Gyamfi et al., 2019)", "previouslyFormattedCitation" : "(Adu-Gyamfi et al., 2019)" }, "properties" : { "noteIndex" : 0 }, "schema" : "https://github.com/citation-style-language/schema/raw/master/csl-citation.json" }</w:instrText>
      </w:r>
      <w:r w:rsidR="00BF6D92">
        <w:rPr>
          <w:rStyle w:val="longtext"/>
          <w:rFonts w:asciiTheme="majorHAnsi" w:hAnsiTheme="majorHAnsi"/>
          <w:shd w:val="clear" w:color="auto" w:fill="FFFFFF"/>
        </w:rPr>
        <w:fldChar w:fldCharType="separate"/>
      </w:r>
      <w:r w:rsidR="00BF6D92" w:rsidRPr="00BF6D92">
        <w:rPr>
          <w:rStyle w:val="longtext"/>
          <w:rFonts w:asciiTheme="majorHAnsi" w:hAnsiTheme="majorHAnsi"/>
          <w:noProof/>
          <w:shd w:val="clear" w:color="auto" w:fill="FFFFFF"/>
        </w:rPr>
        <w:t xml:space="preserve">Adu-Gyamfi et al., </w:t>
      </w:r>
      <w:r w:rsidR="00BF6D92">
        <w:rPr>
          <w:rStyle w:val="longtext"/>
          <w:rFonts w:asciiTheme="majorHAnsi" w:hAnsiTheme="majorHAnsi"/>
          <w:noProof/>
          <w:shd w:val="clear" w:color="auto" w:fill="FFFFFF"/>
        </w:rPr>
        <w:t>(</w:t>
      </w:r>
      <w:r w:rsidR="00BF6D92" w:rsidRPr="00BF6D92">
        <w:rPr>
          <w:rStyle w:val="longtext"/>
          <w:rFonts w:asciiTheme="majorHAnsi" w:hAnsiTheme="majorHAnsi"/>
          <w:noProof/>
          <w:shd w:val="clear" w:color="auto" w:fill="FFFFFF"/>
        </w:rPr>
        <w:t>2019)</w:t>
      </w:r>
      <w:r w:rsidR="00BF6D92">
        <w:rPr>
          <w:rStyle w:val="longtext"/>
          <w:rFonts w:asciiTheme="majorHAnsi" w:hAnsiTheme="majorHAnsi"/>
          <w:shd w:val="clear" w:color="auto" w:fill="FFFFFF"/>
        </w:rPr>
        <w:fldChar w:fldCharType="end"/>
      </w:r>
      <w:r w:rsidR="00BF6D92">
        <w:rPr>
          <w:rStyle w:val="longtext"/>
          <w:rFonts w:asciiTheme="majorHAnsi" w:hAnsiTheme="majorHAnsi"/>
          <w:shd w:val="clear" w:color="auto" w:fill="FFFFFF"/>
        </w:rPr>
        <w:t xml:space="preserve"> </w:t>
      </w:r>
      <w:r w:rsidRPr="00E95272">
        <w:rPr>
          <w:rStyle w:val="longtext"/>
          <w:rFonts w:asciiTheme="majorHAnsi" w:hAnsiTheme="majorHAnsi"/>
          <w:shd w:val="clear" w:color="auto" w:fill="FFFFFF"/>
        </w:rPr>
        <w:t xml:space="preserve">argues that translation between mathematical representations is a process by which concepts and attributes that are meaningful in (initial) mathematical representations are interpreted or mapped into correlated structures and attributes in other (final) representations through the use of appropriate heuristics. The initial representation is called the source representation and the final representation is called the target representation. </w:t>
      </w:r>
    </w:p>
    <w:p w14:paraId="6A798CCD" w14:textId="28C24B28" w:rsidR="00E95272" w:rsidRDefault="00E95272" w:rsidP="00E77E85">
      <w:pPr>
        <w:pStyle w:val="IEEEParagraph"/>
        <w:spacing w:line="23" w:lineRule="atLeast"/>
        <w:ind w:firstLine="360"/>
        <w:rPr>
          <w:rStyle w:val="longtext"/>
          <w:rFonts w:asciiTheme="majorHAnsi" w:hAnsiTheme="majorHAnsi"/>
          <w:shd w:val="clear" w:color="auto" w:fill="FFFFFF"/>
        </w:rPr>
      </w:pPr>
      <w:r w:rsidRPr="00E95272">
        <w:rPr>
          <w:rStyle w:val="longtext"/>
          <w:rFonts w:asciiTheme="majorHAnsi" w:hAnsiTheme="majorHAnsi"/>
          <w:shd w:val="clear" w:color="auto" w:fill="FFFFFF"/>
        </w:rPr>
        <w:t>Several studies have shown that mathematical translational thinking can improve mathematical connection and problem</w:t>
      </w:r>
      <w:r w:rsidR="008F4BD0">
        <w:rPr>
          <w:rStyle w:val="longtext"/>
          <w:rFonts w:asciiTheme="majorHAnsi" w:hAnsiTheme="majorHAnsi"/>
          <w:shd w:val="clear" w:color="auto" w:fill="FFFFFF"/>
        </w:rPr>
        <w:t xml:space="preserve"> </w:t>
      </w:r>
      <w:r w:rsidRPr="00E95272">
        <w:rPr>
          <w:rStyle w:val="longtext"/>
          <w:rFonts w:asciiTheme="majorHAnsi" w:hAnsiTheme="majorHAnsi"/>
          <w:shd w:val="clear" w:color="auto" w:fill="FFFFFF"/>
        </w:rPr>
        <w:t xml:space="preserve">solving abilities and develop deep conceptual understanding </w:t>
      </w:r>
      <w:r w:rsidR="00B55D34">
        <w:rPr>
          <w:rStyle w:val="longtext"/>
          <w:rFonts w:asciiTheme="majorHAnsi" w:hAnsiTheme="majorHAnsi"/>
          <w:shd w:val="clear" w:color="auto" w:fill="FFFFFF"/>
        </w:rPr>
        <w:fldChar w:fldCharType="begin" w:fldLock="1"/>
      </w:r>
      <w:r w:rsidR="00B55D34">
        <w:rPr>
          <w:rStyle w:val="longtext"/>
          <w:rFonts w:asciiTheme="majorHAnsi" w:hAnsiTheme="majorHAnsi"/>
          <w:shd w:val="clear" w:color="auto" w:fill="FFFFFF"/>
        </w:rPr>
        <w:instrText>ADDIN CSL_CITATION { "citationItems" : [ { "id" : "ITEM-1", "itemData" : { "DOI" : "10.1007/s10763-016-9730-1", "ISSN" : "15731774", "abstract" : "When establishing connections among representations of associated mathematical concepts, students encounter different difficulties and successes along the way. The purpose of this study was to uncover information about and gain greater insight into how student processes connections. Pre-calculus students were observed and interviewed while performing a task that required connections among graphical and algebraic representations of a polynomial relation. Their reasoning and processes on the task were examined. This revealed more detailed information about the nature of their connections and misconceptions. The study reveals different types of student connections among graphical and algebraic representations.", "author" : [ { "dropping-particle" : "", "family" : "Adu-Gyamfi", "given" : "Kwaku", "non-dropping-particle" : "", "parse-names" : false, "suffix" : "" }, { "dropping-particle" : "", "family" : "Boss\u00e9", "given" : "Michael J.", "non-dropping-particle" : "", "parse-names" : false, "suffix" : "" }, { "dropping-particle" : "", "family" : "Chandler", "given" : "Kayla", "non-dropping-particle" : "", "parse-names" : false, "suffix" : "" } ], "container-title" : "International Journal of Science and Mathematics Education", "id" : "ITEM-1", "issue" : "5", "issued" : { "date-parts" : [ [ "2017" ] ] }, "page" : "915-938", "title" : "Student Connections between Algebraic and Graphical Polynomial Representations in the Context of a Polynomial Relation", "type" : "article-journal", "volume" : "15" }, "uris" : [ "http://www.mendeley.com/documents/?uuid=b49c6dec-b105-4eca-a075-7e221861d8d5", "http://www.mendeley.com/documents/?uuid=d0528f40-eb41-45ba-a6f9-aa5d0a840530" ] }, { "id" : "ITEM-2", "itemData" : { "DOI" : "10.1016/j.sbspro.2015.07.197", "ISSN" : "18770428", "abstract" : "The main purpose of this study to examine the prospective primary school teachers' ability to transform multiple representations. This study is a descriptive survey model that has been applied to determine prospective teachers' skills of transforming multiple representations. The sample of this study was consisted of 134 prospective teachers who are at the third grade at the department of Primary School Education in a state university in the 2012-2013 academic year. \"Multiple Representation Transformation Test\" which was developed by the researcher was used as the data collection tool in the research. In conclusion, the prospective primary teachers are usually successful in transformations between representations; however, that they, in this process, are unsuccessful in transforming especially oral representations into other representations. Based on this result, the factors that cause the failures of the prospective teachers in transforming oral representation can be analyzed in another study.", "author" : [ { "dropping-particle" : "", "family" : "Bal", "given" : "Ayten Pinar", "non-dropping-particle" : "", "parse-names" : false, "suffix" : "" } ], "container-title" : "Procedia - Social and Behavioral Sciences", "id" : "ITEM-2", "issued" : { "date-parts" : [ [ "2015" ] ] }, "page" : "582-588", "title" : "Skills of Using and Transform Multiple Representations of the Prospective Teachers", "type" : "article-journal", "volume" : "197" }, "uris" : [ "http://www.mendeley.com/documents/?uuid=f64259d9-ded5-4783-a5c2-43bb86e37774" ] }, { "id" : "ITEM-3", "itemData" : { "abstract" : "Teachers are tasked with supporting students' learning of abstract mathematical concepts. Students can represent their mathematical understanding in a variety of modes, for example: manipulatives, pictures, diagrams, spoken languages, and written symbols. Although most students easily pick up rudimentary knowledge through the use of concrete objects, we ask our students to use symbols and other mathematical notation to represent their understanding. Thus, teaching strategies that support abstraction are important for teachers' arsenals. In this paper, I use a case study of a Grade one teacher to illustrate how she uses multiple representations as a learning progression for the purposes of abstraction. I present a detailed description of one specific lesson that incorporated multiple representations and discuss her pedagogy with her four chosen representation forms. Administrators and mathematics teachers can use this case as a model for how multiple representations can be used to move students to abstraction.", "author" : [ { "dropping-particle" : "", "family" : "Jao", "given" : "Limin", "non-dropping-particle" : "", "parse-names" : false, "suffix" : "" } ], "container-title" : "International Journal for Mathematics Teaching and Learning", "id" : "ITEM-3", "issued" : { "date-parts" : [ [ "2013" ] ] }, "page" : "1-15", "title" : "From sailing ships to subtraction symbols: Multiple representations to support abstraction", "type" : "article-journal" }, "uris" : [ "http://www.mendeley.com/documents/?uuid=ed389d73-891c-44a4-9a71-b0dd95f0cd8f", "http://www.mendeley.com/documents/?uuid=49b0cbd2-1d5c-42c5-ba01-2fb9cd90dd4e" ] } ], "mendeley" : { "formattedCitation" : "(Adu-Gyamfi et al., 2017; Bal, 2015; Jao, 2013)", "plainTextFormattedCitation" : "(Adu-Gyamfi et al., 2017; Bal, 2015; Jao, 2013)", "previouslyFormattedCitation" : "(Adu-Gyamfi et al., 2017; Bal, 2015; Jao, 2013)" }, "properties" : { "noteIndex" : 0 }, "schema" : "https://github.com/citation-style-language/schema/raw/master/csl-citation.json" }</w:instrText>
      </w:r>
      <w:r w:rsidR="00B55D34">
        <w:rPr>
          <w:rStyle w:val="longtext"/>
          <w:rFonts w:asciiTheme="majorHAnsi" w:hAnsiTheme="majorHAnsi"/>
          <w:shd w:val="clear" w:color="auto" w:fill="FFFFFF"/>
        </w:rPr>
        <w:fldChar w:fldCharType="separate"/>
      </w:r>
      <w:r w:rsidR="00B55D34" w:rsidRPr="00B55D34">
        <w:rPr>
          <w:rStyle w:val="longtext"/>
          <w:rFonts w:asciiTheme="majorHAnsi" w:hAnsiTheme="majorHAnsi"/>
          <w:noProof/>
          <w:shd w:val="clear" w:color="auto" w:fill="FFFFFF"/>
        </w:rPr>
        <w:t>(Adu-Gyamfi et al., 2017; Bal, 2015; Jao, 2013)</w:t>
      </w:r>
      <w:r w:rsidR="00B55D34">
        <w:rPr>
          <w:rStyle w:val="longtext"/>
          <w:rFonts w:asciiTheme="majorHAnsi" w:hAnsiTheme="majorHAnsi"/>
          <w:shd w:val="clear" w:color="auto" w:fill="FFFFFF"/>
        </w:rPr>
        <w:fldChar w:fldCharType="end"/>
      </w:r>
      <w:r w:rsidR="00B55D34">
        <w:rPr>
          <w:rStyle w:val="longtext"/>
          <w:rFonts w:asciiTheme="majorHAnsi" w:hAnsiTheme="majorHAnsi"/>
          <w:shd w:val="clear" w:color="auto" w:fill="FFFFFF"/>
        </w:rPr>
        <w:t xml:space="preserve">. </w:t>
      </w:r>
      <w:r w:rsidRPr="00E95272">
        <w:rPr>
          <w:rStyle w:val="longtext"/>
          <w:rFonts w:asciiTheme="majorHAnsi" w:hAnsiTheme="majorHAnsi"/>
          <w:shd w:val="clear" w:color="auto" w:fill="FFFFFF"/>
        </w:rPr>
        <w:t xml:space="preserve">Beside that, the mathematics learning curriculum from elementary school to university level needs to emphasize the ability to translate mathematical ideas in a form of representation to a different mathematical representation structure </w:t>
      </w:r>
      <w:r w:rsidR="00F44FD0">
        <w:rPr>
          <w:rStyle w:val="longtext"/>
          <w:rFonts w:asciiTheme="majorHAnsi" w:hAnsiTheme="majorHAnsi"/>
          <w:shd w:val="clear" w:color="auto" w:fill="FFFFFF"/>
        </w:rPr>
        <w:fldChar w:fldCharType="begin" w:fldLock="1"/>
      </w:r>
      <w:r w:rsidR="00197990">
        <w:rPr>
          <w:rStyle w:val="longtext"/>
          <w:rFonts w:asciiTheme="majorHAnsi" w:hAnsiTheme="majorHAnsi"/>
          <w:shd w:val="clear" w:color="auto" w:fill="FFFFFF"/>
        </w:rPr>
        <w:instrText>ADDIN CSL_CITATION { "citationItems" : [ { "id" : "ITEM-1", "itemData" : { "DOI" : "10.1111/j.1949-8594.2011.00129.x", "abstract" : "Translation errors and conceptual misunderstandings made by students translating among graphical, tabular, and symbolic representations of linear functions were examined. The study situated student errors in the context of the \u201cTranslation-Verification Model\u201d developed specifically for the purpose of explaining student behavior during the process of translating relationships from one mathematical representation to another. Three distinct error types were identified to explain student performance.An examination of the error types revealed that specific translation errors tend to occur at different stages of the translation process. Translation errors are also related to \u201cattribute density,\u201d the amount of information inherently encoded in a given representation. The findings of the study have implications for teaching linear relationships\u2014student weaknesses and strengths are identified.", "author" : [ { "dropping-particle" : "", "family" : "Adu-Gyamfi", "given" : "Kwaku", "non-dropping-particle" : "", "parse-names" : false, "suffix" : "" }, { "dropping-particle" : "V.", "family" : "Stiff", "given" : "Lee", "non-dropping-particle" : "", "parse-names" : false, "suffix" : "" }, { "dropping-particle" : "", "family" : "Boss\u00e9", "given" : "Michael J.", "non-dropping-particle" : "", "parse-names" : false, "suffix" : "" } ], "container-title" : "School Science and Mathematics", "id" : "ITEM-1", "issue" : "3", "issued" : { "date-parts" : [ [ "2012" ] ] }, "page" : "159-170", "title" : "Lost in Translation: Examining Translation Errors Associated With Mathematical Representations", "type" : "article-journal", "volume" : "112" }, "uris" : [ "http://www.mendeley.com/documents/?uuid=c62e2260-9b32-473b-8575-f41ae702f2ca" ] } ], "mendeley" : { "formattedCitation" : "(Adu-Gyamfi et al., 2012)", "plainTextFormattedCitation" : "(Adu-Gyamfi et al., 2012)", "previouslyFormattedCitation" : "(Adu-Gyamfi et al., 2012)" }, "properties" : { "noteIndex" : 0 }, "schema" : "https://github.com/citation-style-language/schema/raw/master/csl-citation.json" }</w:instrText>
      </w:r>
      <w:r w:rsidR="00F44FD0">
        <w:rPr>
          <w:rStyle w:val="longtext"/>
          <w:rFonts w:asciiTheme="majorHAnsi" w:hAnsiTheme="majorHAnsi"/>
          <w:shd w:val="clear" w:color="auto" w:fill="FFFFFF"/>
        </w:rPr>
        <w:fldChar w:fldCharType="separate"/>
      </w:r>
      <w:r w:rsidR="00F44FD0" w:rsidRPr="00F44FD0">
        <w:rPr>
          <w:rStyle w:val="longtext"/>
          <w:rFonts w:asciiTheme="majorHAnsi" w:hAnsiTheme="majorHAnsi"/>
          <w:noProof/>
          <w:shd w:val="clear" w:color="auto" w:fill="FFFFFF"/>
        </w:rPr>
        <w:t>(Adu-Gyamfi et al., 2012)</w:t>
      </w:r>
      <w:r w:rsidR="00F44FD0">
        <w:rPr>
          <w:rStyle w:val="longtext"/>
          <w:rFonts w:asciiTheme="majorHAnsi" w:hAnsiTheme="majorHAnsi"/>
          <w:shd w:val="clear" w:color="auto" w:fill="FFFFFF"/>
        </w:rPr>
        <w:fldChar w:fldCharType="end"/>
      </w:r>
      <w:r w:rsidRPr="00E95272">
        <w:rPr>
          <w:rStyle w:val="longtext"/>
          <w:rFonts w:asciiTheme="majorHAnsi" w:hAnsiTheme="majorHAnsi"/>
          <w:shd w:val="clear" w:color="auto" w:fill="FFFFFF"/>
        </w:rPr>
        <w:t>. This suggests that it is very important to train mathematical translational thinking to be developed in learning mathematics, even though the mathematics curriculum in Indonesia has not been explicitly mentioned. However, it can be implicitly integrated into basic competencies or learning outcomes in several courses. Thus, mathematical translational thinking is one of the abilities that prospective mathematics teachers must possess.</w:t>
      </w:r>
    </w:p>
    <w:p w14:paraId="6A2CFD0E" w14:textId="308DE006" w:rsidR="008F4BD0" w:rsidRDefault="008F4BD0" w:rsidP="00E77E85">
      <w:pPr>
        <w:pStyle w:val="IEEEParagraph"/>
        <w:spacing w:line="23" w:lineRule="atLeast"/>
        <w:ind w:firstLine="360"/>
        <w:rPr>
          <w:rStyle w:val="longtext"/>
          <w:rFonts w:asciiTheme="majorHAnsi" w:hAnsiTheme="majorHAnsi"/>
          <w:shd w:val="clear" w:color="auto" w:fill="FFFFFF"/>
        </w:rPr>
      </w:pPr>
      <w:r w:rsidRPr="008F4BD0">
        <w:rPr>
          <w:rStyle w:val="longtext"/>
          <w:rFonts w:asciiTheme="majorHAnsi" w:hAnsiTheme="majorHAnsi"/>
          <w:shd w:val="clear" w:color="auto" w:fill="FFFFFF"/>
        </w:rPr>
        <w:t xml:space="preserve">The study of mathematical translational thinking is still rare in Indonesia, although it has been widely </w:t>
      </w:r>
      <w:r w:rsidRPr="00763FE2">
        <w:rPr>
          <w:rStyle w:val="longtext"/>
          <w:rFonts w:asciiTheme="majorHAnsi" w:hAnsiTheme="majorHAnsi"/>
          <w:shd w:val="clear" w:color="auto" w:fill="FFFFFF"/>
        </w:rPr>
        <w:t>discussed</w:t>
      </w:r>
      <w:r w:rsidRPr="008F4BD0">
        <w:rPr>
          <w:rStyle w:val="longtext"/>
          <w:rFonts w:asciiTheme="majorHAnsi" w:hAnsiTheme="majorHAnsi"/>
          <w:shd w:val="clear" w:color="auto" w:fill="FFFFFF"/>
        </w:rPr>
        <w:t xml:space="preserve"> abroad. In the Indonesian context, research by </w:t>
      </w:r>
      <w:r w:rsidR="00197990">
        <w:rPr>
          <w:rStyle w:val="longtext"/>
          <w:rFonts w:asciiTheme="majorHAnsi" w:hAnsiTheme="majorHAnsi"/>
          <w:shd w:val="clear" w:color="auto" w:fill="FFFFFF"/>
        </w:rPr>
        <w:fldChar w:fldCharType="begin" w:fldLock="1"/>
      </w:r>
      <w:r w:rsidR="00197990">
        <w:rPr>
          <w:rStyle w:val="longtext"/>
          <w:rFonts w:asciiTheme="majorHAnsi" w:hAnsiTheme="majorHAnsi"/>
          <w:shd w:val="clear" w:color="auto" w:fill="FFFFFF"/>
        </w:rPr>
        <w:instrText>ADDIN CSL_CITATION { "citationItems" : [ { "id" : "ITEM-1", "itemData" : { "DOI" : "10.1063/1.5054548", "ISBN" : "9780735417304", "ISSN" : "15517616", "abstract" : "The aims of this study is to find out the way in assesing students' pseudo-mathematical translation using translation-verification models and the characteristics of students' pseudo-mathematical translation are. This research is qualitative descriptive. Fifty-one students majoring in mathematics involved in think-aloud and interviews while solving the mathematical translation task. Data are collected and coded using rubrics containing translation activity indicators developed based on the translation-verification model. Based on the results of the assessment of the students' response using the rubric, it's obtained that the characteristics of pseudo-mathematical translation indicated by students' behavior is correctly construct the target representation of the source representation but cannot provide related verification: source and target representation attribute, conformity of connections between source and target representation attributes, representative equivalence of source and target representation. These findings can help educators recognize the weaknesses of mathematical translation and develop learning strategies to make the students' meaningful mathematical translations.", "author" : [ { "dropping-particle" : "", "family" : "Sa'Dijah", "given" : "Cholis", "non-dropping-particle" : "", "parse-names" : false, "suffix" : "" }, { "dropping-particle" : "", "family" : "Afriyani", "given" : "Dona", "non-dropping-particle" : "", "parse-names" : false, "suffix" : "" }, { "dropping-particle" : "", "family" : "Subanji", "given" : "", "non-dropping-particle" : "", "parse-names" : false, "suffix" : "" }, { "dropping-particle" : "", "family" : "Muksar", "given" : "Makbul", "non-dropping-particle" : "", "parse-names" : false, "suffix" : "" }, { "dropping-particle" : "", "family" : "Anwar", "given" : "Lathiful", "non-dropping-particle" : "", "parse-names" : false, "suffix" : "" } ], "container-title" : "AIP Conference Proceedings", "id" : "ITEM-1", "issued" : { "date-parts" : [ [ "2018" ] ] }, "title" : "Assessing students' pseudo-mathematical translation using translation-verification model", "type" : "paper-conference", "volume" : "2014" }, "uris" : [ "http://www.mendeley.com/documents/?uuid=3469f5d5-3e05-4886-a235-a6f77470facf", "http://www.mendeley.com/documents/?uuid=6d0bf065-ed0a-4813-8821-92c86056ecf1" ] } ], "mendeley" : { "formattedCitation" : "(Sa\u2019Dijah et al., 2018)", "manualFormatting" : "Sa\u2019Dijah et al., (2018)", "plainTextFormattedCitation" : "(Sa\u2019Dijah et al., 2018)", "previouslyFormattedCitation" : "(Sa\u2019Dijah et al., 2018)" }, "properties" : { "noteIndex" : 0 }, "schema" : "https://github.com/citation-style-language/schema/raw/master/csl-citation.json" }</w:instrText>
      </w:r>
      <w:r w:rsidR="00197990">
        <w:rPr>
          <w:rStyle w:val="longtext"/>
          <w:rFonts w:asciiTheme="majorHAnsi" w:hAnsiTheme="majorHAnsi"/>
          <w:shd w:val="clear" w:color="auto" w:fill="FFFFFF"/>
        </w:rPr>
        <w:fldChar w:fldCharType="separate"/>
      </w:r>
      <w:r w:rsidR="00197990" w:rsidRPr="00197990">
        <w:rPr>
          <w:rStyle w:val="longtext"/>
          <w:rFonts w:asciiTheme="majorHAnsi" w:hAnsiTheme="majorHAnsi"/>
          <w:noProof/>
          <w:shd w:val="clear" w:color="auto" w:fill="FFFFFF"/>
        </w:rPr>
        <w:t xml:space="preserve">Sa’Dijah et al., </w:t>
      </w:r>
      <w:r w:rsidR="00197990">
        <w:rPr>
          <w:rStyle w:val="longtext"/>
          <w:rFonts w:asciiTheme="majorHAnsi" w:hAnsiTheme="majorHAnsi"/>
          <w:noProof/>
          <w:shd w:val="clear" w:color="auto" w:fill="FFFFFF"/>
        </w:rPr>
        <w:t>(</w:t>
      </w:r>
      <w:r w:rsidR="00197990" w:rsidRPr="00197990">
        <w:rPr>
          <w:rStyle w:val="longtext"/>
          <w:rFonts w:asciiTheme="majorHAnsi" w:hAnsiTheme="majorHAnsi"/>
          <w:noProof/>
          <w:shd w:val="clear" w:color="auto" w:fill="FFFFFF"/>
        </w:rPr>
        <w:t>2018)</w:t>
      </w:r>
      <w:r w:rsidR="00197990">
        <w:rPr>
          <w:rStyle w:val="longtext"/>
          <w:rFonts w:asciiTheme="majorHAnsi" w:hAnsiTheme="majorHAnsi"/>
          <w:shd w:val="clear" w:color="auto" w:fill="FFFFFF"/>
        </w:rPr>
        <w:fldChar w:fldCharType="end"/>
      </w:r>
      <w:r w:rsidR="00197990">
        <w:rPr>
          <w:rStyle w:val="longtext"/>
          <w:rFonts w:asciiTheme="majorHAnsi" w:hAnsiTheme="majorHAnsi"/>
          <w:shd w:val="clear" w:color="auto" w:fill="FFFFFF"/>
        </w:rPr>
        <w:t xml:space="preserve"> </w:t>
      </w:r>
      <w:r w:rsidR="00763FE2" w:rsidRPr="00763FE2">
        <w:rPr>
          <w:rStyle w:val="longtext"/>
          <w:rFonts w:asciiTheme="majorHAnsi" w:hAnsiTheme="majorHAnsi"/>
          <w:shd w:val="clear" w:color="auto" w:fill="FFFFFF"/>
        </w:rPr>
        <w:t xml:space="preserve">and </w:t>
      </w:r>
      <w:r w:rsidR="00763FE2" w:rsidRPr="00763FE2">
        <w:rPr>
          <w:rStyle w:val="longtext"/>
          <w:rFonts w:asciiTheme="majorHAnsi" w:hAnsiTheme="majorHAnsi"/>
          <w:shd w:val="clear" w:color="auto" w:fill="FFFFFF"/>
        </w:rPr>
        <w:fldChar w:fldCharType="begin" w:fldLock="1"/>
      </w:r>
      <w:r w:rsidR="00763FE2" w:rsidRPr="00763FE2">
        <w:rPr>
          <w:rStyle w:val="longtext"/>
          <w:rFonts w:asciiTheme="majorHAnsi" w:hAnsiTheme="majorHAnsi"/>
          <w:shd w:val="clear" w:color="auto" w:fill="FFFFFF"/>
        </w:rPr>
        <w:instrText>ADDIN CSL_CITATION { "citationItems" : [ { "id" : "ITEM-1", "itemData" : { "DOI" : "10.1088/1742-6596/1157/3/032098", "ISSN" : "17426596", "abstract" : "This research arises from student failure to construct target representation equivalent to source representation. The purpose of this research was to investigate student construction errors in translation among mathematical representations. Explorative study with a qualitative approach was conducted to 51 students majoring in mathematics. The data collection tools used were the mathematical translation task and interview protocol. Data were collected by think-aloud and task-based interviews. The results showed that student construction errors in translation among mathematical representations occur in various forms, i.e. lost of representational attributes, interference thinking, pseudo-thinking, disconnected connections, implementation error and lack of preservation of representative equivalence. The this research findings have implications for designing scaffolding of learning-oriented reconstruction for students' thinking to make meaningful translations.", "author" : [ { "dropping-particle" : "", "family" : "Afriyani", "given" : "D.", "non-dropping-particle" : "", "parse-names" : false, "suffix" : "" }, { "dropping-particle" : "", "family" : "Sa'Dijah", "given" : "C.", "non-dropping-particle" : "", "parse-names" : false, "suffix" : "" }, { "dropping-particle" : "", "family" : "Subanji", "given" : "S.", "non-dropping-particle" : "", "parse-names" : false, "suffix" : "" }, { "dropping-particle" : "", "family" : "Muksar", "given" : "M.", "non-dropping-particle" : "", "parse-names" : false, "suffix" : "" } ], "container-title" : "Journal of Physics: Conference Series", "id" : "ITEM-1", "issue" : "3", "issued" : { "date-parts" : [ [ "2019" ] ] }, "title" : "Students' construction error in translation among mathematical representations", "type" : "paper-conference", "volume" : "1157" }, "uris" : [ "http://www.mendeley.com/documents/?uuid=aa8ba71d-a19b-489f-b33b-06522c2667ed", "http://www.mendeley.com/documents/?uuid=746474f1-a6f2-493a-b8f0-010e77601223" ] } ], "mendeley" : { "formattedCitation" : "(Afriyani et al., 2019)", "manualFormatting" : "Afriyani et al., (2019)", "plainTextFormattedCitation" : "(Afriyani et al., 2019)", "previouslyFormattedCitation" : "(Afriyani et al., 2019)" }, "properties" : { "noteIndex" : 0 }, "schema" : "https://github.com/citation-style-language/schema/raw/master/csl-citation.json" }</w:instrText>
      </w:r>
      <w:r w:rsidR="00763FE2" w:rsidRPr="00763FE2">
        <w:rPr>
          <w:rStyle w:val="longtext"/>
          <w:rFonts w:asciiTheme="majorHAnsi" w:hAnsiTheme="majorHAnsi"/>
          <w:shd w:val="clear" w:color="auto" w:fill="FFFFFF"/>
        </w:rPr>
        <w:fldChar w:fldCharType="separate"/>
      </w:r>
      <w:r w:rsidR="00763FE2" w:rsidRPr="00763FE2">
        <w:rPr>
          <w:rStyle w:val="longtext"/>
          <w:rFonts w:asciiTheme="majorHAnsi" w:hAnsiTheme="majorHAnsi"/>
          <w:noProof/>
          <w:shd w:val="clear" w:color="auto" w:fill="FFFFFF"/>
        </w:rPr>
        <w:t>Afriyani et al., (2019)</w:t>
      </w:r>
      <w:r w:rsidR="00763FE2" w:rsidRPr="00763FE2">
        <w:rPr>
          <w:rStyle w:val="longtext"/>
          <w:rFonts w:asciiTheme="majorHAnsi" w:hAnsiTheme="majorHAnsi"/>
          <w:shd w:val="clear" w:color="auto" w:fill="FFFFFF"/>
        </w:rPr>
        <w:fldChar w:fldCharType="end"/>
      </w:r>
      <w:r w:rsidR="00763FE2">
        <w:rPr>
          <w:rStyle w:val="longtext"/>
          <w:rFonts w:asciiTheme="majorHAnsi" w:hAnsiTheme="majorHAnsi"/>
          <w:color w:val="FF0000"/>
          <w:shd w:val="clear" w:color="auto" w:fill="FFFFFF"/>
        </w:rPr>
        <w:t xml:space="preserve"> </w:t>
      </w:r>
      <w:r w:rsidRPr="008F4BD0">
        <w:rPr>
          <w:rStyle w:val="longtext"/>
          <w:rFonts w:asciiTheme="majorHAnsi" w:hAnsiTheme="majorHAnsi"/>
          <w:shd w:val="clear" w:color="auto" w:fill="FFFFFF"/>
        </w:rPr>
        <w:t>has found several characteristics of students' mathematical translational thinking, but studies on how to measure the quality of thinking skills have not been explored much. Therefore, further studies are needed on the framework of mathematical translational thinking levels that can be used as a basis for assessing mathematical translational thinking skills. The development of this grading framework can be used to see the degree of achievement of students' mathematical translational thinking processes, and can be used as a barometer to find students' strengths and weaknesses in mathematical translation.</w:t>
      </w:r>
    </w:p>
    <w:p w14:paraId="3C8337CD" w14:textId="20847DCF" w:rsidR="00310DCB" w:rsidRPr="008F4C7E" w:rsidRDefault="008F4BD0" w:rsidP="008F4C7E">
      <w:pPr>
        <w:pStyle w:val="IEEEParagraph"/>
        <w:spacing w:line="23" w:lineRule="atLeast"/>
        <w:ind w:firstLine="360"/>
        <w:rPr>
          <w:rFonts w:asciiTheme="majorHAnsi" w:hAnsiTheme="majorHAnsi"/>
          <w:shd w:val="clear" w:color="auto" w:fill="FFFFFF"/>
        </w:rPr>
      </w:pPr>
      <w:r w:rsidRPr="008F4BD0">
        <w:rPr>
          <w:rStyle w:val="longtext"/>
          <w:rFonts w:asciiTheme="majorHAnsi" w:hAnsiTheme="majorHAnsi"/>
          <w:shd w:val="clear" w:color="auto" w:fill="FFFFFF"/>
        </w:rPr>
        <w:lastRenderedPageBreak/>
        <w:t xml:space="preserve">The framework can be used as an instrument to determine the level of response or processes </w:t>
      </w:r>
      <w:r>
        <w:rPr>
          <w:rStyle w:val="longtext"/>
          <w:rFonts w:asciiTheme="majorHAnsi" w:hAnsiTheme="majorHAnsi"/>
          <w:shd w:val="clear" w:color="auto" w:fill="FFFFFF"/>
        </w:rPr>
        <w:t xml:space="preserve">of </w:t>
      </w:r>
      <w:r w:rsidRPr="008F4BD0">
        <w:rPr>
          <w:rStyle w:val="longtext"/>
          <w:rFonts w:asciiTheme="majorHAnsi" w:hAnsiTheme="majorHAnsi"/>
          <w:shd w:val="clear" w:color="auto" w:fill="FFFFFF"/>
        </w:rPr>
        <w:t xml:space="preserve">mathematical translational thinking. The framework used in this study is the SOLO (Structure Of The Observed Learning Outcome) taxonomy. </w:t>
      </w:r>
      <w:r w:rsidR="00337C4E" w:rsidRPr="00337C4E">
        <w:rPr>
          <w:rStyle w:val="longtext"/>
          <w:rFonts w:asciiTheme="majorHAnsi" w:hAnsiTheme="majorHAnsi"/>
          <w:shd w:val="clear" w:color="auto" w:fill="FFFFFF"/>
        </w:rPr>
        <w:t xml:space="preserve">This taxonomy was chosen because </w:t>
      </w:r>
      <w:r w:rsidR="00337C4E">
        <w:rPr>
          <w:rStyle w:val="longtext"/>
          <w:rFonts w:asciiTheme="majorHAnsi" w:hAnsiTheme="majorHAnsi"/>
          <w:shd w:val="clear" w:color="auto" w:fill="FFFFFF"/>
        </w:rPr>
        <w:t xml:space="preserve">it </w:t>
      </w:r>
      <w:r w:rsidR="00337C4E" w:rsidRPr="00337C4E">
        <w:rPr>
          <w:rStyle w:val="longtext"/>
          <w:rFonts w:asciiTheme="majorHAnsi" w:hAnsiTheme="majorHAnsi"/>
          <w:shd w:val="clear" w:color="auto" w:fill="FFFFFF"/>
        </w:rPr>
        <w:t>can be used to determine measurable levels of thinking skills</w:t>
      </w:r>
      <w:r w:rsidRPr="008F4BD0">
        <w:rPr>
          <w:rStyle w:val="longtext"/>
          <w:rFonts w:asciiTheme="majorHAnsi" w:hAnsiTheme="majorHAnsi"/>
          <w:shd w:val="clear" w:color="auto" w:fill="FFFFFF"/>
        </w:rPr>
        <w:t xml:space="preserve">. The SOLO taxonomy consists of five levels, namely pre-structural, uni-structural, multi-structural, relational, and extended abstract. The characteristics of each level are determined based on the mathematical translation mechanism according to </w:t>
      </w:r>
      <w:r w:rsidR="003F5AA8">
        <w:rPr>
          <w:rStyle w:val="longtext"/>
          <w:rFonts w:asciiTheme="majorHAnsi" w:hAnsiTheme="majorHAnsi"/>
          <w:shd w:val="clear" w:color="auto" w:fill="FFFFFF"/>
        </w:rPr>
        <w:fldChar w:fldCharType="begin" w:fldLock="1"/>
      </w:r>
      <w:r w:rsidR="003F5AA8">
        <w:rPr>
          <w:rStyle w:val="longtext"/>
          <w:rFonts w:asciiTheme="majorHAnsi" w:hAnsiTheme="majorHAnsi"/>
          <w:shd w:val="clear" w:color="auto" w:fill="FFFFFF"/>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"http://www.mendeley.com/documents/?uuid=83db75a7-7a12-4749-879b-28f86372fb93" ] } ], "mendeley" : { "formattedCitation" : "(Boss\u00e9 et al., 2014)", "manualFormatting" : "Boss\u00e9 et al., (2014)", "plainTextFormattedCitation" : "(Boss\u00e9 et al., 2014)", "previouslyFormattedCitation" : "(Boss\u00e9 et al., 2014)" }, "properties" : { "noteIndex" : 0 }, "schema" : "https://github.com/citation-style-language/schema/raw/master/csl-citation.json" }</w:instrText>
      </w:r>
      <w:r w:rsidR="003F5AA8">
        <w:rPr>
          <w:rStyle w:val="longtext"/>
          <w:rFonts w:asciiTheme="majorHAnsi" w:hAnsiTheme="majorHAnsi"/>
          <w:shd w:val="clear" w:color="auto" w:fill="FFFFFF"/>
        </w:rPr>
        <w:fldChar w:fldCharType="separate"/>
      </w:r>
      <w:r w:rsidR="003F5AA8" w:rsidRPr="003F5AA8">
        <w:rPr>
          <w:rStyle w:val="longtext"/>
          <w:rFonts w:asciiTheme="majorHAnsi" w:hAnsiTheme="majorHAnsi"/>
          <w:noProof/>
          <w:shd w:val="clear" w:color="auto" w:fill="FFFFFF"/>
        </w:rPr>
        <w:t xml:space="preserve">Bossé et al., </w:t>
      </w:r>
      <w:r w:rsidR="003F5AA8">
        <w:rPr>
          <w:rStyle w:val="longtext"/>
          <w:rFonts w:asciiTheme="majorHAnsi" w:hAnsiTheme="majorHAnsi"/>
          <w:noProof/>
          <w:shd w:val="clear" w:color="auto" w:fill="FFFFFF"/>
        </w:rPr>
        <w:t>(</w:t>
      </w:r>
      <w:r w:rsidR="003F5AA8" w:rsidRPr="003F5AA8">
        <w:rPr>
          <w:rStyle w:val="longtext"/>
          <w:rFonts w:asciiTheme="majorHAnsi" w:hAnsiTheme="majorHAnsi"/>
          <w:noProof/>
          <w:shd w:val="clear" w:color="auto" w:fill="FFFFFF"/>
        </w:rPr>
        <w:t>2014)</w:t>
      </w:r>
      <w:r w:rsidR="003F5AA8">
        <w:rPr>
          <w:rStyle w:val="longtext"/>
          <w:rFonts w:asciiTheme="majorHAnsi" w:hAnsiTheme="majorHAnsi"/>
          <w:shd w:val="clear" w:color="auto" w:fill="FFFFFF"/>
        </w:rPr>
        <w:fldChar w:fldCharType="end"/>
      </w:r>
      <w:r w:rsidR="003F5AA8">
        <w:rPr>
          <w:rStyle w:val="longtext"/>
          <w:rFonts w:asciiTheme="majorHAnsi" w:hAnsiTheme="majorHAnsi"/>
          <w:shd w:val="clear" w:color="auto" w:fill="FFFFFF"/>
        </w:rPr>
        <w:t xml:space="preserve"> </w:t>
      </w:r>
      <w:r w:rsidRPr="008F4BD0">
        <w:rPr>
          <w:rStyle w:val="longtext"/>
          <w:rFonts w:asciiTheme="majorHAnsi" w:hAnsiTheme="majorHAnsi"/>
          <w:shd w:val="clear" w:color="auto" w:fill="FFFFFF"/>
        </w:rPr>
        <w:t xml:space="preserve">which includes the following stages: (1) </w:t>
      </w:r>
      <w:r w:rsidR="00337C4E">
        <w:rPr>
          <w:rStyle w:val="longtext"/>
          <w:rFonts w:asciiTheme="majorHAnsi" w:hAnsiTheme="majorHAnsi"/>
          <w:shd w:val="clear" w:color="auto" w:fill="FFFFFF"/>
        </w:rPr>
        <w:t xml:space="preserve">unpacking </w:t>
      </w:r>
      <w:r w:rsidRPr="008F4BD0">
        <w:rPr>
          <w:rStyle w:val="longtext"/>
          <w:rFonts w:asciiTheme="majorHAnsi" w:hAnsiTheme="majorHAnsi"/>
          <w:shd w:val="clear" w:color="auto" w:fill="FFFFFF"/>
        </w:rPr>
        <w:t xml:space="preserve">the source representation, (2) carrying out initial coordination, (3) building the target representation, and (4) </w:t>
      </w:r>
      <w:r w:rsidR="00337C4E" w:rsidRPr="00337C4E">
        <w:rPr>
          <w:rFonts w:asciiTheme="majorHAnsi" w:hAnsiTheme="majorHAnsi"/>
          <w:lang w:val="id-ID"/>
        </w:rPr>
        <w:t>determine the equivalence between the source and target representations</w:t>
      </w:r>
      <w:r w:rsidRPr="008F4BD0">
        <w:rPr>
          <w:rStyle w:val="longtext"/>
          <w:rFonts w:asciiTheme="majorHAnsi" w:hAnsiTheme="majorHAnsi"/>
          <w:shd w:val="clear" w:color="auto" w:fill="FFFFFF"/>
        </w:rPr>
        <w:t>. The grading framework that will be developed in this research consists of levels of mathematical translational thinking along with their respective characteristics.</w:t>
      </w:r>
    </w:p>
    <w:p w14:paraId="6AAFB85C" w14:textId="77777777" w:rsidR="008F4BD0" w:rsidRPr="00E77E85" w:rsidRDefault="008F4BD0" w:rsidP="00E77E85">
      <w:pPr>
        <w:pStyle w:val="IEEEParagraph"/>
        <w:spacing w:line="23" w:lineRule="atLeast"/>
        <w:ind w:firstLine="0"/>
        <w:rPr>
          <w:rFonts w:asciiTheme="majorHAnsi" w:hAnsiTheme="majorHAnsi"/>
          <w:lang w:val="en-US"/>
        </w:rPr>
      </w:pPr>
    </w:p>
    <w:p w14:paraId="110096C1" w14:textId="77777777" w:rsidR="001218D3" w:rsidRPr="00E77E85" w:rsidRDefault="009B0A53" w:rsidP="00E77E85">
      <w:pPr>
        <w:pStyle w:val="IEEEHeading1"/>
        <w:numPr>
          <w:ilvl w:val="0"/>
          <w:numId w:val="11"/>
        </w:numPr>
        <w:spacing w:before="0" w:after="0" w:line="23" w:lineRule="atLeast"/>
        <w:jc w:val="left"/>
        <w:rPr>
          <w:rFonts w:asciiTheme="majorHAnsi" w:hAnsiTheme="majorHAnsi"/>
          <w:b/>
          <w:sz w:val="24"/>
          <w:lang w:val="id-ID"/>
        </w:rPr>
      </w:pPr>
      <w:r w:rsidRPr="00E77E85">
        <w:rPr>
          <w:rFonts w:asciiTheme="majorHAnsi" w:hAnsiTheme="majorHAnsi"/>
          <w:b/>
          <w:iCs/>
          <w:sz w:val="24"/>
          <w:lang w:val="en-US"/>
        </w:rPr>
        <w:t>METHODS</w:t>
      </w:r>
    </w:p>
    <w:p w14:paraId="4FCCDD81" w14:textId="6E66AA10" w:rsidR="00510E95" w:rsidRDefault="00AB62E6" w:rsidP="00E77E85">
      <w:pPr>
        <w:pStyle w:val="IEEEParagraph"/>
        <w:spacing w:line="23" w:lineRule="atLeast"/>
        <w:ind w:firstLine="360"/>
        <w:rPr>
          <w:rFonts w:asciiTheme="majorHAnsi" w:hAnsiTheme="majorHAnsi"/>
          <w:lang w:val="sv-SE"/>
        </w:rPr>
      </w:pPr>
      <w:r w:rsidRPr="00AB62E6">
        <w:rPr>
          <w:rFonts w:asciiTheme="majorHAnsi" w:hAnsiTheme="majorHAnsi"/>
          <w:lang w:val="sv-SE"/>
        </w:rPr>
        <w:t xml:space="preserve">This research is a grounded theory research through a qualitative research approach. The research design used is Systematic Design. According to </w:t>
      </w:r>
      <w:r w:rsidR="007F15DD">
        <w:rPr>
          <w:rFonts w:asciiTheme="majorHAnsi" w:hAnsiTheme="majorHAnsi"/>
          <w:lang w:val="sv-SE"/>
        </w:rPr>
        <w:fldChar w:fldCharType="begin" w:fldLock="1"/>
      </w:r>
      <w:r w:rsidR="00292F67">
        <w:rPr>
          <w:rFonts w:asciiTheme="majorHAnsi" w:hAnsiTheme="majorHAnsi"/>
          <w:lang w:val="sv-SE"/>
        </w:rPr>
        <w:instrText>ADDIN CSL_CITATION { "citationItems" : [ { "id" : "ITEM-1", "itemData" : { "ISBN" : "9780131367395", "ISSN" : "1098-6596", "PMID" : "14786319", "abstract" : "\"This book is the only introductory educational research text to offer a truly balanced and integrated treatment of both quantitative and qualitative methods. Written in clear and practical language, Educational Research will help its readers get started doing their own research and will also help them become better readers of research.\"-BOOK JACKET.", "author" : [ { "dropping-particle" : "", "family" : "Creswell", "given" : "John W", "non-dropping-particle" : "", "parse-names" : false, "suffix" : "" } ], "container-title" : "Educational Research", "id" : "ITEM-1", "issued" : { "date-parts" : [ [ "2012" ] ] }, "page" : "237", "title" : "Educational research: Planning, conducting, and evaluating quantitative and qualitative research", "type" : "article", "volume" : "4" }, "uris" : [ "http://www.mendeley.com/documents/?uuid=b4f91a2a-bb8c-49c8-8732-f8106505f985", "http://www.mendeley.com/documents/?uuid=b62ffc04-7c2a-43f6-8793-eb1821d0cfdf" ] } ], "mendeley" : { "formattedCitation" : "(Creswell, 2012)", "plainTextFormattedCitation" : "(Creswell, 2012)", "previouslyFormattedCitation" : "(Creswell, 2012)" }, "properties" : { "noteIndex" : 0 }, "schema" : "https://github.com/citation-style-language/schema/raw/master/csl-citation.json" }</w:instrText>
      </w:r>
      <w:r w:rsidR="007F15DD">
        <w:rPr>
          <w:rFonts w:asciiTheme="majorHAnsi" w:hAnsiTheme="majorHAnsi"/>
          <w:lang w:val="sv-SE"/>
        </w:rPr>
        <w:fldChar w:fldCharType="separate"/>
      </w:r>
      <w:r w:rsidR="007F15DD" w:rsidRPr="007F15DD">
        <w:rPr>
          <w:rFonts w:asciiTheme="majorHAnsi" w:hAnsiTheme="majorHAnsi"/>
          <w:noProof/>
          <w:lang w:val="sv-SE"/>
        </w:rPr>
        <w:t>(Creswell, 2012)</w:t>
      </w:r>
      <w:r w:rsidR="007F15DD">
        <w:rPr>
          <w:rFonts w:asciiTheme="majorHAnsi" w:hAnsiTheme="majorHAnsi"/>
          <w:lang w:val="sv-SE"/>
        </w:rPr>
        <w:fldChar w:fldCharType="end"/>
      </w:r>
      <w:r w:rsidR="007F15DD">
        <w:rPr>
          <w:rFonts w:asciiTheme="majorHAnsi" w:hAnsiTheme="majorHAnsi"/>
          <w:lang w:val="sv-SE"/>
        </w:rPr>
        <w:t xml:space="preserve">, </w:t>
      </w:r>
      <w:r w:rsidRPr="00AB62E6">
        <w:rPr>
          <w:rFonts w:asciiTheme="majorHAnsi" w:hAnsiTheme="majorHAnsi"/>
          <w:lang w:val="sv-SE"/>
        </w:rPr>
        <w:t>a systematic design in Grounded Theory emphasizes the use of data analysis stages in open, axial and selective coding and uses the development of paradigms or logical visual images from generalized theories.</w:t>
      </w:r>
    </w:p>
    <w:p w14:paraId="7AC4D0BB" w14:textId="5A3FF713" w:rsidR="00AB62E6" w:rsidRDefault="004B28B0" w:rsidP="00E77E85">
      <w:pPr>
        <w:pStyle w:val="IEEEParagraph"/>
        <w:spacing w:line="23" w:lineRule="atLeast"/>
        <w:ind w:firstLine="360"/>
        <w:rPr>
          <w:rFonts w:asciiTheme="majorHAnsi" w:hAnsiTheme="majorHAnsi"/>
          <w:lang w:val="sv-SE"/>
        </w:rPr>
      </w:pPr>
      <w:r w:rsidRPr="004B28B0">
        <w:rPr>
          <w:rFonts w:asciiTheme="majorHAnsi" w:hAnsiTheme="majorHAnsi"/>
          <w:lang w:val="sv-SE"/>
        </w:rPr>
        <w:t xml:space="preserve">This study was conducted with prospective mathematics teacher students (n=40) from the State </w:t>
      </w:r>
      <w:r w:rsidR="005C1094" w:rsidRPr="004B28B0">
        <w:rPr>
          <w:rFonts w:asciiTheme="majorHAnsi" w:hAnsiTheme="majorHAnsi"/>
          <w:lang w:val="sv-SE"/>
        </w:rPr>
        <w:t xml:space="preserve">Islamic </w:t>
      </w:r>
      <w:r w:rsidRPr="004B28B0">
        <w:rPr>
          <w:rFonts w:asciiTheme="majorHAnsi" w:hAnsiTheme="majorHAnsi"/>
          <w:lang w:val="sv-SE"/>
        </w:rPr>
        <w:t>University of Mataram. The selection of participants was carried out by purposive sampling, namely taking research subjects based on certain considerations where if the results of the categorization did not meet a minimum of two people at each level, then the subject was selected again until each level could be represented by a minimum of 2 students. The research subjects were 2 students at each level who had almost the same pattern of answers and reasoning. Data were collected using a test containing a mathematical translation task involving graphic and symbolic representations and a task-based interview.</w:t>
      </w:r>
    </w:p>
    <w:p w14:paraId="379D7683" w14:textId="46D65E48" w:rsidR="00BF3754" w:rsidRPr="00BF3754" w:rsidRDefault="009B31D3" w:rsidP="00F70E34">
      <w:pPr>
        <w:pStyle w:val="IEEEParagraph"/>
        <w:spacing w:line="23" w:lineRule="atLeast"/>
        <w:ind w:firstLine="360"/>
        <w:rPr>
          <w:rFonts w:asciiTheme="majorHAnsi" w:hAnsiTheme="majorHAnsi"/>
          <w:lang w:val="sv-SE"/>
        </w:rPr>
      </w:pPr>
      <w:r w:rsidRPr="009B31D3">
        <w:rPr>
          <w:rFonts w:asciiTheme="majorHAnsi" w:hAnsiTheme="majorHAnsi"/>
          <w:lang w:val="sv-SE"/>
        </w:rPr>
        <w:t xml:space="preserve">Initial research was conducted by reviewing the theory of mathematical translational thinking as the basis for drafting a framework for ranking mathematical translational thinking skills. The process of analyzing the </w:t>
      </w:r>
      <w:r w:rsidRPr="00BF3754">
        <w:rPr>
          <w:rFonts w:asciiTheme="majorHAnsi" w:hAnsiTheme="majorHAnsi"/>
          <w:lang w:val="sv-SE"/>
        </w:rPr>
        <w:t>validity</w:t>
      </w:r>
      <w:r w:rsidRPr="009B31D3">
        <w:rPr>
          <w:rFonts w:asciiTheme="majorHAnsi" w:hAnsiTheme="majorHAnsi"/>
          <w:lang w:val="sv-SE"/>
        </w:rPr>
        <w:t xml:space="preserve"> and reliability of the grading framework is carried out using the constant </w:t>
      </w:r>
      <w:r w:rsidRPr="00BF3754">
        <w:rPr>
          <w:rFonts w:asciiTheme="majorHAnsi" w:hAnsiTheme="majorHAnsi"/>
          <w:lang w:val="sv-SE"/>
        </w:rPr>
        <w:t xml:space="preserve">comparative method. </w:t>
      </w:r>
      <w:r w:rsidR="00BF3754" w:rsidRPr="00BF3754">
        <w:rPr>
          <w:rFonts w:asciiTheme="majorHAnsi" w:hAnsiTheme="majorHAnsi"/>
          <w:lang w:val="sv-SE"/>
        </w:rPr>
        <w:t>This method consists of four stages: “(1) comparing the incidences that apply to each category, (2) integrating the categories and their properties, (3) limiting the theory, and (4) writing the theory. Throughout the four stages of the constant comparative method, the researcher continuously sorts through data collection, analyzes and encodes information, and reinforces theory generation through a theoretical sampling process</w:t>
      </w:r>
      <w:r w:rsidR="00E83BFE">
        <w:rPr>
          <w:rFonts w:asciiTheme="majorHAnsi" w:hAnsiTheme="majorHAnsi"/>
          <w:lang w:val="sv-SE"/>
        </w:rPr>
        <w:t xml:space="preserve"> </w:t>
      </w:r>
      <w:r w:rsidR="00E83BFE">
        <w:rPr>
          <w:rFonts w:asciiTheme="majorHAnsi" w:hAnsiTheme="majorHAnsi"/>
          <w:lang w:val="sv-SE"/>
        </w:rPr>
        <w:fldChar w:fldCharType="begin" w:fldLock="1"/>
      </w:r>
      <w:r w:rsidR="00BB55D0">
        <w:rPr>
          <w:rFonts w:asciiTheme="majorHAnsi" w:hAnsiTheme="majorHAnsi"/>
          <w:lang w:val="sv-SE"/>
        </w:rPr>
        <w:instrText>ADDIN CSL_CITATION { "citationItems" : [ { "id" : "ITEM-1", "itemData" : { "ISSN" : "21416990", "abstract" : "Grounded theory was developed by Glaser and Strauss who believed that theory could emerge through qualitative data analysis. In grounded theory, the researcher uses multiple stages of collecting, refining, and categorizing the data. The researcher uses the strategies of the making constant comparisons and applying theoretical sampling to obtain a theory grounded in the data. The justification of this paper is to provide discussion on the validity of grounded theory and the constant comparative method as effective research strategies for educators. The qualitative design of grounded theory will be the focus of this paper, along with a discussion of the constant comparative method, issues related to trustworthiness, and limitations inherent in grounded theory methodology", "author" : [ { "dropping-particle" : "", "family" : "Kolb", "given" : "Sharon M", "non-dropping-particle" : "", "parse-names" : false, "suffix" : "" } ], "container-title" : "Journal of Emerging Trends in Educational Research and Policy Studies", "id" : "ITEM-1", "issue" : "1", "issued" : { "date-parts" : [ [ "2012" ] ] }, "page" : "83-86", "title" : "Grounded Theory and the Constant Comparative Method : Valid Research Strategies for Educators", "type" : "article-journal", "volume" : "3" }, "uris" : [ "http://www.mendeley.com/documents/?uuid=4575df6c-8135-4747-a8d0-0ce443b9c55e", "http://www.mendeley.com/documents/?uuid=733e5fe5-edb3-4b6f-a882-0f2975c732ff" ] } ], "mendeley" : { "formattedCitation" : "(Kolb, 2012)", "plainTextFormattedCitation" : "(Kolb, 2012)", "previouslyFormattedCitation" : "(Kolb, 2012)" }, "properties" : { "noteIndex" : 0 }, "schema" : "https://github.com/citation-style-language/schema/raw/master/csl-citation.json" }</w:instrText>
      </w:r>
      <w:r w:rsidR="00E83BFE">
        <w:rPr>
          <w:rFonts w:asciiTheme="majorHAnsi" w:hAnsiTheme="majorHAnsi"/>
          <w:lang w:val="sv-SE"/>
        </w:rPr>
        <w:fldChar w:fldCharType="separate"/>
      </w:r>
      <w:r w:rsidR="00E83BFE" w:rsidRPr="00E83BFE">
        <w:rPr>
          <w:rFonts w:asciiTheme="majorHAnsi" w:hAnsiTheme="majorHAnsi"/>
          <w:noProof/>
          <w:lang w:val="sv-SE"/>
        </w:rPr>
        <w:t>(Kolb, 2012)</w:t>
      </w:r>
      <w:r w:rsidR="00E83BFE">
        <w:rPr>
          <w:rFonts w:asciiTheme="majorHAnsi" w:hAnsiTheme="majorHAnsi"/>
          <w:lang w:val="sv-SE"/>
        </w:rPr>
        <w:fldChar w:fldCharType="end"/>
      </w:r>
      <w:r w:rsidR="00BF3754" w:rsidRPr="00BF3754">
        <w:rPr>
          <w:rFonts w:asciiTheme="majorHAnsi" w:hAnsiTheme="majorHAnsi"/>
          <w:lang w:val="sv-SE"/>
        </w:rPr>
        <w:t>.</w:t>
      </w:r>
    </w:p>
    <w:p w14:paraId="55094D32" w14:textId="05FF8BA9" w:rsidR="00F70E34" w:rsidRPr="00F70E34" w:rsidRDefault="00F70E34" w:rsidP="00F70E34">
      <w:pPr>
        <w:pStyle w:val="IEEEParagraph"/>
        <w:spacing w:line="23" w:lineRule="atLeast"/>
        <w:ind w:firstLine="360"/>
        <w:rPr>
          <w:rFonts w:asciiTheme="majorHAnsi" w:hAnsiTheme="majorHAnsi"/>
          <w:lang w:val="sv-SE"/>
        </w:rPr>
      </w:pPr>
      <w:r w:rsidRPr="00F70E34">
        <w:rPr>
          <w:rFonts w:asciiTheme="majorHAnsi" w:hAnsiTheme="majorHAnsi"/>
          <w:lang w:val="sv-SE"/>
        </w:rPr>
        <w:t>Validation of the theoretical draft of this framework was carried out to test the content and construct validity of the draft theory. Validation involves 1 expert in leveling theory and 1 expert in translational thinking theory between mathematical representations. The two validators gave an assessment stating that the draft theory of grading qualifies as a logical and theoretically rational thought. All notes from this validator are then used as the basis for revising the draft leveling theory.</w:t>
      </w:r>
    </w:p>
    <w:p w14:paraId="6AA84F2B" w14:textId="60E34A1C" w:rsidR="00F70E34" w:rsidRDefault="00F70E34" w:rsidP="00F70E34">
      <w:pPr>
        <w:pStyle w:val="IEEEParagraph"/>
        <w:spacing w:line="23" w:lineRule="atLeast"/>
        <w:ind w:firstLine="360"/>
        <w:rPr>
          <w:rFonts w:asciiTheme="majorHAnsi" w:hAnsiTheme="majorHAnsi"/>
          <w:lang w:val="sv-SE"/>
        </w:rPr>
      </w:pPr>
      <w:r w:rsidRPr="00F70E34">
        <w:rPr>
          <w:rFonts w:asciiTheme="majorHAnsi" w:hAnsiTheme="majorHAnsi"/>
          <w:lang w:val="sv-SE"/>
        </w:rPr>
        <w:t xml:space="preserve">The instrument used is a mathematical translation thinking task in the form of an assignment sheet consisting of 2 questions related to quadratic equations. There are two types of questions given, namely translation from symbolic to graphic and translation from graphic to symbolic. This instrument was validated by 1 mathematician. There are two aspects that are assessed deeply by the validator on this instrument, namely the construction aspect and the language aspect. The results of the validator's assessment indicate that this </w:t>
      </w:r>
      <w:r w:rsidRPr="00F70E34">
        <w:rPr>
          <w:rFonts w:asciiTheme="majorHAnsi" w:hAnsiTheme="majorHAnsi"/>
          <w:lang w:val="sv-SE"/>
        </w:rPr>
        <w:lastRenderedPageBreak/>
        <w:t>instrument is feasible to use with improvements. This instrument was then revised according to the validator's input before taking data.</w:t>
      </w:r>
    </w:p>
    <w:p w14:paraId="756CAC03" w14:textId="77777777" w:rsidR="009B31D3" w:rsidRPr="00E77E85" w:rsidRDefault="009B31D3" w:rsidP="00E77E85">
      <w:pPr>
        <w:pStyle w:val="IEEEParagraph"/>
        <w:spacing w:line="23" w:lineRule="atLeast"/>
        <w:ind w:firstLine="360"/>
        <w:rPr>
          <w:rFonts w:asciiTheme="majorHAnsi" w:hAnsiTheme="majorHAnsi"/>
          <w:lang w:val="sv-SE"/>
        </w:rPr>
      </w:pPr>
    </w:p>
    <w:p w14:paraId="067B4865" w14:textId="77777777" w:rsidR="00E70EE3" w:rsidRPr="00E77E85" w:rsidRDefault="00062122" w:rsidP="00E77E85">
      <w:pPr>
        <w:pStyle w:val="IEEEHeading1"/>
        <w:numPr>
          <w:ilvl w:val="0"/>
          <w:numId w:val="11"/>
        </w:numPr>
        <w:spacing w:before="0" w:after="0" w:line="23" w:lineRule="atLeast"/>
        <w:jc w:val="left"/>
        <w:rPr>
          <w:rFonts w:asciiTheme="majorHAnsi" w:hAnsiTheme="majorHAnsi"/>
          <w:b/>
          <w:iCs/>
          <w:sz w:val="24"/>
          <w:lang w:val="id-ID"/>
        </w:rPr>
      </w:pPr>
      <w:r w:rsidRPr="00E77E85">
        <w:rPr>
          <w:rFonts w:asciiTheme="majorHAnsi" w:hAnsiTheme="majorHAnsi"/>
          <w:b/>
          <w:iCs/>
          <w:sz w:val="24"/>
          <w:lang w:val="en-US"/>
        </w:rPr>
        <w:t>RESULT AND DISCUSSION</w:t>
      </w:r>
    </w:p>
    <w:p w14:paraId="3C7CC93F" w14:textId="46823E16" w:rsidR="009B31D3" w:rsidRDefault="009B31D3" w:rsidP="001B24AB">
      <w:pPr>
        <w:pStyle w:val="IEEEParagraph"/>
        <w:spacing w:line="23" w:lineRule="atLeast"/>
        <w:ind w:firstLine="360"/>
        <w:rPr>
          <w:rStyle w:val="mediumtext"/>
          <w:rFonts w:asciiTheme="majorHAnsi" w:hAnsiTheme="majorHAnsi"/>
          <w:shd w:val="clear" w:color="auto" w:fill="FFFFFF"/>
        </w:rPr>
      </w:pPr>
      <w:r w:rsidRPr="009B31D3">
        <w:rPr>
          <w:rStyle w:val="mediumtext"/>
          <w:rFonts w:asciiTheme="majorHAnsi" w:hAnsiTheme="majorHAnsi"/>
          <w:shd w:val="clear" w:color="auto" w:fill="FFFFFF"/>
        </w:rPr>
        <w:t xml:space="preserve">The initial theory that was used as a reference in developing a grading framework for mathematical </w:t>
      </w:r>
      <w:r w:rsidRPr="001B24AB">
        <w:rPr>
          <w:lang w:val="sv-SE"/>
        </w:rPr>
        <w:t>translational</w:t>
      </w:r>
      <w:r w:rsidRPr="009B31D3">
        <w:rPr>
          <w:rStyle w:val="mediumtext"/>
          <w:rFonts w:asciiTheme="majorHAnsi" w:hAnsiTheme="majorHAnsi"/>
          <w:shd w:val="clear" w:color="auto" w:fill="FFFFFF"/>
        </w:rPr>
        <w:t xml:space="preserve"> thinking skills in prospective mathematics teacher students was the mathematical translation process </w:t>
      </w:r>
      <w:r w:rsidR="001E7460">
        <w:rPr>
          <w:rStyle w:val="mediumtext"/>
          <w:rFonts w:asciiTheme="majorHAnsi" w:hAnsiTheme="majorHAnsi"/>
          <w:shd w:val="clear" w:color="auto" w:fill="FFFFFF"/>
        </w:rPr>
        <w:fldChar w:fldCharType="begin" w:fldLock="1"/>
      </w:r>
      <w:r w:rsidR="008617FD">
        <w:rPr>
          <w:rStyle w:val="mediumtext"/>
          <w:rFonts w:asciiTheme="majorHAnsi" w:hAnsiTheme="majorHAnsi"/>
          <w:shd w:val="clear" w:color="auto" w:fill="FFFFFF"/>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"http://www.mendeley.com/documents/?uuid=83db75a7-7a12-4749-879b-28f86372fb93" ] } ], "mendeley" : { "formattedCitation" : "(Boss\u00e9 et al., 2014)", "plainTextFormattedCitation" : "(Boss\u00e9 et al., 2014)", "previouslyFormattedCitation" : "(Boss\u00e9 et al., 2014)" }, "properties" : { "noteIndex" : 0 }, "schema" : "https://github.com/citation-style-language/schema/raw/master/csl-citation.json" }</w:instrText>
      </w:r>
      <w:r w:rsidR="001E7460">
        <w:rPr>
          <w:rStyle w:val="mediumtext"/>
          <w:rFonts w:asciiTheme="majorHAnsi" w:hAnsiTheme="majorHAnsi"/>
          <w:shd w:val="clear" w:color="auto" w:fill="FFFFFF"/>
        </w:rPr>
        <w:fldChar w:fldCharType="separate"/>
      </w:r>
      <w:r w:rsidR="001E7460" w:rsidRPr="001E7460">
        <w:rPr>
          <w:rStyle w:val="mediumtext"/>
          <w:rFonts w:asciiTheme="majorHAnsi" w:hAnsiTheme="majorHAnsi"/>
          <w:noProof/>
          <w:shd w:val="clear" w:color="auto" w:fill="FFFFFF"/>
        </w:rPr>
        <w:t>(Bossé et al., 2014)</w:t>
      </w:r>
      <w:r w:rsidR="001E7460">
        <w:rPr>
          <w:rStyle w:val="mediumtext"/>
          <w:rFonts w:asciiTheme="majorHAnsi" w:hAnsiTheme="majorHAnsi"/>
          <w:shd w:val="clear" w:color="auto" w:fill="FFFFFF"/>
        </w:rPr>
        <w:fldChar w:fldCharType="end"/>
      </w:r>
      <w:r w:rsidR="001E7460">
        <w:rPr>
          <w:rStyle w:val="mediumtext"/>
          <w:rFonts w:asciiTheme="majorHAnsi" w:hAnsiTheme="majorHAnsi"/>
          <w:shd w:val="clear" w:color="auto" w:fill="FFFFFF"/>
        </w:rPr>
        <w:t xml:space="preserve"> </w:t>
      </w:r>
      <w:r w:rsidRPr="009B31D3">
        <w:rPr>
          <w:rStyle w:val="mediumtext"/>
          <w:rFonts w:asciiTheme="majorHAnsi" w:hAnsiTheme="majorHAnsi"/>
          <w:shd w:val="clear" w:color="auto" w:fill="FFFFFF"/>
        </w:rPr>
        <w:t>and the SOLO taxonomy. Based on these two theories, a hypothetical framework for grading mathematical translational thinking skills was developed for prospective mathematics teacher students, as shown in Table 1.</w:t>
      </w:r>
    </w:p>
    <w:p w14:paraId="09153D21" w14:textId="77777777" w:rsidR="00D014BA" w:rsidRDefault="00D014BA" w:rsidP="009B31D3">
      <w:pPr>
        <w:pStyle w:val="IEEEParagraph"/>
        <w:spacing w:line="23" w:lineRule="atLeast"/>
        <w:ind w:left="283"/>
        <w:rPr>
          <w:rStyle w:val="mediumtext"/>
          <w:rFonts w:asciiTheme="majorHAnsi" w:hAnsiTheme="majorHAnsi"/>
          <w:shd w:val="clear" w:color="auto" w:fill="FFFFFF"/>
        </w:rPr>
      </w:pPr>
    </w:p>
    <w:p w14:paraId="1EF7FC1A" w14:textId="635F6C96" w:rsidR="009B31D3" w:rsidRPr="00400769" w:rsidRDefault="00C31C96" w:rsidP="00D014BA">
      <w:pPr>
        <w:pStyle w:val="IEEEParagraph"/>
        <w:spacing w:line="23" w:lineRule="atLeast"/>
        <w:ind w:left="360"/>
        <w:jc w:val="center"/>
        <w:rPr>
          <w:rStyle w:val="mediumtext"/>
          <w:rFonts w:asciiTheme="majorHAnsi" w:hAnsiTheme="majorHAnsi"/>
          <w:b/>
          <w:bCs/>
          <w:sz w:val="22"/>
          <w:szCs w:val="22"/>
          <w:shd w:val="clear" w:color="auto" w:fill="FFFFFF"/>
        </w:rPr>
      </w:pPr>
      <w:r w:rsidRPr="00400769">
        <w:rPr>
          <w:rStyle w:val="mediumtext"/>
          <w:rFonts w:asciiTheme="majorHAnsi" w:hAnsiTheme="majorHAnsi"/>
          <w:b/>
          <w:bCs/>
          <w:sz w:val="22"/>
          <w:szCs w:val="22"/>
          <w:shd w:val="clear" w:color="auto" w:fill="FFFFFF"/>
        </w:rPr>
        <w:t>Table 1</w:t>
      </w:r>
      <w:r w:rsidR="00D014BA">
        <w:rPr>
          <w:rStyle w:val="mediumtext"/>
          <w:rFonts w:asciiTheme="majorHAnsi" w:hAnsiTheme="majorHAnsi"/>
          <w:b/>
          <w:bCs/>
          <w:sz w:val="22"/>
          <w:szCs w:val="22"/>
          <w:shd w:val="clear" w:color="auto" w:fill="FFFFFF"/>
        </w:rPr>
        <w:t xml:space="preserve">. </w:t>
      </w:r>
      <w:r w:rsidRPr="00D014BA">
        <w:rPr>
          <w:rStyle w:val="mediumtext"/>
          <w:rFonts w:asciiTheme="majorHAnsi" w:hAnsiTheme="majorHAnsi"/>
          <w:bCs/>
          <w:sz w:val="22"/>
          <w:szCs w:val="22"/>
          <w:shd w:val="clear" w:color="auto" w:fill="FFFFFF"/>
        </w:rPr>
        <w:t>Mathematical Translation Thinking Skills Framework</w:t>
      </w:r>
    </w:p>
    <w:tbl>
      <w:tblPr>
        <w:tblStyle w:val="TableGrid"/>
        <w:tblW w:w="9356"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552"/>
        <w:gridCol w:w="6804"/>
      </w:tblGrid>
      <w:tr w:rsidR="00C31C96" w:rsidRPr="00400769" w14:paraId="259FED17" w14:textId="77777777" w:rsidTr="00780671">
        <w:trPr>
          <w:tblHeader/>
        </w:trPr>
        <w:tc>
          <w:tcPr>
            <w:tcW w:w="2552" w:type="dxa"/>
            <w:vAlign w:val="center"/>
          </w:tcPr>
          <w:p w14:paraId="0A771892" w14:textId="0F9C892C" w:rsidR="00C31C96" w:rsidRPr="00400769" w:rsidRDefault="00077609" w:rsidP="00077609">
            <w:pPr>
              <w:ind w:left="34"/>
              <w:contextualSpacing/>
              <w:jc w:val="center"/>
              <w:rPr>
                <w:rFonts w:asciiTheme="majorHAnsi" w:hAnsiTheme="majorHAnsi"/>
                <w:b/>
                <w:sz w:val="22"/>
                <w:szCs w:val="22"/>
              </w:rPr>
            </w:pPr>
            <w:r w:rsidRPr="00400769">
              <w:rPr>
                <w:rFonts w:asciiTheme="majorHAnsi" w:hAnsiTheme="majorHAnsi"/>
                <w:b/>
                <w:sz w:val="22"/>
                <w:szCs w:val="22"/>
              </w:rPr>
              <w:t>Level of Mathematical Translation Thinking Ability</w:t>
            </w:r>
          </w:p>
        </w:tc>
        <w:tc>
          <w:tcPr>
            <w:tcW w:w="6804" w:type="dxa"/>
            <w:vAlign w:val="center"/>
          </w:tcPr>
          <w:p w14:paraId="15F65177" w14:textId="66D88110" w:rsidR="00C31C96" w:rsidRPr="00400769" w:rsidRDefault="00192800" w:rsidP="00E815AB">
            <w:pPr>
              <w:jc w:val="center"/>
              <w:rPr>
                <w:rFonts w:asciiTheme="majorHAnsi" w:hAnsiTheme="majorHAnsi"/>
                <w:b/>
                <w:sz w:val="22"/>
                <w:szCs w:val="22"/>
              </w:rPr>
            </w:pPr>
            <w:r w:rsidRPr="00400769">
              <w:rPr>
                <w:rFonts w:asciiTheme="majorHAnsi" w:hAnsiTheme="majorHAnsi"/>
                <w:b/>
                <w:sz w:val="22"/>
                <w:szCs w:val="22"/>
              </w:rPr>
              <w:t>Indic</w:t>
            </w:r>
            <w:r w:rsidR="00C31C96" w:rsidRPr="00400769">
              <w:rPr>
                <w:rFonts w:asciiTheme="majorHAnsi" w:hAnsiTheme="majorHAnsi"/>
                <w:b/>
                <w:sz w:val="22"/>
                <w:szCs w:val="22"/>
              </w:rPr>
              <w:t>ator</w:t>
            </w:r>
          </w:p>
        </w:tc>
      </w:tr>
      <w:tr w:rsidR="00C31C96" w:rsidRPr="00400769" w14:paraId="42A6FB08" w14:textId="77777777" w:rsidTr="00780671">
        <w:tc>
          <w:tcPr>
            <w:tcW w:w="2552" w:type="dxa"/>
          </w:tcPr>
          <w:p w14:paraId="0357614D" w14:textId="77777777" w:rsidR="00C31C96" w:rsidRPr="00400769" w:rsidRDefault="00C31C96" w:rsidP="00E815AB">
            <w:pPr>
              <w:jc w:val="center"/>
              <w:rPr>
                <w:rFonts w:asciiTheme="majorHAnsi" w:hAnsiTheme="majorHAnsi"/>
                <w:sz w:val="22"/>
                <w:szCs w:val="22"/>
              </w:rPr>
            </w:pPr>
            <w:r w:rsidRPr="00400769">
              <w:rPr>
                <w:rFonts w:asciiTheme="majorHAnsi" w:hAnsiTheme="majorHAnsi"/>
                <w:sz w:val="22"/>
                <w:szCs w:val="22"/>
              </w:rPr>
              <w:t>Level 0</w:t>
            </w:r>
          </w:p>
        </w:tc>
        <w:tc>
          <w:tcPr>
            <w:tcW w:w="6804" w:type="dxa"/>
          </w:tcPr>
          <w:p w14:paraId="3C87E5C0" w14:textId="77777777" w:rsidR="00C31C96" w:rsidRPr="00400769" w:rsidRDefault="00C31C96" w:rsidP="00E04635">
            <w:pPr>
              <w:pStyle w:val="ListParagraph"/>
              <w:numPr>
                <w:ilvl w:val="0"/>
                <w:numId w:val="15"/>
              </w:numPr>
              <w:ind w:left="317" w:hanging="283"/>
              <w:contextualSpacing/>
              <w:jc w:val="both"/>
              <w:rPr>
                <w:rFonts w:asciiTheme="majorHAnsi" w:hAnsiTheme="majorHAnsi"/>
                <w:sz w:val="22"/>
                <w:szCs w:val="22"/>
              </w:rPr>
            </w:pPr>
            <w:r w:rsidRPr="00400769">
              <w:rPr>
                <w:rFonts w:asciiTheme="majorHAnsi" w:hAnsiTheme="majorHAnsi"/>
                <w:sz w:val="22"/>
                <w:szCs w:val="22"/>
              </w:rPr>
              <w:t>Able to identify information on the task, but unable to identify micro-concepts in source representation.</w:t>
            </w:r>
          </w:p>
          <w:p w14:paraId="0F2968D2" w14:textId="303B6EA7" w:rsidR="00C31C96" w:rsidRPr="00400769" w:rsidRDefault="00C31C96" w:rsidP="00E04635">
            <w:pPr>
              <w:pStyle w:val="ListParagraph"/>
              <w:numPr>
                <w:ilvl w:val="0"/>
                <w:numId w:val="15"/>
              </w:numPr>
              <w:ind w:left="317" w:hanging="283"/>
              <w:contextualSpacing/>
              <w:jc w:val="both"/>
              <w:rPr>
                <w:rFonts w:asciiTheme="majorHAnsi" w:hAnsiTheme="majorHAnsi"/>
                <w:sz w:val="22"/>
                <w:szCs w:val="22"/>
              </w:rPr>
            </w:pPr>
            <w:r w:rsidRPr="00400769">
              <w:rPr>
                <w:rFonts w:asciiTheme="majorHAnsi" w:hAnsiTheme="majorHAnsi"/>
                <w:sz w:val="22"/>
                <w:szCs w:val="22"/>
              </w:rPr>
              <w:t>Unable to devise a strategy to build an appropriate target representation</w:t>
            </w:r>
            <w:r w:rsidR="000631D1">
              <w:rPr>
                <w:rFonts w:asciiTheme="majorHAnsi" w:hAnsiTheme="majorHAnsi"/>
                <w:sz w:val="22"/>
                <w:szCs w:val="22"/>
              </w:rPr>
              <w:t>.</w:t>
            </w:r>
          </w:p>
        </w:tc>
      </w:tr>
      <w:tr w:rsidR="00C31C96" w:rsidRPr="00400769" w14:paraId="0EE6EB63" w14:textId="77777777" w:rsidTr="00780671">
        <w:tc>
          <w:tcPr>
            <w:tcW w:w="2552" w:type="dxa"/>
          </w:tcPr>
          <w:p w14:paraId="1AF94B55" w14:textId="77777777" w:rsidR="00C31C96" w:rsidRPr="00400769" w:rsidRDefault="00C31C96" w:rsidP="00E815AB">
            <w:pPr>
              <w:jc w:val="center"/>
              <w:rPr>
                <w:rFonts w:asciiTheme="majorHAnsi" w:hAnsiTheme="majorHAnsi"/>
                <w:sz w:val="22"/>
                <w:szCs w:val="22"/>
              </w:rPr>
            </w:pPr>
            <w:r w:rsidRPr="00400769">
              <w:rPr>
                <w:rFonts w:asciiTheme="majorHAnsi" w:hAnsiTheme="majorHAnsi"/>
                <w:sz w:val="22"/>
                <w:szCs w:val="22"/>
              </w:rPr>
              <w:t>Level 1</w:t>
            </w:r>
          </w:p>
        </w:tc>
        <w:tc>
          <w:tcPr>
            <w:tcW w:w="6804" w:type="dxa"/>
          </w:tcPr>
          <w:p w14:paraId="73D997C1" w14:textId="3B572BD1" w:rsidR="00C31C96" w:rsidRPr="00400769" w:rsidRDefault="00C31C96"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information on the task</w:t>
            </w:r>
            <w:r w:rsidR="000631D1">
              <w:rPr>
                <w:rFonts w:asciiTheme="majorHAnsi" w:hAnsiTheme="majorHAnsi"/>
                <w:sz w:val="22"/>
                <w:szCs w:val="22"/>
              </w:rPr>
              <w:t>.</w:t>
            </w:r>
          </w:p>
          <w:p w14:paraId="7D9FC97C" w14:textId="77777777" w:rsidR="00C31C96" w:rsidRPr="00400769" w:rsidRDefault="00C31C96"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one micro concept in source representation.</w:t>
            </w:r>
          </w:p>
          <w:p w14:paraId="7426C881" w14:textId="31F43D69" w:rsidR="00C31C96" w:rsidRPr="00400769" w:rsidRDefault="00C31C96"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design simple strategies in building target representation, but unable to predict micro concept of target representation</w:t>
            </w:r>
            <w:r w:rsidR="000631D1">
              <w:rPr>
                <w:rFonts w:asciiTheme="majorHAnsi" w:hAnsiTheme="majorHAnsi"/>
                <w:sz w:val="22"/>
                <w:szCs w:val="22"/>
              </w:rPr>
              <w:t>.</w:t>
            </w:r>
          </w:p>
        </w:tc>
      </w:tr>
      <w:tr w:rsidR="00C31C96" w:rsidRPr="00400769" w14:paraId="651C851A" w14:textId="77777777" w:rsidTr="00780671">
        <w:tc>
          <w:tcPr>
            <w:tcW w:w="2552" w:type="dxa"/>
          </w:tcPr>
          <w:p w14:paraId="4BE0E571" w14:textId="77777777" w:rsidR="00C31C96" w:rsidRPr="00400769" w:rsidRDefault="00C31C96" w:rsidP="00E815AB">
            <w:pPr>
              <w:jc w:val="center"/>
              <w:rPr>
                <w:rFonts w:asciiTheme="majorHAnsi" w:hAnsiTheme="majorHAnsi"/>
                <w:sz w:val="22"/>
                <w:szCs w:val="22"/>
              </w:rPr>
            </w:pPr>
            <w:r w:rsidRPr="00400769">
              <w:rPr>
                <w:rFonts w:asciiTheme="majorHAnsi" w:hAnsiTheme="majorHAnsi"/>
                <w:sz w:val="22"/>
                <w:szCs w:val="22"/>
              </w:rPr>
              <w:t>Level 2</w:t>
            </w:r>
          </w:p>
        </w:tc>
        <w:tc>
          <w:tcPr>
            <w:tcW w:w="6804" w:type="dxa"/>
          </w:tcPr>
          <w:p w14:paraId="5A6991DF" w14:textId="4A4F079D" w:rsidR="00D13927"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information on the task</w:t>
            </w:r>
            <w:r w:rsidR="000631D1">
              <w:rPr>
                <w:rFonts w:asciiTheme="majorHAnsi" w:hAnsiTheme="majorHAnsi"/>
                <w:sz w:val="22"/>
                <w:szCs w:val="22"/>
              </w:rPr>
              <w:t>.</w:t>
            </w:r>
          </w:p>
          <w:p w14:paraId="1F0E10CC" w14:textId="77777777" w:rsidR="00D13927"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several micro concepts in source representation.</w:t>
            </w:r>
          </w:p>
          <w:p w14:paraId="79A73474" w14:textId="228539E6" w:rsidR="00D13927"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determine the interrelationships between micro-concepts in the source representation</w:t>
            </w:r>
            <w:r w:rsidR="000631D1">
              <w:rPr>
                <w:rFonts w:asciiTheme="majorHAnsi" w:hAnsiTheme="majorHAnsi"/>
                <w:sz w:val="22"/>
                <w:szCs w:val="22"/>
              </w:rPr>
              <w:t>.</w:t>
            </w:r>
          </w:p>
          <w:p w14:paraId="1E9437E2" w14:textId="0AE8372E" w:rsidR="00D13927"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design strategies to build target representations and be able to predict micro-concept target representations</w:t>
            </w:r>
            <w:r w:rsidR="000631D1">
              <w:rPr>
                <w:rFonts w:asciiTheme="majorHAnsi" w:hAnsiTheme="majorHAnsi"/>
                <w:sz w:val="22"/>
                <w:szCs w:val="22"/>
              </w:rPr>
              <w:t>.</w:t>
            </w:r>
          </w:p>
          <w:p w14:paraId="3730A8C0" w14:textId="5F049664" w:rsidR="00D13927"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Haven't been able to create a network of ideas between source and target representations</w:t>
            </w:r>
            <w:r w:rsidR="000631D1">
              <w:rPr>
                <w:rFonts w:asciiTheme="majorHAnsi" w:hAnsiTheme="majorHAnsi"/>
                <w:sz w:val="22"/>
                <w:szCs w:val="22"/>
              </w:rPr>
              <w:t>.</w:t>
            </w:r>
          </w:p>
          <w:p w14:paraId="2519AD5D" w14:textId="2DB09369" w:rsidR="00C31C96" w:rsidRPr="00400769" w:rsidRDefault="00D13927"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make target representation, but still not precise</w:t>
            </w:r>
            <w:r w:rsidR="000631D1">
              <w:rPr>
                <w:rFonts w:asciiTheme="majorHAnsi" w:hAnsiTheme="majorHAnsi"/>
                <w:sz w:val="22"/>
                <w:szCs w:val="22"/>
              </w:rPr>
              <w:t>.</w:t>
            </w:r>
          </w:p>
        </w:tc>
      </w:tr>
      <w:tr w:rsidR="00C31C96" w:rsidRPr="00400769" w14:paraId="6558C0D3" w14:textId="77777777" w:rsidTr="00780671">
        <w:tc>
          <w:tcPr>
            <w:tcW w:w="2552" w:type="dxa"/>
          </w:tcPr>
          <w:p w14:paraId="122B18C1" w14:textId="77777777" w:rsidR="00C31C96" w:rsidRPr="00400769" w:rsidRDefault="00C31C96" w:rsidP="00E815AB">
            <w:pPr>
              <w:jc w:val="center"/>
              <w:rPr>
                <w:rFonts w:asciiTheme="majorHAnsi" w:hAnsiTheme="majorHAnsi"/>
                <w:sz w:val="22"/>
                <w:szCs w:val="22"/>
              </w:rPr>
            </w:pPr>
            <w:r w:rsidRPr="00400769">
              <w:rPr>
                <w:rFonts w:asciiTheme="majorHAnsi" w:hAnsiTheme="majorHAnsi"/>
                <w:sz w:val="22"/>
                <w:szCs w:val="22"/>
              </w:rPr>
              <w:t>Level 3</w:t>
            </w:r>
          </w:p>
        </w:tc>
        <w:tc>
          <w:tcPr>
            <w:tcW w:w="6804" w:type="dxa"/>
          </w:tcPr>
          <w:p w14:paraId="28DCA879" w14:textId="77777777"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information on the task and can identify various micro concepts in source representation.</w:t>
            </w:r>
          </w:p>
          <w:p w14:paraId="3437F7E2" w14:textId="22E0E5DD"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determine the interrelationships between micro concepts in the sources representation appropriately</w:t>
            </w:r>
            <w:r w:rsidR="000631D1">
              <w:rPr>
                <w:rFonts w:asciiTheme="majorHAnsi" w:hAnsiTheme="majorHAnsi"/>
                <w:sz w:val="22"/>
                <w:szCs w:val="22"/>
              </w:rPr>
              <w:t>.</w:t>
            </w:r>
          </w:p>
          <w:p w14:paraId="622D6F58" w14:textId="094BF96E"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design strategies to build target representation and be able to predict the micro concept of target representation</w:t>
            </w:r>
            <w:r w:rsidR="000631D1">
              <w:rPr>
                <w:rFonts w:asciiTheme="majorHAnsi" w:hAnsiTheme="majorHAnsi"/>
                <w:sz w:val="22"/>
                <w:szCs w:val="22"/>
              </w:rPr>
              <w:t>.</w:t>
            </w:r>
          </w:p>
          <w:p w14:paraId="04155F6F" w14:textId="3C758C5D"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create a network of ideas between source and target representations</w:t>
            </w:r>
            <w:r w:rsidR="000631D1">
              <w:rPr>
                <w:rFonts w:asciiTheme="majorHAnsi" w:hAnsiTheme="majorHAnsi"/>
                <w:sz w:val="22"/>
                <w:szCs w:val="22"/>
              </w:rPr>
              <w:t>.</w:t>
            </w:r>
          </w:p>
          <w:p w14:paraId="5EF12D03" w14:textId="51902130" w:rsidR="00C31C96"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build target representation appropriately</w:t>
            </w:r>
            <w:r w:rsidR="000631D1">
              <w:rPr>
                <w:rFonts w:asciiTheme="majorHAnsi" w:hAnsiTheme="majorHAnsi"/>
                <w:sz w:val="22"/>
                <w:szCs w:val="22"/>
              </w:rPr>
              <w:t>.</w:t>
            </w:r>
          </w:p>
        </w:tc>
      </w:tr>
      <w:tr w:rsidR="00C31C96" w:rsidRPr="00400769" w14:paraId="7048AB77" w14:textId="77777777" w:rsidTr="00780671">
        <w:tc>
          <w:tcPr>
            <w:tcW w:w="2552" w:type="dxa"/>
          </w:tcPr>
          <w:p w14:paraId="18EA5EB5" w14:textId="77777777" w:rsidR="00C31C96" w:rsidRPr="00400769" w:rsidRDefault="00C31C96" w:rsidP="00E815AB">
            <w:pPr>
              <w:jc w:val="center"/>
              <w:rPr>
                <w:rFonts w:asciiTheme="majorHAnsi" w:hAnsiTheme="majorHAnsi"/>
                <w:sz w:val="22"/>
                <w:szCs w:val="22"/>
              </w:rPr>
            </w:pPr>
            <w:r w:rsidRPr="00400769">
              <w:rPr>
                <w:rFonts w:asciiTheme="majorHAnsi" w:hAnsiTheme="majorHAnsi"/>
                <w:sz w:val="22"/>
                <w:szCs w:val="22"/>
              </w:rPr>
              <w:t>Level 4</w:t>
            </w:r>
          </w:p>
        </w:tc>
        <w:tc>
          <w:tcPr>
            <w:tcW w:w="6804" w:type="dxa"/>
          </w:tcPr>
          <w:p w14:paraId="67E25951" w14:textId="77777777"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identify information on the task and can identify various micro concepts in source representation.</w:t>
            </w:r>
          </w:p>
          <w:p w14:paraId="7189758E" w14:textId="727633B9"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determine the interrelationships between micro concepts and micro concepts in the sources representation appropriately.</w:t>
            </w:r>
          </w:p>
          <w:p w14:paraId="416FAF76" w14:textId="19BFCF8E"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design strategies to build target representations and be able to predict micro-concept of target representations</w:t>
            </w:r>
            <w:r w:rsidR="000631D1">
              <w:rPr>
                <w:rFonts w:asciiTheme="majorHAnsi" w:hAnsiTheme="majorHAnsi"/>
                <w:sz w:val="22"/>
                <w:szCs w:val="22"/>
              </w:rPr>
              <w:t>.</w:t>
            </w:r>
          </w:p>
          <w:p w14:paraId="74AB2AD7" w14:textId="61F1279F"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create a network of ideas between source and target representations</w:t>
            </w:r>
            <w:r w:rsidR="000631D1">
              <w:rPr>
                <w:rFonts w:asciiTheme="majorHAnsi" w:hAnsiTheme="majorHAnsi"/>
                <w:sz w:val="22"/>
                <w:szCs w:val="22"/>
              </w:rPr>
              <w:t>.</w:t>
            </w:r>
          </w:p>
          <w:p w14:paraId="6597664D" w14:textId="481FDE71"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build target representation appropriately</w:t>
            </w:r>
            <w:r w:rsidR="000631D1">
              <w:rPr>
                <w:rFonts w:asciiTheme="majorHAnsi" w:hAnsiTheme="majorHAnsi"/>
                <w:sz w:val="22"/>
                <w:szCs w:val="22"/>
              </w:rPr>
              <w:t>.</w:t>
            </w:r>
          </w:p>
          <w:p w14:paraId="7C3C7CE6" w14:textId="0B7E521B" w:rsidR="00416172"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Able to check the suitability of mathematical ideas contained between the target representation and the source representation</w:t>
            </w:r>
            <w:r w:rsidR="000631D1">
              <w:rPr>
                <w:rFonts w:asciiTheme="majorHAnsi" w:hAnsiTheme="majorHAnsi"/>
                <w:sz w:val="22"/>
                <w:szCs w:val="22"/>
              </w:rPr>
              <w:t>.</w:t>
            </w:r>
          </w:p>
          <w:p w14:paraId="297107E5" w14:textId="3ABC048E" w:rsidR="00C31C96" w:rsidRPr="00400769" w:rsidRDefault="00416172" w:rsidP="00E04635">
            <w:pPr>
              <w:pStyle w:val="ListParagraph"/>
              <w:numPr>
                <w:ilvl w:val="0"/>
                <w:numId w:val="15"/>
              </w:numPr>
              <w:ind w:left="310" w:hanging="310"/>
              <w:contextualSpacing/>
              <w:jc w:val="both"/>
              <w:rPr>
                <w:rFonts w:asciiTheme="majorHAnsi" w:hAnsiTheme="majorHAnsi"/>
                <w:sz w:val="22"/>
                <w:szCs w:val="22"/>
              </w:rPr>
            </w:pPr>
            <w:r w:rsidRPr="00400769">
              <w:rPr>
                <w:rFonts w:asciiTheme="majorHAnsi" w:hAnsiTheme="majorHAnsi"/>
                <w:sz w:val="22"/>
                <w:szCs w:val="22"/>
              </w:rPr>
              <w:t xml:space="preserve">Able to create flexible connections between mathematical </w:t>
            </w:r>
            <w:r w:rsidRPr="00400769">
              <w:rPr>
                <w:rFonts w:asciiTheme="majorHAnsi" w:hAnsiTheme="majorHAnsi"/>
                <w:sz w:val="22"/>
                <w:szCs w:val="22"/>
              </w:rPr>
              <w:lastRenderedPageBreak/>
              <w:t>representations and be able to generalize to various mathematical concepts</w:t>
            </w:r>
            <w:r w:rsidR="000631D1">
              <w:rPr>
                <w:rFonts w:asciiTheme="majorHAnsi" w:hAnsiTheme="majorHAnsi"/>
                <w:sz w:val="22"/>
                <w:szCs w:val="22"/>
              </w:rPr>
              <w:t>.</w:t>
            </w:r>
          </w:p>
        </w:tc>
      </w:tr>
    </w:tbl>
    <w:p w14:paraId="3E3E1303" w14:textId="77777777" w:rsidR="00C31C96" w:rsidRPr="00C31C96" w:rsidRDefault="00C31C96" w:rsidP="00C31C96">
      <w:pPr>
        <w:pStyle w:val="IEEEParagraph"/>
        <w:spacing w:line="23" w:lineRule="atLeast"/>
        <w:ind w:left="360" w:firstLine="0"/>
        <w:jc w:val="center"/>
        <w:rPr>
          <w:rStyle w:val="mediumtext"/>
          <w:rFonts w:asciiTheme="majorHAnsi" w:hAnsiTheme="majorHAnsi"/>
          <w:b/>
          <w:bCs/>
          <w:shd w:val="clear" w:color="auto" w:fill="FFFFFF"/>
        </w:rPr>
      </w:pPr>
    </w:p>
    <w:p w14:paraId="55E51F8B" w14:textId="0F2E8C15" w:rsidR="009B31D3" w:rsidRDefault="00416172" w:rsidP="005F2FC0">
      <w:pPr>
        <w:pStyle w:val="IEEEParagraph"/>
        <w:spacing w:line="23" w:lineRule="atLeast"/>
        <w:ind w:firstLine="360"/>
        <w:rPr>
          <w:rStyle w:val="longtext"/>
          <w:rFonts w:asciiTheme="majorHAnsi" w:hAnsiTheme="majorHAnsi"/>
          <w:shd w:val="clear" w:color="auto" w:fill="FFFFFF"/>
          <w:lang w:val="sv-SE"/>
        </w:rPr>
      </w:pPr>
      <w:r w:rsidRPr="00416172">
        <w:rPr>
          <w:rStyle w:val="longtext"/>
          <w:rFonts w:asciiTheme="majorHAnsi" w:hAnsiTheme="majorHAnsi"/>
          <w:shd w:val="clear" w:color="auto" w:fill="FFFFFF"/>
          <w:lang w:val="sv-SE"/>
        </w:rPr>
        <w:t xml:space="preserve">The developed </w:t>
      </w:r>
      <w:r w:rsidRPr="005F2FC0">
        <w:rPr>
          <w:rStyle w:val="mediumtext"/>
        </w:rPr>
        <w:t>mathematical</w:t>
      </w:r>
      <w:r w:rsidRPr="00416172">
        <w:rPr>
          <w:rStyle w:val="longtext"/>
          <w:rFonts w:asciiTheme="majorHAnsi" w:hAnsiTheme="majorHAnsi"/>
          <w:shd w:val="clear" w:color="auto" w:fill="FFFFFF"/>
          <w:lang w:val="sv-SE"/>
        </w:rPr>
        <w:t xml:space="preserve"> translational thinking ability framework consists of five levels of ability, starting from level 0 to level 4. The mathematical translational thinking ability level 0 is a form of response to the previous mode at the pre-structural level in SOLO Taxonomy. While the ability to think mathematically translational level 1, 2 and 3 is a response to the target mode in SOLO Taxonomy, namely Unistructural, Multistructural and Relational. The level in this target mode becomes the response that will be addressed in learning. Finally, there is the ability to think mathematically at level 5 which is the next mode at the Exteded Abstract level in SOLO Taxonomy. This last level becomes a high-level response that may be achieved by students. The indicators at the five levels are, of course, associated with the four stages of the mathematical translation process, which consist of: </w:t>
      </w:r>
      <w:r>
        <w:rPr>
          <w:rStyle w:val="longtext"/>
          <w:rFonts w:asciiTheme="majorHAnsi" w:hAnsiTheme="majorHAnsi"/>
          <w:shd w:val="clear" w:color="auto" w:fill="FFFFFF"/>
          <w:lang w:val="sv-SE"/>
        </w:rPr>
        <w:t xml:space="preserve">unpacking </w:t>
      </w:r>
      <w:r w:rsidRPr="00416172">
        <w:rPr>
          <w:rStyle w:val="longtext"/>
          <w:rFonts w:asciiTheme="majorHAnsi" w:hAnsiTheme="majorHAnsi"/>
          <w:shd w:val="clear" w:color="auto" w:fill="FFFFFF"/>
          <w:lang w:val="sv-SE"/>
        </w:rPr>
        <w:t>the source, conducting initial coordination, constructing targets, and determining equivalence.</w:t>
      </w:r>
    </w:p>
    <w:p w14:paraId="62EB10DF" w14:textId="3623DA3C" w:rsidR="00723DFD" w:rsidRDefault="00F70E34" w:rsidP="005F2FC0">
      <w:pPr>
        <w:pStyle w:val="IEEEParagraph"/>
        <w:spacing w:line="23" w:lineRule="atLeast"/>
        <w:ind w:firstLine="360"/>
        <w:rPr>
          <w:rStyle w:val="longtext"/>
          <w:rFonts w:asciiTheme="majorHAnsi" w:hAnsiTheme="majorHAnsi"/>
          <w:shd w:val="clear" w:color="auto" w:fill="FFFFFF"/>
          <w:lang w:val="sv-SE"/>
        </w:rPr>
      </w:pPr>
      <w:r w:rsidRPr="00F70E34">
        <w:rPr>
          <w:rStyle w:val="longtext"/>
          <w:rFonts w:asciiTheme="majorHAnsi" w:hAnsiTheme="majorHAnsi"/>
          <w:shd w:val="clear" w:color="auto" w:fill="FFFFFF"/>
          <w:lang w:val="sv-SE"/>
        </w:rPr>
        <w:t xml:space="preserve">Tests were given to 40 prospective mathematics teacher students to determine the existence of a level of </w:t>
      </w:r>
      <w:r w:rsidRPr="005F2FC0">
        <w:rPr>
          <w:rStyle w:val="mediumtext"/>
        </w:rPr>
        <w:t>mathematical</w:t>
      </w:r>
      <w:r w:rsidRPr="00F70E34">
        <w:rPr>
          <w:rStyle w:val="longtext"/>
          <w:rFonts w:asciiTheme="majorHAnsi" w:hAnsiTheme="majorHAnsi"/>
          <w:shd w:val="clear" w:color="auto" w:fill="FFFFFF"/>
          <w:lang w:val="sv-SE"/>
        </w:rPr>
        <w:t xml:space="preserve"> translational thinking skills. All subjects were classified based on their answers adjusted by leveling indicators. The results of the classification of mathematical translational thinking skills in all research subjects are described in Table 2.</w:t>
      </w:r>
    </w:p>
    <w:p w14:paraId="1877FFF9" w14:textId="77777777" w:rsidR="00AE6A97" w:rsidRDefault="00AE6A97" w:rsidP="00AE6A97">
      <w:pPr>
        <w:pStyle w:val="IEEEParagraph"/>
        <w:spacing w:line="23" w:lineRule="atLeast"/>
        <w:ind w:left="283"/>
        <w:rPr>
          <w:rStyle w:val="longtext"/>
          <w:rFonts w:asciiTheme="majorHAnsi" w:hAnsiTheme="majorHAnsi"/>
          <w:shd w:val="clear" w:color="auto" w:fill="FFFFFF"/>
          <w:lang w:val="sv-SE"/>
        </w:rPr>
      </w:pPr>
    </w:p>
    <w:p w14:paraId="73953308" w14:textId="083710EB" w:rsidR="00723DFD" w:rsidRPr="00400769" w:rsidRDefault="00026B88" w:rsidP="00723DFD">
      <w:pPr>
        <w:jc w:val="center"/>
        <w:rPr>
          <w:rFonts w:asciiTheme="majorHAnsi" w:hAnsiTheme="majorHAnsi"/>
          <w:b/>
          <w:sz w:val="22"/>
        </w:rPr>
      </w:pPr>
      <w:r>
        <w:rPr>
          <w:rFonts w:asciiTheme="majorHAnsi" w:hAnsiTheme="majorHAnsi"/>
          <w:b/>
          <w:sz w:val="22"/>
        </w:rPr>
        <w:t>Tab</w:t>
      </w:r>
      <w:r w:rsidR="00723DFD" w:rsidRPr="00400769">
        <w:rPr>
          <w:rFonts w:asciiTheme="majorHAnsi" w:hAnsiTheme="majorHAnsi"/>
          <w:b/>
          <w:sz w:val="22"/>
        </w:rPr>
        <w:t>l</w:t>
      </w:r>
      <w:r>
        <w:rPr>
          <w:rFonts w:asciiTheme="majorHAnsi" w:hAnsiTheme="majorHAnsi"/>
          <w:b/>
          <w:sz w:val="22"/>
        </w:rPr>
        <w:t>e</w:t>
      </w:r>
      <w:r w:rsidR="00723DFD" w:rsidRPr="00400769">
        <w:rPr>
          <w:rFonts w:asciiTheme="majorHAnsi" w:hAnsiTheme="majorHAnsi"/>
          <w:b/>
          <w:sz w:val="22"/>
        </w:rPr>
        <w:t xml:space="preserve"> 2</w:t>
      </w:r>
      <w:r w:rsidR="00D014BA">
        <w:rPr>
          <w:rFonts w:asciiTheme="majorHAnsi" w:hAnsiTheme="majorHAnsi"/>
          <w:b/>
          <w:sz w:val="22"/>
        </w:rPr>
        <w:t>.</w:t>
      </w:r>
      <w:r w:rsidR="00723DFD" w:rsidRPr="00400769">
        <w:rPr>
          <w:rFonts w:asciiTheme="majorHAnsi" w:hAnsiTheme="majorHAnsi"/>
          <w:b/>
          <w:sz w:val="22"/>
        </w:rPr>
        <w:t xml:space="preserve"> </w:t>
      </w:r>
      <w:r w:rsidR="00723DFD" w:rsidRPr="00D014BA">
        <w:rPr>
          <w:rFonts w:asciiTheme="majorHAnsi" w:hAnsiTheme="majorHAnsi"/>
          <w:sz w:val="22"/>
        </w:rPr>
        <w:t>Mathematical translation task results</w:t>
      </w:r>
    </w:p>
    <w:tbl>
      <w:tblPr>
        <w:tblW w:w="4115" w:type="dxa"/>
        <w:jc w:val="center"/>
        <w:tblLook w:val="04A0" w:firstRow="1" w:lastRow="0" w:firstColumn="1" w:lastColumn="0" w:noHBand="0" w:noVBand="1"/>
      </w:tblPr>
      <w:tblGrid>
        <w:gridCol w:w="520"/>
        <w:gridCol w:w="1498"/>
        <w:gridCol w:w="694"/>
        <w:gridCol w:w="1403"/>
      </w:tblGrid>
      <w:tr w:rsidR="00723DFD" w:rsidRPr="00400769" w14:paraId="4C950DB7" w14:textId="77777777" w:rsidTr="003E69F5">
        <w:trPr>
          <w:trHeight w:val="315"/>
          <w:jc w:val="center"/>
        </w:trPr>
        <w:tc>
          <w:tcPr>
            <w:tcW w:w="520" w:type="dxa"/>
            <w:tcBorders>
              <w:top w:val="single" w:sz="4" w:space="0" w:color="auto"/>
              <w:bottom w:val="single" w:sz="4" w:space="0" w:color="auto"/>
            </w:tcBorders>
            <w:shd w:val="clear" w:color="auto" w:fill="auto"/>
            <w:noWrap/>
            <w:vAlign w:val="center"/>
            <w:hideMark/>
          </w:tcPr>
          <w:p w14:paraId="3DD3BE9B" w14:textId="77777777" w:rsidR="00723DFD" w:rsidRPr="00400769" w:rsidRDefault="00723DFD" w:rsidP="003E69F5">
            <w:pPr>
              <w:jc w:val="center"/>
              <w:rPr>
                <w:rFonts w:asciiTheme="majorHAnsi" w:eastAsia="Times New Roman" w:hAnsiTheme="majorHAnsi"/>
                <w:b/>
                <w:bCs/>
                <w:color w:val="000000"/>
                <w:sz w:val="22"/>
                <w:lang w:val="id-ID" w:eastAsia="id-ID"/>
              </w:rPr>
            </w:pPr>
            <w:r w:rsidRPr="00400769">
              <w:rPr>
                <w:rFonts w:asciiTheme="majorHAnsi" w:eastAsia="Times New Roman" w:hAnsiTheme="majorHAnsi"/>
                <w:b/>
                <w:bCs/>
                <w:color w:val="000000"/>
                <w:sz w:val="22"/>
                <w:lang w:val="id-ID" w:eastAsia="id-ID"/>
              </w:rPr>
              <w:t>No</w:t>
            </w:r>
          </w:p>
        </w:tc>
        <w:tc>
          <w:tcPr>
            <w:tcW w:w="1498" w:type="dxa"/>
            <w:tcBorders>
              <w:top w:val="single" w:sz="4" w:space="0" w:color="auto"/>
              <w:bottom w:val="single" w:sz="4" w:space="0" w:color="auto"/>
            </w:tcBorders>
            <w:shd w:val="clear" w:color="auto" w:fill="auto"/>
            <w:noWrap/>
            <w:vAlign w:val="center"/>
            <w:hideMark/>
          </w:tcPr>
          <w:p w14:paraId="7F440E28" w14:textId="77777777" w:rsidR="00723DFD" w:rsidRPr="00400769" w:rsidRDefault="00723DFD" w:rsidP="003E69F5">
            <w:pPr>
              <w:jc w:val="center"/>
              <w:rPr>
                <w:rFonts w:asciiTheme="majorHAnsi" w:eastAsia="Times New Roman" w:hAnsiTheme="majorHAnsi"/>
                <w:b/>
                <w:bCs/>
                <w:color w:val="000000"/>
                <w:sz w:val="22"/>
                <w:lang w:val="id-ID" w:eastAsia="id-ID"/>
              </w:rPr>
            </w:pPr>
            <w:r w:rsidRPr="00400769">
              <w:rPr>
                <w:rFonts w:asciiTheme="majorHAnsi" w:eastAsia="Times New Roman" w:hAnsiTheme="majorHAnsi"/>
                <w:b/>
                <w:bCs/>
                <w:color w:val="000000"/>
                <w:sz w:val="22"/>
                <w:lang w:val="id-ID" w:eastAsia="id-ID"/>
              </w:rPr>
              <w:t>Level</w:t>
            </w:r>
          </w:p>
        </w:tc>
        <w:tc>
          <w:tcPr>
            <w:tcW w:w="694" w:type="dxa"/>
            <w:tcBorders>
              <w:top w:val="single" w:sz="4" w:space="0" w:color="auto"/>
              <w:bottom w:val="single" w:sz="4" w:space="0" w:color="auto"/>
            </w:tcBorders>
            <w:shd w:val="clear" w:color="auto" w:fill="auto"/>
            <w:noWrap/>
            <w:vAlign w:val="center"/>
            <w:hideMark/>
          </w:tcPr>
          <w:p w14:paraId="70E00A2B" w14:textId="7920CE55" w:rsidR="00723DFD" w:rsidRPr="00400769" w:rsidRDefault="00723DFD" w:rsidP="003E69F5">
            <w:pPr>
              <w:jc w:val="center"/>
              <w:rPr>
                <w:rFonts w:asciiTheme="majorHAnsi" w:eastAsia="Times New Roman" w:hAnsiTheme="majorHAnsi"/>
                <w:b/>
                <w:bCs/>
                <w:color w:val="000000"/>
                <w:sz w:val="22"/>
                <w:lang w:val="en-US" w:eastAsia="id-ID"/>
              </w:rPr>
            </w:pPr>
            <w:r w:rsidRPr="00400769">
              <w:rPr>
                <w:rFonts w:asciiTheme="majorHAnsi" w:eastAsia="Times New Roman" w:hAnsiTheme="majorHAnsi"/>
                <w:b/>
                <w:bCs/>
                <w:color w:val="000000"/>
                <w:sz w:val="22"/>
                <w:lang w:val="en-US" w:eastAsia="id-ID"/>
              </w:rPr>
              <w:t>n</w:t>
            </w:r>
          </w:p>
        </w:tc>
        <w:tc>
          <w:tcPr>
            <w:tcW w:w="1403" w:type="dxa"/>
            <w:tcBorders>
              <w:top w:val="single" w:sz="4" w:space="0" w:color="auto"/>
              <w:bottom w:val="single" w:sz="4" w:space="0" w:color="auto"/>
            </w:tcBorders>
            <w:vAlign w:val="center"/>
          </w:tcPr>
          <w:p w14:paraId="5DF2F45A" w14:textId="52F9E4CF" w:rsidR="00723DFD" w:rsidRPr="00400769" w:rsidRDefault="00723DFD" w:rsidP="003E69F5">
            <w:pPr>
              <w:jc w:val="center"/>
              <w:rPr>
                <w:rFonts w:asciiTheme="majorHAnsi" w:eastAsia="Times New Roman" w:hAnsiTheme="majorHAnsi"/>
                <w:b/>
                <w:bCs/>
                <w:color w:val="000000"/>
                <w:sz w:val="22"/>
                <w:lang w:eastAsia="id-ID"/>
              </w:rPr>
            </w:pPr>
            <w:r w:rsidRPr="00400769">
              <w:rPr>
                <w:rFonts w:asciiTheme="majorHAnsi" w:eastAsia="Times New Roman" w:hAnsiTheme="majorHAnsi"/>
                <w:b/>
                <w:bCs/>
                <w:color w:val="000000"/>
                <w:sz w:val="22"/>
                <w:lang w:eastAsia="id-ID"/>
              </w:rPr>
              <w:t>Percentage</w:t>
            </w:r>
          </w:p>
        </w:tc>
      </w:tr>
      <w:tr w:rsidR="00723DFD" w:rsidRPr="00400769" w14:paraId="23A569F6" w14:textId="77777777" w:rsidTr="003E69F5">
        <w:trPr>
          <w:trHeight w:val="315"/>
          <w:jc w:val="center"/>
        </w:trPr>
        <w:tc>
          <w:tcPr>
            <w:tcW w:w="520" w:type="dxa"/>
            <w:tcBorders>
              <w:top w:val="nil"/>
              <w:bottom w:val="single" w:sz="4" w:space="0" w:color="auto"/>
            </w:tcBorders>
            <w:shd w:val="clear" w:color="auto" w:fill="auto"/>
            <w:noWrap/>
            <w:vAlign w:val="center"/>
            <w:hideMark/>
          </w:tcPr>
          <w:p w14:paraId="0D3C0A56" w14:textId="77777777" w:rsidR="00723DFD" w:rsidRPr="00400769" w:rsidRDefault="00723DFD" w:rsidP="003E69F5">
            <w:pPr>
              <w:jc w:val="center"/>
              <w:rPr>
                <w:rFonts w:asciiTheme="majorHAnsi" w:eastAsia="Times New Roman" w:hAnsiTheme="majorHAnsi"/>
                <w:color w:val="000000"/>
                <w:sz w:val="22"/>
                <w:lang w:val="id-ID" w:eastAsia="id-ID"/>
              </w:rPr>
            </w:pPr>
            <w:r w:rsidRPr="00400769">
              <w:rPr>
                <w:rFonts w:asciiTheme="majorHAnsi" w:eastAsia="Times New Roman" w:hAnsiTheme="majorHAnsi"/>
                <w:color w:val="000000"/>
                <w:sz w:val="22"/>
                <w:lang w:val="id-ID" w:eastAsia="id-ID"/>
              </w:rPr>
              <w:t>1</w:t>
            </w:r>
          </w:p>
        </w:tc>
        <w:tc>
          <w:tcPr>
            <w:tcW w:w="1498" w:type="dxa"/>
            <w:tcBorders>
              <w:top w:val="nil"/>
              <w:bottom w:val="single" w:sz="4" w:space="0" w:color="auto"/>
            </w:tcBorders>
            <w:shd w:val="clear" w:color="auto" w:fill="auto"/>
            <w:noWrap/>
            <w:vAlign w:val="center"/>
            <w:hideMark/>
          </w:tcPr>
          <w:p w14:paraId="53654B73" w14:textId="77777777" w:rsidR="00723DFD" w:rsidRPr="00400769" w:rsidRDefault="00723DFD" w:rsidP="003E69F5">
            <w:pPr>
              <w:jc w:val="center"/>
              <w:rPr>
                <w:rFonts w:asciiTheme="majorHAnsi" w:eastAsia="Times New Roman" w:hAnsiTheme="majorHAnsi"/>
                <w:color w:val="000000"/>
                <w:sz w:val="22"/>
                <w:lang w:eastAsia="id-ID"/>
              </w:rPr>
            </w:pPr>
            <w:r w:rsidRPr="00400769">
              <w:rPr>
                <w:rFonts w:asciiTheme="majorHAnsi" w:eastAsia="Times New Roman" w:hAnsiTheme="majorHAnsi"/>
                <w:color w:val="000000"/>
                <w:sz w:val="22"/>
                <w:lang w:eastAsia="id-ID"/>
              </w:rPr>
              <w:t>Level 0</w:t>
            </w:r>
          </w:p>
        </w:tc>
        <w:tc>
          <w:tcPr>
            <w:tcW w:w="694" w:type="dxa"/>
            <w:tcBorders>
              <w:top w:val="nil"/>
              <w:bottom w:val="single" w:sz="4" w:space="0" w:color="auto"/>
            </w:tcBorders>
            <w:shd w:val="clear" w:color="auto" w:fill="auto"/>
            <w:noWrap/>
            <w:vAlign w:val="center"/>
            <w:hideMark/>
          </w:tcPr>
          <w:p w14:paraId="700C5C2E" w14:textId="004F4B34"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7</w:t>
            </w:r>
          </w:p>
        </w:tc>
        <w:tc>
          <w:tcPr>
            <w:tcW w:w="1403" w:type="dxa"/>
            <w:tcBorders>
              <w:top w:val="nil"/>
              <w:bottom w:val="single" w:sz="4" w:space="0" w:color="auto"/>
            </w:tcBorders>
            <w:vAlign w:val="center"/>
          </w:tcPr>
          <w:p w14:paraId="25395603" w14:textId="3B4600C9"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18%</w:t>
            </w:r>
          </w:p>
        </w:tc>
      </w:tr>
      <w:tr w:rsidR="00723DFD" w:rsidRPr="00400769" w14:paraId="5BA55C81" w14:textId="77777777" w:rsidTr="003E69F5">
        <w:trPr>
          <w:trHeight w:val="315"/>
          <w:jc w:val="center"/>
        </w:trPr>
        <w:tc>
          <w:tcPr>
            <w:tcW w:w="520" w:type="dxa"/>
            <w:tcBorders>
              <w:top w:val="nil"/>
              <w:bottom w:val="single" w:sz="4" w:space="0" w:color="auto"/>
            </w:tcBorders>
            <w:shd w:val="clear" w:color="auto" w:fill="auto"/>
            <w:noWrap/>
            <w:vAlign w:val="center"/>
            <w:hideMark/>
          </w:tcPr>
          <w:p w14:paraId="1BDED70A" w14:textId="77777777" w:rsidR="00723DFD" w:rsidRPr="00400769" w:rsidRDefault="00723DFD" w:rsidP="003E69F5">
            <w:pPr>
              <w:jc w:val="center"/>
              <w:rPr>
                <w:rFonts w:asciiTheme="majorHAnsi" w:eastAsia="Times New Roman" w:hAnsiTheme="majorHAnsi"/>
                <w:color w:val="000000"/>
                <w:sz w:val="22"/>
                <w:lang w:val="id-ID" w:eastAsia="id-ID"/>
              </w:rPr>
            </w:pPr>
            <w:r w:rsidRPr="00400769">
              <w:rPr>
                <w:rFonts w:asciiTheme="majorHAnsi" w:eastAsia="Times New Roman" w:hAnsiTheme="majorHAnsi"/>
                <w:color w:val="000000"/>
                <w:sz w:val="22"/>
                <w:lang w:val="id-ID" w:eastAsia="id-ID"/>
              </w:rPr>
              <w:t>2</w:t>
            </w:r>
          </w:p>
        </w:tc>
        <w:tc>
          <w:tcPr>
            <w:tcW w:w="1498" w:type="dxa"/>
            <w:tcBorders>
              <w:top w:val="nil"/>
              <w:bottom w:val="single" w:sz="4" w:space="0" w:color="auto"/>
            </w:tcBorders>
            <w:shd w:val="clear" w:color="auto" w:fill="auto"/>
            <w:noWrap/>
            <w:vAlign w:val="center"/>
            <w:hideMark/>
          </w:tcPr>
          <w:p w14:paraId="4EEC57D9" w14:textId="77777777" w:rsidR="00723DFD" w:rsidRPr="00400769" w:rsidRDefault="00723DFD" w:rsidP="003E69F5">
            <w:pPr>
              <w:jc w:val="center"/>
              <w:rPr>
                <w:rFonts w:asciiTheme="majorHAnsi" w:eastAsia="Times New Roman" w:hAnsiTheme="majorHAnsi"/>
                <w:color w:val="000000"/>
                <w:sz w:val="22"/>
                <w:lang w:eastAsia="id-ID"/>
              </w:rPr>
            </w:pPr>
            <w:r w:rsidRPr="00400769">
              <w:rPr>
                <w:rFonts w:asciiTheme="majorHAnsi" w:eastAsia="Times New Roman" w:hAnsiTheme="majorHAnsi"/>
                <w:color w:val="000000"/>
                <w:sz w:val="22"/>
                <w:lang w:eastAsia="id-ID"/>
              </w:rPr>
              <w:t>Level 1</w:t>
            </w:r>
          </w:p>
        </w:tc>
        <w:tc>
          <w:tcPr>
            <w:tcW w:w="694" w:type="dxa"/>
            <w:tcBorders>
              <w:top w:val="nil"/>
              <w:bottom w:val="single" w:sz="4" w:space="0" w:color="auto"/>
            </w:tcBorders>
            <w:shd w:val="clear" w:color="auto" w:fill="auto"/>
            <w:noWrap/>
            <w:vAlign w:val="center"/>
            <w:hideMark/>
          </w:tcPr>
          <w:p w14:paraId="5BF30908" w14:textId="12CF1EC0"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12</w:t>
            </w:r>
          </w:p>
        </w:tc>
        <w:tc>
          <w:tcPr>
            <w:tcW w:w="1403" w:type="dxa"/>
            <w:tcBorders>
              <w:top w:val="nil"/>
              <w:bottom w:val="single" w:sz="4" w:space="0" w:color="auto"/>
            </w:tcBorders>
            <w:vAlign w:val="center"/>
          </w:tcPr>
          <w:p w14:paraId="15AE52A6" w14:textId="3478DC5C"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30%</w:t>
            </w:r>
          </w:p>
        </w:tc>
      </w:tr>
      <w:tr w:rsidR="00723DFD" w:rsidRPr="00400769" w14:paraId="5D7B159F" w14:textId="77777777" w:rsidTr="003E69F5">
        <w:trPr>
          <w:trHeight w:val="315"/>
          <w:jc w:val="center"/>
        </w:trPr>
        <w:tc>
          <w:tcPr>
            <w:tcW w:w="520" w:type="dxa"/>
            <w:tcBorders>
              <w:top w:val="nil"/>
              <w:bottom w:val="single" w:sz="4" w:space="0" w:color="auto"/>
            </w:tcBorders>
            <w:shd w:val="clear" w:color="auto" w:fill="auto"/>
            <w:noWrap/>
            <w:vAlign w:val="center"/>
            <w:hideMark/>
          </w:tcPr>
          <w:p w14:paraId="71DAB586" w14:textId="77777777" w:rsidR="00723DFD" w:rsidRPr="00400769" w:rsidRDefault="00723DFD" w:rsidP="003E69F5">
            <w:pPr>
              <w:jc w:val="center"/>
              <w:rPr>
                <w:rFonts w:asciiTheme="majorHAnsi" w:eastAsia="Times New Roman" w:hAnsiTheme="majorHAnsi"/>
                <w:color w:val="000000"/>
                <w:sz w:val="22"/>
                <w:lang w:val="id-ID" w:eastAsia="id-ID"/>
              </w:rPr>
            </w:pPr>
            <w:r w:rsidRPr="00400769">
              <w:rPr>
                <w:rFonts w:asciiTheme="majorHAnsi" w:eastAsia="Times New Roman" w:hAnsiTheme="majorHAnsi"/>
                <w:color w:val="000000"/>
                <w:sz w:val="22"/>
                <w:lang w:val="id-ID" w:eastAsia="id-ID"/>
              </w:rPr>
              <w:t>3</w:t>
            </w:r>
          </w:p>
        </w:tc>
        <w:tc>
          <w:tcPr>
            <w:tcW w:w="1498" w:type="dxa"/>
            <w:tcBorders>
              <w:top w:val="nil"/>
              <w:bottom w:val="single" w:sz="4" w:space="0" w:color="auto"/>
            </w:tcBorders>
            <w:shd w:val="clear" w:color="auto" w:fill="auto"/>
            <w:noWrap/>
            <w:vAlign w:val="center"/>
            <w:hideMark/>
          </w:tcPr>
          <w:p w14:paraId="6E72CEC3" w14:textId="77777777" w:rsidR="00723DFD" w:rsidRPr="00400769" w:rsidRDefault="00723DFD" w:rsidP="003E69F5">
            <w:pPr>
              <w:jc w:val="center"/>
              <w:rPr>
                <w:rFonts w:asciiTheme="majorHAnsi" w:eastAsia="Times New Roman" w:hAnsiTheme="majorHAnsi"/>
                <w:color w:val="000000"/>
                <w:sz w:val="22"/>
                <w:lang w:eastAsia="id-ID"/>
              </w:rPr>
            </w:pPr>
            <w:r w:rsidRPr="00400769">
              <w:rPr>
                <w:rFonts w:asciiTheme="majorHAnsi" w:eastAsia="Times New Roman" w:hAnsiTheme="majorHAnsi"/>
                <w:color w:val="000000"/>
                <w:sz w:val="22"/>
                <w:lang w:eastAsia="id-ID"/>
              </w:rPr>
              <w:t>Level 2</w:t>
            </w:r>
          </w:p>
        </w:tc>
        <w:tc>
          <w:tcPr>
            <w:tcW w:w="694" w:type="dxa"/>
            <w:tcBorders>
              <w:top w:val="nil"/>
              <w:bottom w:val="single" w:sz="4" w:space="0" w:color="auto"/>
            </w:tcBorders>
            <w:shd w:val="clear" w:color="auto" w:fill="auto"/>
            <w:noWrap/>
            <w:vAlign w:val="center"/>
            <w:hideMark/>
          </w:tcPr>
          <w:p w14:paraId="4572FD0F" w14:textId="770DA89D"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14</w:t>
            </w:r>
          </w:p>
        </w:tc>
        <w:tc>
          <w:tcPr>
            <w:tcW w:w="1403" w:type="dxa"/>
            <w:tcBorders>
              <w:top w:val="nil"/>
              <w:bottom w:val="single" w:sz="4" w:space="0" w:color="auto"/>
            </w:tcBorders>
            <w:vAlign w:val="center"/>
          </w:tcPr>
          <w:p w14:paraId="676309C7" w14:textId="4BA157D6"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35%</w:t>
            </w:r>
          </w:p>
        </w:tc>
      </w:tr>
      <w:tr w:rsidR="00723DFD" w:rsidRPr="00400769" w14:paraId="72E770EA" w14:textId="77777777" w:rsidTr="003E69F5">
        <w:trPr>
          <w:trHeight w:val="315"/>
          <w:jc w:val="center"/>
        </w:trPr>
        <w:tc>
          <w:tcPr>
            <w:tcW w:w="520" w:type="dxa"/>
            <w:tcBorders>
              <w:top w:val="nil"/>
              <w:bottom w:val="single" w:sz="4" w:space="0" w:color="auto"/>
            </w:tcBorders>
            <w:shd w:val="clear" w:color="auto" w:fill="auto"/>
            <w:noWrap/>
            <w:vAlign w:val="center"/>
            <w:hideMark/>
          </w:tcPr>
          <w:p w14:paraId="55F9580A" w14:textId="77777777" w:rsidR="00723DFD" w:rsidRPr="00400769" w:rsidRDefault="00723DFD" w:rsidP="003E69F5">
            <w:pPr>
              <w:jc w:val="center"/>
              <w:rPr>
                <w:rFonts w:asciiTheme="majorHAnsi" w:eastAsia="Times New Roman" w:hAnsiTheme="majorHAnsi"/>
                <w:color w:val="000000"/>
                <w:sz w:val="22"/>
                <w:lang w:val="id-ID" w:eastAsia="id-ID"/>
              </w:rPr>
            </w:pPr>
            <w:r w:rsidRPr="00400769">
              <w:rPr>
                <w:rFonts w:asciiTheme="majorHAnsi" w:eastAsia="Times New Roman" w:hAnsiTheme="majorHAnsi"/>
                <w:color w:val="000000"/>
                <w:sz w:val="22"/>
                <w:lang w:val="id-ID" w:eastAsia="id-ID"/>
              </w:rPr>
              <w:t>4</w:t>
            </w:r>
          </w:p>
        </w:tc>
        <w:tc>
          <w:tcPr>
            <w:tcW w:w="1498" w:type="dxa"/>
            <w:tcBorders>
              <w:top w:val="nil"/>
              <w:bottom w:val="single" w:sz="4" w:space="0" w:color="auto"/>
            </w:tcBorders>
            <w:shd w:val="clear" w:color="auto" w:fill="auto"/>
            <w:noWrap/>
            <w:vAlign w:val="center"/>
            <w:hideMark/>
          </w:tcPr>
          <w:p w14:paraId="59B36B52" w14:textId="77777777" w:rsidR="00723DFD" w:rsidRPr="00400769" w:rsidRDefault="00723DFD" w:rsidP="003E69F5">
            <w:pPr>
              <w:jc w:val="center"/>
              <w:rPr>
                <w:rFonts w:asciiTheme="majorHAnsi" w:eastAsia="Times New Roman" w:hAnsiTheme="majorHAnsi"/>
                <w:color w:val="000000"/>
                <w:sz w:val="22"/>
                <w:lang w:eastAsia="id-ID"/>
              </w:rPr>
            </w:pPr>
            <w:r w:rsidRPr="00400769">
              <w:rPr>
                <w:rFonts w:asciiTheme="majorHAnsi" w:eastAsia="Times New Roman" w:hAnsiTheme="majorHAnsi"/>
                <w:color w:val="000000"/>
                <w:sz w:val="22"/>
                <w:lang w:eastAsia="id-ID"/>
              </w:rPr>
              <w:t>Level 3</w:t>
            </w:r>
          </w:p>
        </w:tc>
        <w:tc>
          <w:tcPr>
            <w:tcW w:w="694" w:type="dxa"/>
            <w:tcBorders>
              <w:top w:val="nil"/>
              <w:bottom w:val="single" w:sz="4" w:space="0" w:color="auto"/>
            </w:tcBorders>
            <w:shd w:val="clear" w:color="auto" w:fill="auto"/>
            <w:noWrap/>
            <w:vAlign w:val="center"/>
            <w:hideMark/>
          </w:tcPr>
          <w:p w14:paraId="53291403" w14:textId="0D307473"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5</w:t>
            </w:r>
          </w:p>
        </w:tc>
        <w:tc>
          <w:tcPr>
            <w:tcW w:w="1403" w:type="dxa"/>
            <w:tcBorders>
              <w:top w:val="nil"/>
              <w:bottom w:val="single" w:sz="4" w:space="0" w:color="auto"/>
            </w:tcBorders>
            <w:vAlign w:val="center"/>
          </w:tcPr>
          <w:p w14:paraId="69F18E27" w14:textId="1624B380"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13%</w:t>
            </w:r>
          </w:p>
        </w:tc>
      </w:tr>
      <w:tr w:rsidR="00723DFD" w:rsidRPr="00400769" w14:paraId="73D1C9C5" w14:textId="77777777" w:rsidTr="003E69F5">
        <w:trPr>
          <w:trHeight w:val="315"/>
          <w:jc w:val="center"/>
        </w:trPr>
        <w:tc>
          <w:tcPr>
            <w:tcW w:w="520" w:type="dxa"/>
            <w:tcBorders>
              <w:top w:val="nil"/>
              <w:bottom w:val="single" w:sz="4" w:space="0" w:color="auto"/>
            </w:tcBorders>
            <w:shd w:val="clear" w:color="auto" w:fill="auto"/>
            <w:noWrap/>
            <w:vAlign w:val="center"/>
            <w:hideMark/>
          </w:tcPr>
          <w:p w14:paraId="33E3BFCA" w14:textId="77777777" w:rsidR="00723DFD" w:rsidRPr="00400769" w:rsidRDefault="00723DFD" w:rsidP="003E69F5">
            <w:pPr>
              <w:jc w:val="center"/>
              <w:rPr>
                <w:rFonts w:asciiTheme="majorHAnsi" w:eastAsia="Times New Roman" w:hAnsiTheme="majorHAnsi"/>
                <w:color w:val="000000"/>
                <w:sz w:val="22"/>
                <w:lang w:val="id-ID" w:eastAsia="id-ID"/>
              </w:rPr>
            </w:pPr>
            <w:r w:rsidRPr="00400769">
              <w:rPr>
                <w:rFonts w:asciiTheme="majorHAnsi" w:eastAsia="Times New Roman" w:hAnsiTheme="majorHAnsi"/>
                <w:color w:val="000000"/>
                <w:sz w:val="22"/>
                <w:lang w:val="id-ID" w:eastAsia="id-ID"/>
              </w:rPr>
              <w:t>5</w:t>
            </w:r>
          </w:p>
        </w:tc>
        <w:tc>
          <w:tcPr>
            <w:tcW w:w="1498" w:type="dxa"/>
            <w:tcBorders>
              <w:top w:val="nil"/>
              <w:bottom w:val="single" w:sz="4" w:space="0" w:color="auto"/>
            </w:tcBorders>
            <w:shd w:val="clear" w:color="auto" w:fill="auto"/>
            <w:noWrap/>
            <w:vAlign w:val="center"/>
            <w:hideMark/>
          </w:tcPr>
          <w:p w14:paraId="434168BF" w14:textId="77777777" w:rsidR="00723DFD" w:rsidRPr="00400769" w:rsidRDefault="00723DFD" w:rsidP="003E69F5">
            <w:pPr>
              <w:jc w:val="center"/>
              <w:rPr>
                <w:rFonts w:asciiTheme="majorHAnsi" w:eastAsia="Times New Roman" w:hAnsiTheme="majorHAnsi"/>
                <w:color w:val="000000"/>
                <w:sz w:val="22"/>
                <w:lang w:eastAsia="id-ID"/>
              </w:rPr>
            </w:pPr>
            <w:r w:rsidRPr="00400769">
              <w:rPr>
                <w:rFonts w:asciiTheme="majorHAnsi" w:eastAsia="Times New Roman" w:hAnsiTheme="majorHAnsi"/>
                <w:color w:val="000000"/>
                <w:sz w:val="22"/>
                <w:lang w:eastAsia="id-ID"/>
              </w:rPr>
              <w:t>Level 4</w:t>
            </w:r>
          </w:p>
        </w:tc>
        <w:tc>
          <w:tcPr>
            <w:tcW w:w="694" w:type="dxa"/>
            <w:tcBorders>
              <w:top w:val="nil"/>
              <w:bottom w:val="single" w:sz="4" w:space="0" w:color="auto"/>
            </w:tcBorders>
            <w:shd w:val="clear" w:color="auto" w:fill="auto"/>
            <w:noWrap/>
            <w:vAlign w:val="center"/>
            <w:hideMark/>
          </w:tcPr>
          <w:p w14:paraId="3F5C425A" w14:textId="39ABAA6A"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2</w:t>
            </w:r>
          </w:p>
        </w:tc>
        <w:tc>
          <w:tcPr>
            <w:tcW w:w="1403" w:type="dxa"/>
            <w:tcBorders>
              <w:top w:val="nil"/>
              <w:bottom w:val="single" w:sz="4" w:space="0" w:color="auto"/>
            </w:tcBorders>
            <w:vAlign w:val="center"/>
          </w:tcPr>
          <w:p w14:paraId="516A3DCD" w14:textId="1263D204" w:rsidR="00723DFD" w:rsidRPr="00400769" w:rsidRDefault="00723DFD" w:rsidP="003E69F5">
            <w:pPr>
              <w:jc w:val="center"/>
              <w:rPr>
                <w:rFonts w:asciiTheme="majorHAnsi" w:hAnsiTheme="majorHAnsi"/>
                <w:color w:val="000000"/>
                <w:sz w:val="22"/>
              </w:rPr>
            </w:pPr>
            <w:r w:rsidRPr="00400769">
              <w:rPr>
                <w:rFonts w:asciiTheme="majorHAnsi" w:hAnsiTheme="majorHAnsi"/>
                <w:color w:val="000000"/>
                <w:sz w:val="22"/>
              </w:rPr>
              <w:t>5%</w:t>
            </w:r>
          </w:p>
        </w:tc>
      </w:tr>
      <w:tr w:rsidR="00723DFD" w:rsidRPr="00400769" w14:paraId="1074331F" w14:textId="77777777" w:rsidTr="003E69F5">
        <w:trPr>
          <w:trHeight w:val="315"/>
          <w:jc w:val="center"/>
        </w:trPr>
        <w:tc>
          <w:tcPr>
            <w:tcW w:w="2018" w:type="dxa"/>
            <w:gridSpan w:val="2"/>
            <w:tcBorders>
              <w:top w:val="single" w:sz="4" w:space="0" w:color="auto"/>
              <w:bottom w:val="single" w:sz="4" w:space="0" w:color="auto"/>
            </w:tcBorders>
            <w:shd w:val="clear" w:color="auto" w:fill="auto"/>
            <w:noWrap/>
            <w:vAlign w:val="center"/>
            <w:hideMark/>
          </w:tcPr>
          <w:p w14:paraId="523684C6" w14:textId="77777777" w:rsidR="00723DFD" w:rsidRPr="00400769" w:rsidRDefault="00723DFD" w:rsidP="003E69F5">
            <w:pPr>
              <w:rPr>
                <w:rFonts w:asciiTheme="majorHAnsi" w:eastAsia="Times New Roman" w:hAnsiTheme="majorHAnsi"/>
                <w:b/>
                <w:bCs/>
                <w:color w:val="000000"/>
                <w:sz w:val="22"/>
                <w:lang w:val="id-ID" w:eastAsia="id-ID"/>
              </w:rPr>
            </w:pPr>
            <w:r w:rsidRPr="00400769">
              <w:rPr>
                <w:rFonts w:asciiTheme="majorHAnsi" w:eastAsia="Times New Roman" w:hAnsiTheme="majorHAnsi"/>
                <w:b/>
                <w:bCs/>
                <w:color w:val="000000"/>
                <w:sz w:val="22"/>
                <w:lang w:val="id-ID" w:eastAsia="id-ID"/>
              </w:rPr>
              <w:t>Total</w:t>
            </w:r>
          </w:p>
        </w:tc>
        <w:tc>
          <w:tcPr>
            <w:tcW w:w="694" w:type="dxa"/>
            <w:tcBorders>
              <w:top w:val="nil"/>
              <w:bottom w:val="single" w:sz="4" w:space="0" w:color="auto"/>
            </w:tcBorders>
            <w:shd w:val="clear" w:color="auto" w:fill="auto"/>
            <w:noWrap/>
            <w:vAlign w:val="center"/>
            <w:hideMark/>
          </w:tcPr>
          <w:p w14:paraId="109083AA" w14:textId="58472F4C" w:rsidR="00723DFD" w:rsidRPr="00400769" w:rsidRDefault="00723DFD" w:rsidP="003E69F5">
            <w:pPr>
              <w:jc w:val="center"/>
              <w:rPr>
                <w:rFonts w:asciiTheme="majorHAnsi" w:eastAsia="Times New Roman" w:hAnsiTheme="majorHAnsi"/>
                <w:b/>
                <w:bCs/>
                <w:color w:val="000000"/>
                <w:sz w:val="22"/>
                <w:lang w:eastAsia="id-ID"/>
              </w:rPr>
            </w:pPr>
            <w:r w:rsidRPr="00400769">
              <w:rPr>
                <w:rFonts w:asciiTheme="majorHAnsi" w:eastAsia="Times New Roman" w:hAnsiTheme="majorHAnsi"/>
                <w:b/>
                <w:bCs/>
                <w:color w:val="000000"/>
                <w:sz w:val="22"/>
                <w:lang w:eastAsia="id-ID"/>
              </w:rPr>
              <w:t>40</w:t>
            </w:r>
          </w:p>
        </w:tc>
        <w:tc>
          <w:tcPr>
            <w:tcW w:w="1403" w:type="dxa"/>
            <w:tcBorders>
              <w:top w:val="nil"/>
              <w:bottom w:val="single" w:sz="4" w:space="0" w:color="auto"/>
            </w:tcBorders>
            <w:vAlign w:val="center"/>
          </w:tcPr>
          <w:p w14:paraId="1317BB2C" w14:textId="77777777" w:rsidR="00723DFD" w:rsidRPr="00400769" w:rsidRDefault="00723DFD" w:rsidP="003E69F5">
            <w:pPr>
              <w:jc w:val="center"/>
              <w:rPr>
                <w:rFonts w:asciiTheme="majorHAnsi" w:eastAsia="Times New Roman" w:hAnsiTheme="majorHAnsi"/>
                <w:b/>
                <w:bCs/>
                <w:color w:val="000000"/>
                <w:sz w:val="22"/>
                <w:lang w:eastAsia="id-ID"/>
              </w:rPr>
            </w:pPr>
          </w:p>
        </w:tc>
      </w:tr>
    </w:tbl>
    <w:p w14:paraId="2D9B79F0" w14:textId="1AC60D8E" w:rsidR="00723DFD" w:rsidRDefault="00026B88" w:rsidP="00730372">
      <w:pPr>
        <w:pStyle w:val="IEEEParagraph"/>
        <w:spacing w:line="23" w:lineRule="atLeast"/>
        <w:ind w:firstLine="360"/>
        <w:rPr>
          <w:rStyle w:val="longtext"/>
          <w:rFonts w:asciiTheme="majorHAnsi" w:hAnsiTheme="majorHAnsi"/>
          <w:shd w:val="clear" w:color="auto" w:fill="FFFFFF"/>
          <w:lang w:val="sv-SE"/>
        </w:rPr>
      </w:pPr>
      <w:r>
        <w:rPr>
          <w:rStyle w:val="longtext"/>
          <w:rFonts w:asciiTheme="majorHAnsi" w:hAnsiTheme="majorHAnsi"/>
          <w:shd w:val="clear" w:color="auto" w:fill="FFFFFF"/>
          <w:lang w:val="sv-SE"/>
        </w:rPr>
        <w:t>Based on T</w:t>
      </w:r>
      <w:r w:rsidR="00723DFD" w:rsidRPr="00723DFD">
        <w:rPr>
          <w:rStyle w:val="longtext"/>
          <w:rFonts w:asciiTheme="majorHAnsi" w:hAnsiTheme="majorHAnsi"/>
          <w:shd w:val="clear" w:color="auto" w:fill="FFFFFF"/>
          <w:lang w:val="sv-SE"/>
        </w:rPr>
        <w:t>able 2, it is known that each level meets a minimum of 2 students and most students are at level 2. Of the 40 students who were used as research subjects, 2 people from each level or as many as 10 students were analyzed further. The responses for each level of mathematical translational thinking are described in Table 3.</w:t>
      </w:r>
    </w:p>
    <w:p w14:paraId="27AC8027" w14:textId="030B39D4" w:rsidR="00E07607" w:rsidRDefault="00E07607" w:rsidP="00B67D37">
      <w:pPr>
        <w:pStyle w:val="IEEEParagraph"/>
        <w:spacing w:line="23" w:lineRule="atLeast"/>
        <w:ind w:firstLine="0"/>
        <w:rPr>
          <w:rStyle w:val="longtext"/>
          <w:rFonts w:asciiTheme="majorHAnsi" w:hAnsiTheme="majorHAnsi"/>
          <w:shd w:val="clear" w:color="auto" w:fill="FFFFFF"/>
          <w:lang w:val="sv-SE"/>
        </w:rPr>
      </w:pPr>
    </w:p>
    <w:p w14:paraId="156E30C7" w14:textId="2FC31D17" w:rsidR="00723DFD" w:rsidRPr="00AE6A97" w:rsidRDefault="00026B88" w:rsidP="00730372">
      <w:pPr>
        <w:jc w:val="center"/>
        <w:rPr>
          <w:rFonts w:asciiTheme="majorHAnsi" w:hAnsiTheme="majorHAnsi"/>
          <w:b/>
          <w:sz w:val="22"/>
        </w:rPr>
      </w:pPr>
      <w:r>
        <w:rPr>
          <w:rFonts w:asciiTheme="majorHAnsi" w:hAnsiTheme="majorHAnsi"/>
          <w:b/>
          <w:sz w:val="22"/>
        </w:rPr>
        <w:t>Tab</w:t>
      </w:r>
      <w:r w:rsidR="00723DFD" w:rsidRPr="00AE6A97">
        <w:rPr>
          <w:rFonts w:asciiTheme="majorHAnsi" w:hAnsiTheme="majorHAnsi"/>
          <w:b/>
          <w:sz w:val="22"/>
        </w:rPr>
        <w:t>l</w:t>
      </w:r>
      <w:r>
        <w:rPr>
          <w:rFonts w:asciiTheme="majorHAnsi" w:hAnsiTheme="majorHAnsi"/>
          <w:b/>
          <w:sz w:val="22"/>
        </w:rPr>
        <w:t>e</w:t>
      </w:r>
      <w:r w:rsidR="00723DFD" w:rsidRPr="00AE6A97">
        <w:rPr>
          <w:rFonts w:asciiTheme="majorHAnsi" w:hAnsiTheme="majorHAnsi"/>
          <w:b/>
          <w:sz w:val="22"/>
        </w:rPr>
        <w:t xml:space="preserve"> 3. </w:t>
      </w:r>
      <w:r w:rsidR="0006726C" w:rsidRPr="00D014BA">
        <w:rPr>
          <w:rFonts w:asciiTheme="majorHAnsi" w:hAnsiTheme="majorHAnsi"/>
          <w:sz w:val="22"/>
        </w:rPr>
        <w:t>Subject responses for each level of mathematical translational thinking skills</w:t>
      </w:r>
    </w:p>
    <w:tbl>
      <w:tblPr>
        <w:tblStyle w:val="TableGrid"/>
        <w:tblW w:w="978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51"/>
        <w:gridCol w:w="7830"/>
      </w:tblGrid>
      <w:tr w:rsidR="00723DFD" w:rsidRPr="00AE6A97" w14:paraId="52438825" w14:textId="77777777" w:rsidTr="00730372">
        <w:trPr>
          <w:tblHeader/>
        </w:trPr>
        <w:tc>
          <w:tcPr>
            <w:tcW w:w="1951" w:type="dxa"/>
            <w:vAlign w:val="center"/>
          </w:tcPr>
          <w:p w14:paraId="3F51FC37" w14:textId="77AC7FBD" w:rsidR="00723DFD" w:rsidRPr="00AE6A97" w:rsidRDefault="00723DFD" w:rsidP="00E815AB">
            <w:pPr>
              <w:ind w:right="34"/>
              <w:jc w:val="center"/>
              <w:rPr>
                <w:rFonts w:asciiTheme="majorHAnsi" w:hAnsiTheme="majorHAnsi"/>
                <w:b/>
                <w:sz w:val="22"/>
              </w:rPr>
            </w:pPr>
            <w:r w:rsidRPr="00AE6A97">
              <w:rPr>
                <w:rFonts w:asciiTheme="majorHAnsi" w:hAnsiTheme="majorHAnsi"/>
                <w:b/>
                <w:sz w:val="22"/>
              </w:rPr>
              <w:t xml:space="preserve">Level </w:t>
            </w:r>
          </w:p>
        </w:tc>
        <w:tc>
          <w:tcPr>
            <w:tcW w:w="7830" w:type="dxa"/>
          </w:tcPr>
          <w:p w14:paraId="47458D1E" w14:textId="635D26C4" w:rsidR="00723DFD" w:rsidRPr="00AE6A97" w:rsidRDefault="00723DFD" w:rsidP="00E815AB">
            <w:pPr>
              <w:jc w:val="center"/>
              <w:rPr>
                <w:rFonts w:asciiTheme="majorHAnsi" w:hAnsiTheme="majorHAnsi"/>
                <w:b/>
                <w:sz w:val="22"/>
                <w:lang w:val="en-US"/>
              </w:rPr>
            </w:pPr>
            <w:r w:rsidRPr="00AE6A97">
              <w:rPr>
                <w:rFonts w:asciiTheme="majorHAnsi" w:hAnsiTheme="majorHAnsi"/>
                <w:b/>
                <w:sz w:val="22"/>
                <w:lang w:val="en-US"/>
              </w:rPr>
              <w:t>Response of each subject</w:t>
            </w:r>
          </w:p>
        </w:tc>
      </w:tr>
      <w:tr w:rsidR="00723DFD" w:rsidRPr="00AE6A97" w14:paraId="0F23BE92" w14:textId="77777777" w:rsidTr="00730372">
        <w:tc>
          <w:tcPr>
            <w:tcW w:w="1951" w:type="dxa"/>
          </w:tcPr>
          <w:p w14:paraId="03CAE1E4" w14:textId="77777777" w:rsidR="00723DFD" w:rsidRPr="00AE6A97" w:rsidRDefault="00723DFD" w:rsidP="00E815AB">
            <w:pPr>
              <w:jc w:val="center"/>
              <w:rPr>
                <w:rFonts w:asciiTheme="majorHAnsi" w:hAnsiTheme="majorHAnsi"/>
                <w:sz w:val="22"/>
              </w:rPr>
            </w:pPr>
            <w:r w:rsidRPr="00AE6A97">
              <w:rPr>
                <w:rFonts w:asciiTheme="majorHAnsi" w:hAnsiTheme="majorHAnsi"/>
                <w:sz w:val="22"/>
              </w:rPr>
              <w:t>Level 0</w:t>
            </w:r>
          </w:p>
        </w:tc>
        <w:tc>
          <w:tcPr>
            <w:tcW w:w="7830" w:type="dxa"/>
          </w:tcPr>
          <w:p w14:paraId="47A29EEB" w14:textId="77777777" w:rsidR="0006726C" w:rsidRPr="00AE6A97" w:rsidRDefault="0006726C" w:rsidP="0006726C">
            <w:pPr>
              <w:jc w:val="both"/>
              <w:rPr>
                <w:rFonts w:asciiTheme="majorHAnsi" w:hAnsiTheme="majorHAnsi"/>
                <w:sz w:val="22"/>
                <w:u w:val="single"/>
                <w:lang w:val="en-US"/>
              </w:rPr>
            </w:pPr>
            <w:r w:rsidRPr="00AE6A97">
              <w:rPr>
                <w:rFonts w:asciiTheme="majorHAnsi" w:hAnsiTheme="majorHAnsi"/>
                <w:sz w:val="22"/>
                <w:u w:val="single"/>
                <w:lang w:val="en-US"/>
              </w:rPr>
              <w:t>S1 response:</w:t>
            </w:r>
          </w:p>
          <w:p w14:paraId="44B778B5" w14:textId="77777777" w:rsidR="0006726C" w:rsidRPr="00AE6A97" w:rsidRDefault="0006726C" w:rsidP="0006726C">
            <w:pPr>
              <w:jc w:val="both"/>
              <w:rPr>
                <w:rFonts w:asciiTheme="majorHAnsi" w:hAnsiTheme="majorHAnsi"/>
                <w:sz w:val="22"/>
                <w:lang w:val="en-US"/>
              </w:rPr>
            </w:pPr>
            <w:r w:rsidRPr="00AE6A97">
              <w:rPr>
                <w:rFonts w:asciiTheme="majorHAnsi" w:hAnsiTheme="majorHAnsi"/>
                <w:sz w:val="22"/>
                <w:lang w:val="en-US"/>
              </w:rPr>
              <w:t>S1 only quotes and processes the information contained in the questions using irrelevant strategies. S1 does not seem to understand the concept of quadratic equations correctly.</w:t>
            </w:r>
          </w:p>
          <w:p w14:paraId="4D9EA1B4" w14:textId="77777777" w:rsidR="0006726C" w:rsidRPr="00AE6A97" w:rsidRDefault="0006726C" w:rsidP="0006726C">
            <w:pPr>
              <w:jc w:val="both"/>
              <w:rPr>
                <w:rFonts w:asciiTheme="majorHAnsi" w:hAnsiTheme="majorHAnsi"/>
                <w:sz w:val="22"/>
                <w:u w:val="single"/>
                <w:lang w:val="en-US"/>
              </w:rPr>
            </w:pPr>
          </w:p>
          <w:p w14:paraId="59AE4A16" w14:textId="77777777" w:rsidR="0006726C" w:rsidRPr="00AE6A97" w:rsidRDefault="0006726C" w:rsidP="0006726C">
            <w:pPr>
              <w:jc w:val="both"/>
              <w:rPr>
                <w:rFonts w:asciiTheme="majorHAnsi" w:hAnsiTheme="majorHAnsi"/>
                <w:sz w:val="22"/>
                <w:u w:val="single"/>
                <w:lang w:val="en-US"/>
              </w:rPr>
            </w:pPr>
            <w:r w:rsidRPr="00AE6A97">
              <w:rPr>
                <w:rFonts w:asciiTheme="majorHAnsi" w:hAnsiTheme="majorHAnsi"/>
                <w:sz w:val="22"/>
                <w:u w:val="single"/>
                <w:lang w:val="en-US"/>
              </w:rPr>
              <w:t>Response S2</w:t>
            </w:r>
          </w:p>
          <w:p w14:paraId="47F30D0F" w14:textId="77777777" w:rsidR="00723DFD" w:rsidRDefault="0006726C" w:rsidP="0006726C">
            <w:pPr>
              <w:jc w:val="both"/>
              <w:rPr>
                <w:rFonts w:asciiTheme="majorHAnsi" w:hAnsiTheme="majorHAnsi"/>
                <w:sz w:val="22"/>
                <w:lang w:val="en-US"/>
              </w:rPr>
            </w:pPr>
            <w:r w:rsidRPr="00AE6A97">
              <w:rPr>
                <w:rFonts w:asciiTheme="majorHAnsi" w:hAnsiTheme="majorHAnsi"/>
                <w:sz w:val="22"/>
                <w:lang w:val="en-US"/>
              </w:rPr>
              <w:t>The argument given by S2 is still very simple. In answering the problem of symbolic to graphic translation, S2 was not able to correctly identify the micro concept of the source. Whereas in the graphic to symbolic translation, S2 was able to identify one micro concept of the source but could not proceed to the initial coordination process.</w:t>
            </w:r>
          </w:p>
          <w:p w14:paraId="63A6C015" w14:textId="566DA8D6" w:rsidR="00B71776" w:rsidRPr="00AE6A97" w:rsidRDefault="00B71776" w:rsidP="0006726C">
            <w:pPr>
              <w:jc w:val="both"/>
              <w:rPr>
                <w:rFonts w:asciiTheme="majorHAnsi" w:hAnsiTheme="majorHAnsi"/>
                <w:sz w:val="22"/>
                <w:lang w:val="en-US"/>
              </w:rPr>
            </w:pPr>
          </w:p>
        </w:tc>
      </w:tr>
      <w:tr w:rsidR="00723DFD" w:rsidRPr="00AE6A97" w14:paraId="0F3E8EEB" w14:textId="77777777" w:rsidTr="00730372">
        <w:tc>
          <w:tcPr>
            <w:tcW w:w="1951" w:type="dxa"/>
          </w:tcPr>
          <w:p w14:paraId="6952B1D1" w14:textId="77777777" w:rsidR="00723DFD" w:rsidRPr="00AE6A97" w:rsidRDefault="00723DFD" w:rsidP="00E815AB">
            <w:pPr>
              <w:jc w:val="center"/>
              <w:rPr>
                <w:rFonts w:asciiTheme="majorHAnsi" w:hAnsiTheme="majorHAnsi"/>
                <w:sz w:val="22"/>
                <w:lang w:val="en-US"/>
              </w:rPr>
            </w:pPr>
            <w:r w:rsidRPr="00AE6A97">
              <w:rPr>
                <w:rFonts w:asciiTheme="majorHAnsi" w:hAnsiTheme="majorHAnsi"/>
                <w:sz w:val="22"/>
                <w:lang w:val="en-US"/>
              </w:rPr>
              <w:lastRenderedPageBreak/>
              <w:t>Level 1</w:t>
            </w:r>
          </w:p>
        </w:tc>
        <w:tc>
          <w:tcPr>
            <w:tcW w:w="7830" w:type="dxa"/>
          </w:tcPr>
          <w:p w14:paraId="30309DC0" w14:textId="77777777" w:rsidR="0006726C" w:rsidRPr="00AE6A97" w:rsidRDefault="0006726C" w:rsidP="0006726C">
            <w:pPr>
              <w:jc w:val="both"/>
              <w:rPr>
                <w:rFonts w:asciiTheme="majorHAnsi" w:hAnsiTheme="majorHAnsi"/>
                <w:sz w:val="22"/>
                <w:u w:val="single"/>
                <w:lang w:val="en-US"/>
              </w:rPr>
            </w:pPr>
            <w:r w:rsidRPr="00AE6A97">
              <w:rPr>
                <w:rFonts w:asciiTheme="majorHAnsi" w:hAnsiTheme="majorHAnsi"/>
                <w:sz w:val="22"/>
                <w:u w:val="single"/>
                <w:lang w:val="en-US"/>
              </w:rPr>
              <w:t>S3 Response</w:t>
            </w:r>
          </w:p>
          <w:p w14:paraId="54209AF3" w14:textId="77777777" w:rsidR="0006726C" w:rsidRPr="00AE6A97" w:rsidRDefault="0006726C" w:rsidP="0006726C">
            <w:pPr>
              <w:jc w:val="both"/>
              <w:rPr>
                <w:rFonts w:asciiTheme="majorHAnsi" w:hAnsiTheme="majorHAnsi"/>
                <w:sz w:val="22"/>
                <w:lang w:val="en-US"/>
              </w:rPr>
            </w:pPr>
            <w:r w:rsidRPr="00AE6A97">
              <w:rPr>
                <w:rFonts w:asciiTheme="majorHAnsi" w:hAnsiTheme="majorHAnsi"/>
                <w:sz w:val="22"/>
                <w:lang w:val="en-US"/>
              </w:rPr>
              <w:t>S2 is only able to identify one micro concept of source representation, namely determining the factoring form of the quadratic equation. S2 tries to create a target representation, but it still goes wrong.</w:t>
            </w:r>
          </w:p>
          <w:p w14:paraId="01E55212" w14:textId="77777777" w:rsidR="0006726C" w:rsidRPr="00AE6A97" w:rsidRDefault="0006726C" w:rsidP="0006726C">
            <w:pPr>
              <w:jc w:val="both"/>
              <w:rPr>
                <w:rFonts w:asciiTheme="majorHAnsi" w:hAnsiTheme="majorHAnsi"/>
                <w:sz w:val="22"/>
                <w:u w:val="single"/>
                <w:lang w:val="en-US"/>
              </w:rPr>
            </w:pPr>
          </w:p>
          <w:p w14:paraId="558A1E55" w14:textId="77777777" w:rsidR="0006726C" w:rsidRPr="00AE6A97" w:rsidRDefault="0006726C" w:rsidP="0006726C">
            <w:pPr>
              <w:jc w:val="both"/>
              <w:rPr>
                <w:rFonts w:asciiTheme="majorHAnsi" w:hAnsiTheme="majorHAnsi"/>
                <w:sz w:val="22"/>
                <w:u w:val="single"/>
                <w:lang w:val="en-US"/>
              </w:rPr>
            </w:pPr>
            <w:r w:rsidRPr="00AE6A97">
              <w:rPr>
                <w:rFonts w:asciiTheme="majorHAnsi" w:hAnsiTheme="majorHAnsi"/>
                <w:sz w:val="22"/>
                <w:u w:val="single"/>
                <w:lang w:val="en-US"/>
              </w:rPr>
              <w:t>S4 Response</w:t>
            </w:r>
          </w:p>
          <w:p w14:paraId="06413944" w14:textId="2EBA79A6" w:rsidR="00723DFD" w:rsidRPr="00AE6A97" w:rsidRDefault="0006726C" w:rsidP="0006726C">
            <w:pPr>
              <w:jc w:val="both"/>
              <w:rPr>
                <w:rFonts w:asciiTheme="majorHAnsi" w:hAnsiTheme="majorHAnsi"/>
                <w:sz w:val="22"/>
                <w:lang w:val="en-US"/>
              </w:rPr>
            </w:pPr>
            <w:r w:rsidRPr="00AE6A97">
              <w:rPr>
                <w:rFonts w:asciiTheme="majorHAnsi" w:hAnsiTheme="majorHAnsi"/>
                <w:sz w:val="22"/>
                <w:lang w:val="en-US"/>
              </w:rPr>
              <w:t>S4 is able to identify one micro concept correctly, namely the roots of a quadratic equation, but it cannot be used to construct a graph (target representation) correctly.</w:t>
            </w:r>
          </w:p>
        </w:tc>
      </w:tr>
      <w:tr w:rsidR="00723DFD" w:rsidRPr="00AE6A97" w14:paraId="34F465B7" w14:textId="77777777" w:rsidTr="00730372">
        <w:tc>
          <w:tcPr>
            <w:tcW w:w="1951" w:type="dxa"/>
          </w:tcPr>
          <w:p w14:paraId="6DFD7D19" w14:textId="77777777" w:rsidR="00723DFD" w:rsidRPr="00AE6A97" w:rsidRDefault="00723DFD" w:rsidP="00E815AB">
            <w:pPr>
              <w:jc w:val="center"/>
              <w:rPr>
                <w:rFonts w:asciiTheme="majorHAnsi" w:hAnsiTheme="majorHAnsi"/>
                <w:sz w:val="22"/>
                <w:lang w:val="en-US"/>
              </w:rPr>
            </w:pPr>
            <w:r w:rsidRPr="00AE6A97">
              <w:rPr>
                <w:rFonts w:asciiTheme="majorHAnsi" w:hAnsiTheme="majorHAnsi"/>
                <w:sz w:val="22"/>
                <w:lang w:val="en-US"/>
              </w:rPr>
              <w:t>Level 2</w:t>
            </w:r>
          </w:p>
        </w:tc>
        <w:tc>
          <w:tcPr>
            <w:tcW w:w="7830" w:type="dxa"/>
          </w:tcPr>
          <w:p w14:paraId="30B51CF9" w14:textId="0D8135AB"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S5</w:t>
            </w:r>
            <w:r w:rsidR="0006726C" w:rsidRPr="00AE6A97">
              <w:rPr>
                <w:rFonts w:asciiTheme="majorHAnsi" w:hAnsiTheme="majorHAnsi"/>
                <w:sz w:val="22"/>
                <w:u w:val="single"/>
                <w:lang w:val="en-US"/>
              </w:rPr>
              <w:t xml:space="preserve"> Response</w:t>
            </w:r>
          </w:p>
          <w:p w14:paraId="42BD9DB3" w14:textId="30F499FE" w:rsidR="00723DFD" w:rsidRPr="00AE6A97" w:rsidRDefault="0006726C" w:rsidP="00E815AB">
            <w:pPr>
              <w:jc w:val="both"/>
              <w:rPr>
                <w:rFonts w:asciiTheme="majorHAnsi" w:hAnsiTheme="majorHAnsi"/>
                <w:sz w:val="22"/>
              </w:rPr>
            </w:pPr>
            <w:r w:rsidRPr="00AE6A97">
              <w:rPr>
                <w:rFonts w:asciiTheme="majorHAnsi" w:hAnsiTheme="majorHAnsi"/>
                <w:sz w:val="22"/>
              </w:rPr>
              <w:t>S5 unpacks the symbolic source representation by identifying the form of a quadratic equation. Furthermore, S5 determines the form of factors and solutions to the roots of the quadratic equation correctly. Then, S5 relates the root solution to the point where the curve intersects the x-axis. The strategy design to build the target (symbolic representation) is done by identifying the x- and y-intercept points and determining the peak point. It's just that S5 is wrong in calculating the y-intercept and the y-value for the vertex of the curve. S5 also fails to render correct target representation</w:t>
            </w:r>
          </w:p>
          <w:p w14:paraId="32C479F2" w14:textId="77777777" w:rsidR="0006726C" w:rsidRPr="00AE6A97" w:rsidRDefault="0006726C" w:rsidP="00E815AB">
            <w:pPr>
              <w:jc w:val="both"/>
              <w:rPr>
                <w:rFonts w:asciiTheme="majorHAnsi" w:hAnsiTheme="majorHAnsi"/>
                <w:sz w:val="22"/>
                <w:lang w:val="en-US"/>
              </w:rPr>
            </w:pPr>
          </w:p>
          <w:p w14:paraId="7F57BE68" w14:textId="73BAFAD1"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S6</w:t>
            </w:r>
            <w:r w:rsidR="0006726C" w:rsidRPr="00AE6A97">
              <w:rPr>
                <w:rFonts w:asciiTheme="majorHAnsi" w:hAnsiTheme="majorHAnsi"/>
                <w:sz w:val="22"/>
                <w:u w:val="single"/>
                <w:lang w:val="en-US"/>
              </w:rPr>
              <w:t xml:space="preserve"> Response</w:t>
            </w:r>
          </w:p>
          <w:p w14:paraId="64308893" w14:textId="6A0E1DB5" w:rsidR="00723DFD" w:rsidRPr="00AE6A97" w:rsidRDefault="0006726C" w:rsidP="00E815AB">
            <w:pPr>
              <w:jc w:val="both"/>
              <w:rPr>
                <w:rFonts w:asciiTheme="majorHAnsi" w:hAnsiTheme="majorHAnsi"/>
                <w:sz w:val="22"/>
                <w:lang w:val="en-US"/>
              </w:rPr>
            </w:pPr>
            <w:r w:rsidRPr="00AE6A97">
              <w:rPr>
                <w:rFonts w:asciiTheme="majorHAnsi" w:hAnsiTheme="majorHAnsi"/>
                <w:sz w:val="22"/>
                <w:lang w:val="en-US"/>
              </w:rPr>
              <w:t>S6 is able to correctly identify the micro concept of source representation. It's just that the S6 looks still confused in linking the source and target representation ideas. S6 knows about the concept of determinant D and coefficient a in quadratic equations, it's just that they have not been understood correctly in terms of constructing the graph correctly</w:t>
            </w:r>
          </w:p>
        </w:tc>
      </w:tr>
      <w:tr w:rsidR="00723DFD" w:rsidRPr="00AE6A97" w14:paraId="0CD90046" w14:textId="77777777" w:rsidTr="00730372">
        <w:tc>
          <w:tcPr>
            <w:tcW w:w="1951" w:type="dxa"/>
          </w:tcPr>
          <w:p w14:paraId="1EEEF00E" w14:textId="77777777" w:rsidR="00723DFD" w:rsidRPr="00AE6A97" w:rsidRDefault="00723DFD" w:rsidP="00E815AB">
            <w:pPr>
              <w:jc w:val="center"/>
              <w:rPr>
                <w:rFonts w:asciiTheme="majorHAnsi" w:hAnsiTheme="majorHAnsi"/>
                <w:sz w:val="22"/>
                <w:lang w:val="en-US"/>
              </w:rPr>
            </w:pPr>
            <w:r w:rsidRPr="00AE6A97">
              <w:rPr>
                <w:rFonts w:asciiTheme="majorHAnsi" w:hAnsiTheme="majorHAnsi"/>
                <w:sz w:val="22"/>
                <w:lang w:val="en-US"/>
              </w:rPr>
              <w:t>Level 3</w:t>
            </w:r>
          </w:p>
        </w:tc>
        <w:tc>
          <w:tcPr>
            <w:tcW w:w="7830" w:type="dxa"/>
          </w:tcPr>
          <w:p w14:paraId="4F7C0301" w14:textId="5DC35FC7"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S7</w:t>
            </w:r>
            <w:r w:rsidR="0006726C" w:rsidRPr="00AE6A97">
              <w:rPr>
                <w:rFonts w:asciiTheme="majorHAnsi" w:hAnsiTheme="majorHAnsi"/>
                <w:sz w:val="22"/>
                <w:u w:val="single"/>
                <w:lang w:val="en-US"/>
              </w:rPr>
              <w:t xml:space="preserve"> Response</w:t>
            </w:r>
          </w:p>
          <w:p w14:paraId="638C26DC" w14:textId="1EDFF9DD" w:rsidR="00723DFD" w:rsidRPr="00AE6A97" w:rsidRDefault="0006726C" w:rsidP="00E815AB">
            <w:pPr>
              <w:jc w:val="both"/>
              <w:rPr>
                <w:rFonts w:asciiTheme="majorHAnsi" w:hAnsiTheme="majorHAnsi"/>
                <w:sz w:val="22"/>
                <w:lang w:val="en-US"/>
              </w:rPr>
            </w:pPr>
            <w:r w:rsidRPr="00AE6A97">
              <w:rPr>
                <w:rFonts w:asciiTheme="majorHAnsi" w:hAnsiTheme="majorHAnsi"/>
                <w:sz w:val="22"/>
                <w:lang w:val="en-US"/>
              </w:rPr>
              <w:t>S7 is able to correctly identify the micro concept of source representation. S7 can determine the roots of the quadratic equation and perform initial coordination by looking at the value of the coefficient a in the quadratic equation. This is done to find out whether the curve will open up or down. In designing the target representation, S7 calculates the intersection point with respect to the x and y axes as well as the vertex of the curve. S7 then graphs the quadratic function based on this information.</w:t>
            </w:r>
          </w:p>
          <w:p w14:paraId="12BBBC89" w14:textId="77777777" w:rsidR="00723DFD" w:rsidRPr="00AE6A97" w:rsidRDefault="00723DFD" w:rsidP="00E815AB">
            <w:pPr>
              <w:jc w:val="both"/>
              <w:rPr>
                <w:rFonts w:asciiTheme="majorHAnsi" w:hAnsiTheme="majorHAnsi"/>
                <w:sz w:val="22"/>
                <w:lang w:val="en-US"/>
              </w:rPr>
            </w:pPr>
          </w:p>
          <w:p w14:paraId="473C9BDA" w14:textId="3C4A4F02"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S8</w:t>
            </w:r>
            <w:r w:rsidR="0006726C" w:rsidRPr="00AE6A97">
              <w:rPr>
                <w:rFonts w:asciiTheme="majorHAnsi" w:hAnsiTheme="majorHAnsi"/>
                <w:sz w:val="22"/>
                <w:u w:val="single"/>
                <w:lang w:val="en-US"/>
              </w:rPr>
              <w:t xml:space="preserve"> Response</w:t>
            </w:r>
          </w:p>
          <w:p w14:paraId="047CA742" w14:textId="77777777" w:rsidR="00723DFD" w:rsidRDefault="0006726C" w:rsidP="00E815AB">
            <w:pPr>
              <w:jc w:val="both"/>
              <w:rPr>
                <w:rFonts w:asciiTheme="majorHAnsi" w:hAnsiTheme="majorHAnsi"/>
                <w:sz w:val="22"/>
                <w:lang w:val="en-US"/>
              </w:rPr>
            </w:pPr>
            <w:r w:rsidRPr="00AE6A97">
              <w:rPr>
                <w:rFonts w:asciiTheme="majorHAnsi" w:hAnsiTheme="majorHAnsi"/>
                <w:sz w:val="22"/>
                <w:lang w:val="en-US"/>
              </w:rPr>
              <w:t>When identifying the micro concept of source representation, S8 makes a factoring form of the quadratic equation so that the roots of the solution are obtained. Based on this information, S8 designs the target representation by determining the position of the roots on the graph and calculating the vertex of the graph. The S8 can create a properly scaled target representation.</w:t>
            </w:r>
          </w:p>
          <w:p w14:paraId="7B33C9FE" w14:textId="7790AE53" w:rsidR="00E07607" w:rsidRPr="00AE6A97" w:rsidRDefault="00E07607" w:rsidP="00E815AB">
            <w:pPr>
              <w:jc w:val="both"/>
              <w:rPr>
                <w:rFonts w:asciiTheme="majorHAnsi" w:hAnsiTheme="majorHAnsi"/>
                <w:sz w:val="22"/>
                <w:lang w:val="en-US"/>
              </w:rPr>
            </w:pPr>
          </w:p>
        </w:tc>
      </w:tr>
      <w:tr w:rsidR="00723DFD" w:rsidRPr="00AE6A97" w14:paraId="1BDCCF91" w14:textId="77777777" w:rsidTr="00730372">
        <w:tc>
          <w:tcPr>
            <w:tcW w:w="1951" w:type="dxa"/>
          </w:tcPr>
          <w:p w14:paraId="7BEC3F97" w14:textId="77777777" w:rsidR="00723DFD" w:rsidRPr="00AE6A97" w:rsidRDefault="00723DFD" w:rsidP="00E815AB">
            <w:pPr>
              <w:jc w:val="center"/>
              <w:rPr>
                <w:rFonts w:asciiTheme="majorHAnsi" w:hAnsiTheme="majorHAnsi"/>
                <w:sz w:val="22"/>
                <w:lang w:val="en-US"/>
              </w:rPr>
            </w:pPr>
            <w:r w:rsidRPr="00AE6A97">
              <w:rPr>
                <w:rFonts w:asciiTheme="majorHAnsi" w:hAnsiTheme="majorHAnsi"/>
                <w:sz w:val="22"/>
                <w:lang w:val="en-US"/>
              </w:rPr>
              <w:t>Level 4</w:t>
            </w:r>
          </w:p>
        </w:tc>
        <w:tc>
          <w:tcPr>
            <w:tcW w:w="7830" w:type="dxa"/>
          </w:tcPr>
          <w:p w14:paraId="31506C9B" w14:textId="5B9C0F06"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S9</w:t>
            </w:r>
            <w:r w:rsidR="0006726C" w:rsidRPr="00AE6A97">
              <w:rPr>
                <w:rFonts w:asciiTheme="majorHAnsi" w:hAnsiTheme="majorHAnsi"/>
                <w:sz w:val="22"/>
                <w:u w:val="single"/>
                <w:lang w:val="en-US"/>
              </w:rPr>
              <w:t xml:space="preserve"> Response</w:t>
            </w:r>
          </w:p>
          <w:p w14:paraId="7DAA979D" w14:textId="2BDC898B" w:rsidR="00723DFD" w:rsidRPr="00AE6A97" w:rsidRDefault="0006726C" w:rsidP="00E815AB">
            <w:pPr>
              <w:jc w:val="both"/>
              <w:rPr>
                <w:rFonts w:asciiTheme="majorHAnsi" w:hAnsiTheme="majorHAnsi"/>
                <w:sz w:val="22"/>
                <w:lang w:val="en-US"/>
              </w:rPr>
            </w:pPr>
            <w:r w:rsidRPr="00AE6A97">
              <w:rPr>
                <w:rFonts w:asciiTheme="majorHAnsi" w:hAnsiTheme="majorHAnsi"/>
                <w:sz w:val="22"/>
                <w:lang w:val="en-US"/>
              </w:rPr>
              <w:t>S9 can immediately identify the source representation by looking for the roots of the given quadratic equation. Next, S9 designs the target representation by calculating the vertex of the function. The S9 then creates an exact representation of the target. S9 can relate the idea of the coefficient a in the quadratic equation and the value of the determinant of D with possible graphic forms. This is used as the basis for looking at the equivalence between the source and target representations. The S9 can develop ideas about how to quickly translate from symbolic to graphic and vice versa.</w:t>
            </w:r>
          </w:p>
          <w:p w14:paraId="469552E4" w14:textId="77777777" w:rsidR="0006726C" w:rsidRPr="00AE6A97" w:rsidRDefault="0006726C" w:rsidP="00E815AB">
            <w:pPr>
              <w:jc w:val="both"/>
              <w:rPr>
                <w:rFonts w:asciiTheme="majorHAnsi" w:hAnsiTheme="majorHAnsi"/>
                <w:sz w:val="22"/>
                <w:lang w:val="en-US"/>
              </w:rPr>
            </w:pPr>
          </w:p>
          <w:p w14:paraId="14874C5D" w14:textId="646D3543" w:rsidR="00723DFD" w:rsidRPr="00AE6A97" w:rsidRDefault="00723DFD" w:rsidP="00E815AB">
            <w:pPr>
              <w:jc w:val="both"/>
              <w:rPr>
                <w:rFonts w:asciiTheme="majorHAnsi" w:hAnsiTheme="majorHAnsi"/>
                <w:sz w:val="22"/>
                <w:u w:val="single"/>
                <w:lang w:val="en-US"/>
              </w:rPr>
            </w:pPr>
            <w:r w:rsidRPr="00AE6A97">
              <w:rPr>
                <w:rFonts w:asciiTheme="majorHAnsi" w:hAnsiTheme="majorHAnsi"/>
                <w:sz w:val="22"/>
                <w:u w:val="single"/>
                <w:lang w:val="en-US"/>
              </w:rPr>
              <w:t>S10</w:t>
            </w:r>
            <w:r w:rsidR="0006726C" w:rsidRPr="00AE6A97">
              <w:rPr>
                <w:rFonts w:asciiTheme="majorHAnsi" w:hAnsiTheme="majorHAnsi"/>
                <w:sz w:val="22"/>
                <w:u w:val="single"/>
                <w:lang w:val="en-US"/>
              </w:rPr>
              <w:t xml:space="preserve"> Response</w:t>
            </w:r>
          </w:p>
          <w:p w14:paraId="258935AC" w14:textId="0B487004" w:rsidR="00723DFD" w:rsidRPr="00AE6A97" w:rsidRDefault="0006726C" w:rsidP="00E815AB">
            <w:pPr>
              <w:jc w:val="both"/>
              <w:rPr>
                <w:rFonts w:asciiTheme="majorHAnsi" w:hAnsiTheme="majorHAnsi"/>
                <w:sz w:val="22"/>
                <w:lang w:val="en-US"/>
              </w:rPr>
            </w:pPr>
            <w:r w:rsidRPr="00AE6A97">
              <w:rPr>
                <w:rFonts w:asciiTheme="majorHAnsi" w:hAnsiTheme="majorHAnsi"/>
                <w:sz w:val="22"/>
                <w:lang w:val="en-US"/>
              </w:rPr>
              <w:t xml:space="preserve">S10 is able to design a graph of a function of a quadratic equation by directly </w:t>
            </w:r>
            <w:r w:rsidRPr="00AE6A97">
              <w:rPr>
                <w:rFonts w:asciiTheme="majorHAnsi" w:hAnsiTheme="majorHAnsi"/>
                <w:sz w:val="22"/>
                <w:lang w:val="en-US"/>
              </w:rPr>
              <w:lastRenderedPageBreak/>
              <w:t>considering the value of the coefficient a and the value of the determinant D. In addition, S10 also determines the roots of the quadratic equation and the vertex of the function. From this information, the S10 can make an accurate representation of the target. Furthermore, S10 confirms the suitability of the answer with the question, meaning that S10 is able to determine the equivalence between the translated representations.</w:t>
            </w:r>
          </w:p>
        </w:tc>
      </w:tr>
    </w:tbl>
    <w:p w14:paraId="331D44AB" w14:textId="77777777" w:rsidR="00723DFD" w:rsidRPr="00E77E85" w:rsidRDefault="00723DFD" w:rsidP="009B31D3">
      <w:pPr>
        <w:pStyle w:val="IEEEParagraph"/>
        <w:spacing w:line="23" w:lineRule="atLeast"/>
        <w:ind w:left="283"/>
        <w:rPr>
          <w:rStyle w:val="longtext"/>
          <w:rFonts w:asciiTheme="majorHAnsi" w:hAnsiTheme="majorHAnsi"/>
          <w:shd w:val="clear" w:color="auto" w:fill="FFFFFF"/>
          <w:lang w:val="sv-SE"/>
        </w:rPr>
      </w:pPr>
    </w:p>
    <w:p w14:paraId="7DDCD4F8" w14:textId="77777777" w:rsidR="00746B1B" w:rsidRPr="00746B1B"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In general, the stages in the mathematical translational thinking process consist of: unpacking the source representation, initial coordination, building the target representation and determining the equality between the source and target representations. Based on the responses given by students (research subjects) in Table 3 it appears that the simplest stages in mathematical translational thinking can be done by students at Level 0, and the complete stages can be done by students at Level 4.</w:t>
      </w:r>
    </w:p>
    <w:p w14:paraId="1A41514D" w14:textId="76206398" w:rsidR="00E70EE3"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At the stage of dismantling the source representation, students identify micro-concepts in the source representation. This stage is carried out by students at all levels, except level 0. Students identify the micro concept of source representation by finding out what important information is contained in the source representation. For example, identifying the roots of a quadratic equation based on the intersection points on the x-axis on the graph.</w:t>
      </w:r>
    </w:p>
    <w:p w14:paraId="2B849274" w14:textId="5EEC8107" w:rsidR="00746B1B" w:rsidRPr="00746B1B"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 xml:space="preserve">The initial coordination stage is carried out by students starting from level 2. Several micro concepts in the source representation are used to design the target representation. This stage is carried out simultaneously by predicting the micro concept of the target representation which is part of the stage of building the target representation. At this stage, the strategies used by students at each level are somewhat different. At level 2, students calculate the point of intersection of the x and y axes using a formula. While at levels 3 and 4, students can directly predict the shape of the graph by looking at the form of the equation and calculating the value of the square roots. This is in accordance with the opinion of </w:t>
      </w:r>
      <w:r w:rsidR="009C7110">
        <w:rPr>
          <w:rStyle w:val="longtext"/>
          <w:rFonts w:asciiTheme="majorHAnsi" w:hAnsiTheme="majorHAnsi"/>
          <w:shd w:val="clear" w:color="auto" w:fill="FFFFFF"/>
          <w:lang w:val="sv-SE"/>
        </w:rPr>
        <w:fldChar w:fldCharType="begin" w:fldLock="1"/>
      </w:r>
      <w:r w:rsidR="009C7110">
        <w:rPr>
          <w:rStyle w:val="longtext"/>
          <w:rFonts w:asciiTheme="majorHAnsi" w:hAnsiTheme="majorHAnsi"/>
          <w:shd w:val="clear" w:color="auto" w:fill="FFFFFF"/>
          <w:lang w:val="sv-SE"/>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"http://www.mendeley.com/documents/?uuid=83db75a7-7a12-4749-879b-28f86372fb93" ] } ], "mendeley" : { "formattedCitation" : "(Boss\u00e9 et al., 2014)", "manualFormatting" : "Boss\u00e9 et al., (2014)", "plainTextFormattedCitation" : "(Boss\u00e9 et al., 2014)", "previouslyFormattedCitation" : "(Boss\u00e9 et al., 2014)" }, "properties" : { "noteIndex" : 0 }, "schema" : "https://github.com/citation-style-language/schema/raw/master/csl-citation.json" }</w:instrText>
      </w:r>
      <w:r w:rsidR="009C7110">
        <w:rPr>
          <w:rStyle w:val="longtext"/>
          <w:rFonts w:asciiTheme="majorHAnsi" w:hAnsiTheme="majorHAnsi"/>
          <w:shd w:val="clear" w:color="auto" w:fill="FFFFFF"/>
          <w:lang w:val="sv-SE"/>
        </w:rPr>
        <w:fldChar w:fldCharType="separate"/>
      </w:r>
      <w:r w:rsidR="009C7110" w:rsidRPr="009C7110">
        <w:rPr>
          <w:rStyle w:val="longtext"/>
          <w:rFonts w:asciiTheme="majorHAnsi" w:hAnsiTheme="majorHAnsi"/>
          <w:noProof/>
          <w:shd w:val="clear" w:color="auto" w:fill="FFFFFF"/>
          <w:lang w:val="sv-SE"/>
        </w:rPr>
        <w:t xml:space="preserve">Bossé et al., </w:t>
      </w:r>
      <w:r w:rsidR="009C7110">
        <w:rPr>
          <w:rStyle w:val="longtext"/>
          <w:rFonts w:asciiTheme="majorHAnsi" w:hAnsiTheme="majorHAnsi"/>
          <w:noProof/>
          <w:shd w:val="clear" w:color="auto" w:fill="FFFFFF"/>
          <w:lang w:val="sv-SE"/>
        </w:rPr>
        <w:t>(</w:t>
      </w:r>
      <w:r w:rsidR="009C7110" w:rsidRPr="009C7110">
        <w:rPr>
          <w:rStyle w:val="longtext"/>
          <w:rFonts w:asciiTheme="majorHAnsi" w:hAnsiTheme="majorHAnsi"/>
          <w:noProof/>
          <w:shd w:val="clear" w:color="auto" w:fill="FFFFFF"/>
          <w:lang w:val="sv-SE"/>
        </w:rPr>
        <w:t>2014)</w:t>
      </w:r>
      <w:r w:rsidR="009C7110">
        <w:rPr>
          <w:rStyle w:val="longtext"/>
          <w:rFonts w:asciiTheme="majorHAnsi" w:hAnsiTheme="majorHAnsi"/>
          <w:shd w:val="clear" w:color="auto" w:fill="FFFFFF"/>
          <w:lang w:val="sv-SE"/>
        </w:rPr>
        <w:fldChar w:fldCharType="end"/>
      </w:r>
      <w:r w:rsidRPr="00746B1B">
        <w:rPr>
          <w:rStyle w:val="longtext"/>
          <w:rFonts w:asciiTheme="majorHAnsi" w:hAnsiTheme="majorHAnsi"/>
          <w:shd w:val="clear" w:color="auto" w:fill="FFFFFF"/>
          <w:lang w:val="sv-SE"/>
        </w:rPr>
        <w:t xml:space="preserve"> which states that students' thinking processes in each step of translation from graphic to symbolic vary. For example, at the initial coordination stage, students in the low and middle groups chose to do fact mapping, while students in the high group did concept mapping.</w:t>
      </w:r>
    </w:p>
    <w:p w14:paraId="5399B3DB" w14:textId="670D8B2D" w:rsidR="00746B1B"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The design of the target representation is done completely by students at levels 3 and 4. Students at level 0 to level 2 have not been able to build a target representation correctly. This is because at several stages in the design of the target representation, students experience errors in several procedures. For example, in the translation of graphs to symbolic students failed to determine the right quadratic equation from the available graphs because of their inability to relate the concept of the coefficient a in the quadratic equation to its graph form. At level 3 and 4 students can build target representations correctly because they can determine the equivalence of the two representations.</w:t>
      </w:r>
    </w:p>
    <w:p w14:paraId="0DA13C94" w14:textId="5962087B" w:rsidR="00746B1B"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 xml:space="preserve">The last stage of the mathematical translational thinking process is to determine the equivalence of the source and target representations. This stage is correctly carried out by students at level 4. Determining the equivalence between the source and target representations is done by ensuring that what is produced in the target representation meets what is requested in the source representation. In the translation from symbolic representations to graphs as in the questions given, students are able to ensure that the graphs made are in accordance with their symbolic forms in the form of quadratic functions as given in the problem. Students can find that the shape of the two parabolic curves intersect each other which is known by looking at the common points on the two functions. In addition, students at level 4 can develop their ideas about an easy way to graph a function by identifying several points that may be found in a function. Students can also estimate the </w:t>
      </w:r>
      <w:r w:rsidRPr="00746B1B">
        <w:rPr>
          <w:rStyle w:val="longtext"/>
          <w:rFonts w:asciiTheme="majorHAnsi" w:hAnsiTheme="majorHAnsi"/>
          <w:shd w:val="clear" w:color="auto" w:fill="FFFFFF"/>
          <w:lang w:val="sv-SE"/>
        </w:rPr>
        <w:lastRenderedPageBreak/>
        <w:t>shape of the graph from the value of the coefficient a in front of x</w:t>
      </w:r>
      <w:r w:rsidRPr="00A55742">
        <w:rPr>
          <w:rStyle w:val="longtext"/>
          <w:rFonts w:asciiTheme="majorHAnsi" w:hAnsiTheme="majorHAnsi"/>
          <w:shd w:val="clear" w:color="auto" w:fill="FFFFFF"/>
          <w:vertAlign w:val="superscript"/>
          <w:lang w:val="sv-SE"/>
        </w:rPr>
        <w:t>2</w:t>
      </w:r>
      <w:r w:rsidRPr="00746B1B">
        <w:rPr>
          <w:rStyle w:val="longtext"/>
          <w:rFonts w:asciiTheme="majorHAnsi" w:hAnsiTheme="majorHAnsi"/>
          <w:shd w:val="clear" w:color="auto" w:fill="FFFFFF"/>
          <w:lang w:val="sv-SE"/>
        </w:rPr>
        <w:t xml:space="preserve">. This indicates that students are able to create flexible connections between two different mathematical representations. In accordance with the opinion of </w:t>
      </w:r>
      <w:r w:rsidR="0091185F">
        <w:rPr>
          <w:rStyle w:val="longtext"/>
          <w:rFonts w:asciiTheme="majorHAnsi" w:hAnsiTheme="majorHAnsi"/>
          <w:shd w:val="clear" w:color="auto" w:fill="FFFFFF"/>
          <w:lang w:val="sv-SE"/>
        </w:rPr>
        <w:fldChar w:fldCharType="begin" w:fldLock="1"/>
      </w:r>
      <w:r w:rsidR="0091185F">
        <w:rPr>
          <w:rStyle w:val="longtext"/>
          <w:rFonts w:asciiTheme="majorHAnsi" w:hAnsiTheme="majorHAnsi"/>
          <w:shd w:val="clear" w:color="auto" w:fill="FFFFFF"/>
          <w:lang w:val="sv-SE"/>
        </w:rPr>
        <w:instrText>ADDIN CSL_CITATION { "citationItems" : [ { "id" : "ITEM-1", "itemData" : { "ISSN" : "1473-0111", "abstract" : "Understanding how students translate between mathematical representations is of both practical and theoretical importance. This study examined students' processes in their generation of symbolic and graphic representations of given polynomial functions. The purpose was to investigate how students perform these translations. The result of the study suggests that students of different ability levels process translations differently and that students' apparent difficulties with translations may be directly connected with their processes and obstacles encountered during translations. The study's novel framework led to identifying aspects of student behavior that were not previously recognized in the literature. In addition to these findings, this study developed an evolution in theoretical frameworks through which to investigate and explain translation actions between representations. The findings of the study have implications for addressing student difficulties in translations among representations.", "author" : [ { "dropping-particle" : "", "family" : "Boss\u00e9", "given" : "Michael", "non-dropping-particle" : "", "parse-names" : false, "suffix" : "" }, { "dropping-particle" : "", "family" : "Adu-Gyamfi", "given" : "Kwaku", "non-dropping-particle" : "", "parse-names" : false, "suffix" : "" }, { "dropping-particle" : "", "family" : "Chandler", "given" : "Kayla", "non-dropping-particle" : "", "parse-names" : false, "suffix" : "" } ], "container-title" : "International Journal for Mathematics Teaching and Learning", "id" : "ITEM-1", "issued" : { "date-parts" : [ [ "2014" ] ] }, "title" : "Students' Differentiated Translation Processes.", "type" : "article-journal" }, "uris" : [ "http://www.mendeley.com/documents/?uuid=83db75a7-7a12-4749-879b-28f86372fb93" ] } ], "mendeley" : { "formattedCitation" : "(Boss\u00e9 et al., 2014)", "manualFormatting" : "Boss\u00e9 et al., (2014)", "plainTextFormattedCitation" : "(Boss\u00e9 et al., 2014)", "previouslyFormattedCitation" : "(Boss\u00e9 et al., 2014)" }, "properties" : { "noteIndex" : 0 }, "schema" : "https://github.com/citation-style-language/schema/raw/master/csl-citation.json" }</w:instrText>
      </w:r>
      <w:r w:rsidR="0091185F">
        <w:rPr>
          <w:rStyle w:val="longtext"/>
          <w:rFonts w:asciiTheme="majorHAnsi" w:hAnsiTheme="majorHAnsi"/>
          <w:shd w:val="clear" w:color="auto" w:fill="FFFFFF"/>
          <w:lang w:val="sv-SE"/>
        </w:rPr>
        <w:fldChar w:fldCharType="separate"/>
      </w:r>
      <w:r w:rsidR="00026B88">
        <w:rPr>
          <w:rStyle w:val="longtext"/>
          <w:rFonts w:asciiTheme="majorHAnsi" w:hAnsiTheme="majorHAnsi"/>
          <w:noProof/>
          <w:shd w:val="clear" w:color="auto" w:fill="FFFFFF"/>
          <w:lang w:val="sv-SE"/>
        </w:rPr>
        <w:t>Bossé et al.</w:t>
      </w:r>
      <w:r w:rsidR="0091185F" w:rsidRPr="0091185F">
        <w:rPr>
          <w:rStyle w:val="longtext"/>
          <w:rFonts w:asciiTheme="majorHAnsi" w:hAnsiTheme="majorHAnsi"/>
          <w:noProof/>
          <w:shd w:val="clear" w:color="auto" w:fill="FFFFFF"/>
          <w:lang w:val="sv-SE"/>
        </w:rPr>
        <w:t xml:space="preserve"> </w:t>
      </w:r>
      <w:r w:rsidR="0091185F">
        <w:rPr>
          <w:rStyle w:val="longtext"/>
          <w:rFonts w:asciiTheme="majorHAnsi" w:hAnsiTheme="majorHAnsi"/>
          <w:noProof/>
          <w:shd w:val="clear" w:color="auto" w:fill="FFFFFF"/>
          <w:lang w:val="sv-SE"/>
        </w:rPr>
        <w:t>(</w:t>
      </w:r>
      <w:r w:rsidR="0091185F" w:rsidRPr="0091185F">
        <w:rPr>
          <w:rStyle w:val="longtext"/>
          <w:rFonts w:asciiTheme="majorHAnsi" w:hAnsiTheme="majorHAnsi"/>
          <w:noProof/>
          <w:shd w:val="clear" w:color="auto" w:fill="FFFFFF"/>
          <w:lang w:val="sv-SE"/>
        </w:rPr>
        <w:t>2014)</w:t>
      </w:r>
      <w:r w:rsidR="0091185F">
        <w:rPr>
          <w:rStyle w:val="longtext"/>
          <w:rFonts w:asciiTheme="majorHAnsi" w:hAnsiTheme="majorHAnsi"/>
          <w:shd w:val="clear" w:color="auto" w:fill="FFFFFF"/>
          <w:lang w:val="sv-SE"/>
        </w:rPr>
        <w:fldChar w:fldCharType="end"/>
      </w:r>
      <w:r w:rsidR="0091185F">
        <w:rPr>
          <w:rStyle w:val="longtext"/>
          <w:rFonts w:asciiTheme="majorHAnsi" w:hAnsiTheme="majorHAnsi"/>
          <w:shd w:val="clear" w:color="auto" w:fill="FFFFFF"/>
          <w:lang w:val="sv-SE"/>
        </w:rPr>
        <w:t xml:space="preserve"> </w:t>
      </w:r>
      <w:r w:rsidRPr="00746B1B">
        <w:rPr>
          <w:rStyle w:val="longtext"/>
          <w:rFonts w:asciiTheme="majorHAnsi" w:hAnsiTheme="majorHAnsi"/>
          <w:shd w:val="clear" w:color="auto" w:fill="FFFFFF"/>
          <w:lang w:val="sv-SE"/>
        </w:rPr>
        <w:t>which states that in performing mathematical translations, one must not only know or recognize the concepts contained in the source representation by identifying and coding them, but also be able to relate these concepts into different forms according to the intended representation or target representation.</w:t>
      </w:r>
    </w:p>
    <w:p w14:paraId="5B47ECDE" w14:textId="02A7F67B" w:rsidR="00746B1B" w:rsidRPr="00746B1B"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According to the SOLO taxonomy, the response that is expected to appear in learning is called the target mode. This response can be seen at level 1, level 2 and level 3 in the framework for grading mathematical translational thinking skills. At these levels, the ability to think mathematically translational develops in stages in the four stages that characterize it. Finally, there is the next mode, namely at level 4 thinking skills which is the application of the extended-abstract level in the SOLO taxonomy. This highest level is the embodiment of complete mathematical translational thinking skills, where students are able to develop their ideas more broadly beyond what is expected.</w:t>
      </w:r>
    </w:p>
    <w:p w14:paraId="7156E25A" w14:textId="14BEB4E2" w:rsidR="00746B1B" w:rsidRPr="00BB55D0" w:rsidRDefault="00746B1B" w:rsidP="00BB55D0">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 xml:space="preserve">The existence of tiers in the ability to think translationally is basically needed in the assessment process, especially in making assessment rubrics. Educators (teachers or lecturers) can develop learning designs based on the results of an assessment of the abilities of their students. Conceptual and factual knowledge should be presented in a balanced way. As </w:t>
      </w:r>
      <w:r w:rsidR="002C7A21">
        <w:rPr>
          <w:rStyle w:val="longtext"/>
          <w:rFonts w:asciiTheme="majorHAnsi" w:hAnsiTheme="majorHAnsi"/>
          <w:shd w:val="clear" w:color="auto" w:fill="FFFFFF"/>
          <w:lang w:val="sv-SE"/>
        </w:rPr>
        <w:fldChar w:fldCharType="begin" w:fldLock="1"/>
      </w:r>
      <w:r w:rsidR="002C7A21">
        <w:rPr>
          <w:rStyle w:val="longtext"/>
          <w:rFonts w:asciiTheme="majorHAnsi" w:hAnsiTheme="majorHAnsi"/>
          <w:shd w:val="clear" w:color="auto" w:fill="FFFFFF"/>
          <w:lang w:val="sv-SE"/>
        </w:rPr>
        <w:instrText>ADDIN CSL_CITATION { "citationItems" : [ { "id" : "ITEM-1", "itemData" : { "DOI" : "10.12968/sece.2015.24.8", "ISSN" : "1479-7704", "author" : [ { "dropping-particle" : "", "family" : "Bromley", "given" : "Matt", "non-dropping-particle" : "", "parse-names" : false, "suffix" : "" } ], "container-title" : "SecEd", "id" : "ITEM-1", "issue" : "24", "issued" : { "date-parts" : [ [ "2015" ] ] }, "title" : "The SOLO Taxonomy", "type" : "article-journal", "volume" : "2015" }, "uris" : [ "http://www.mendeley.com/documents/?uuid=61c74d55-c02a-32e2-98a4-ab795febfbd9" ] } ], "mendeley" : { "formattedCitation" : "(Bromley, 2015)", "manualFormatting" : "Bromley (2015)", "plainTextFormattedCitation" : "(Bromley, 2015)", "previouslyFormattedCitation" : "(Bromley, 2015)" }, "properties" : { "noteIndex" : 0 }, "schema" : "https://github.com/citation-style-language/schema/raw/master/csl-citation.json" }</w:instrText>
      </w:r>
      <w:r w:rsidR="002C7A21">
        <w:rPr>
          <w:rStyle w:val="longtext"/>
          <w:rFonts w:asciiTheme="majorHAnsi" w:hAnsiTheme="majorHAnsi"/>
          <w:shd w:val="clear" w:color="auto" w:fill="FFFFFF"/>
          <w:lang w:val="sv-SE"/>
        </w:rPr>
        <w:fldChar w:fldCharType="separate"/>
      </w:r>
      <w:r w:rsidR="002C7A21">
        <w:rPr>
          <w:rStyle w:val="longtext"/>
          <w:rFonts w:asciiTheme="majorHAnsi" w:hAnsiTheme="majorHAnsi"/>
          <w:noProof/>
          <w:shd w:val="clear" w:color="auto" w:fill="FFFFFF"/>
          <w:lang w:val="sv-SE"/>
        </w:rPr>
        <w:t>Bromley</w:t>
      </w:r>
      <w:r w:rsidR="002C7A21" w:rsidRPr="002C7A21">
        <w:rPr>
          <w:rStyle w:val="longtext"/>
          <w:rFonts w:asciiTheme="majorHAnsi" w:hAnsiTheme="majorHAnsi"/>
          <w:noProof/>
          <w:shd w:val="clear" w:color="auto" w:fill="FFFFFF"/>
          <w:lang w:val="sv-SE"/>
        </w:rPr>
        <w:t xml:space="preserve"> </w:t>
      </w:r>
      <w:r w:rsidR="002C7A21">
        <w:rPr>
          <w:rStyle w:val="longtext"/>
          <w:rFonts w:asciiTheme="majorHAnsi" w:hAnsiTheme="majorHAnsi"/>
          <w:noProof/>
          <w:shd w:val="clear" w:color="auto" w:fill="FFFFFF"/>
          <w:lang w:val="sv-SE"/>
        </w:rPr>
        <w:t>(</w:t>
      </w:r>
      <w:r w:rsidR="002C7A21" w:rsidRPr="002C7A21">
        <w:rPr>
          <w:rStyle w:val="longtext"/>
          <w:rFonts w:asciiTheme="majorHAnsi" w:hAnsiTheme="majorHAnsi"/>
          <w:noProof/>
          <w:shd w:val="clear" w:color="auto" w:fill="FFFFFF"/>
          <w:lang w:val="sv-SE"/>
        </w:rPr>
        <w:t>2015)</w:t>
      </w:r>
      <w:r w:rsidR="002C7A21">
        <w:rPr>
          <w:rStyle w:val="longtext"/>
          <w:rFonts w:asciiTheme="majorHAnsi" w:hAnsiTheme="majorHAnsi"/>
          <w:shd w:val="clear" w:color="auto" w:fill="FFFFFF"/>
          <w:lang w:val="sv-SE"/>
        </w:rPr>
        <w:fldChar w:fldCharType="end"/>
      </w:r>
      <w:r w:rsidR="002C7A21">
        <w:rPr>
          <w:rStyle w:val="longtext"/>
          <w:rFonts w:asciiTheme="majorHAnsi" w:hAnsiTheme="majorHAnsi"/>
          <w:shd w:val="clear" w:color="auto" w:fill="FFFFFF"/>
          <w:lang w:val="sv-SE"/>
        </w:rPr>
        <w:t xml:space="preserve"> </w:t>
      </w:r>
      <w:r w:rsidRPr="00746B1B">
        <w:rPr>
          <w:rStyle w:val="longtext"/>
          <w:rFonts w:asciiTheme="majorHAnsi" w:hAnsiTheme="majorHAnsi"/>
          <w:shd w:val="clear" w:color="auto" w:fill="FFFFFF"/>
          <w:lang w:val="sv-SE"/>
        </w:rPr>
        <w:t xml:space="preserve">argues, it is necessary to teach less subject matter that is discussed in more depth and provides many examples where these concepts work so as to provide a solid basis for the development of factual knowledge. Furthermore, this leveling can also help students understand new concepts or information, develop a deep foundation of factual knowledge, understand facts and ideas in the context of a conceptual framework, organize knowledge and develop meta-cognition. So this certainly takes considerable control over the setting of learning objectives and monitoring the progress of their learning outcomes. This tiering theory can be used as a reference for teachers/lecturers in designing appropriate lecture designs. This is </w:t>
      </w:r>
      <w:r w:rsidR="00A117D6">
        <w:rPr>
          <w:rStyle w:val="longtext"/>
          <w:rFonts w:asciiTheme="majorHAnsi" w:hAnsiTheme="majorHAnsi"/>
          <w:shd w:val="clear" w:color="auto" w:fill="FFFFFF"/>
          <w:lang w:val="sv-SE"/>
        </w:rPr>
        <w:t xml:space="preserve">related </w:t>
      </w:r>
      <w:r w:rsidR="00A117D6" w:rsidRPr="00BB55D0">
        <w:rPr>
          <w:rStyle w:val="longtext"/>
          <w:rFonts w:asciiTheme="majorHAnsi" w:hAnsiTheme="majorHAnsi"/>
          <w:shd w:val="clear" w:color="auto" w:fill="FFFFFF"/>
          <w:lang w:val="sv-SE"/>
        </w:rPr>
        <w:t xml:space="preserve">to </w:t>
      </w:r>
      <w:r w:rsidRPr="00BB55D0">
        <w:rPr>
          <w:rStyle w:val="longtext"/>
          <w:rFonts w:asciiTheme="majorHAnsi" w:hAnsiTheme="majorHAnsi"/>
          <w:shd w:val="clear" w:color="auto" w:fill="FFFFFF"/>
          <w:lang w:val="sv-SE"/>
        </w:rPr>
        <w:t xml:space="preserve">corroborated by the opinion </w:t>
      </w:r>
      <w:r w:rsidR="00BB55D0">
        <w:rPr>
          <w:rStyle w:val="longtext"/>
          <w:rFonts w:asciiTheme="majorHAnsi" w:hAnsiTheme="majorHAnsi"/>
          <w:shd w:val="clear" w:color="auto" w:fill="FFFFFF"/>
          <w:lang w:val="sv-SE"/>
        </w:rPr>
        <w:t xml:space="preserve">that </w:t>
      </w:r>
      <w:r w:rsidR="00BB55D0" w:rsidRPr="00BB55D0">
        <w:rPr>
          <w:rStyle w:val="longtext"/>
          <w:rFonts w:asciiTheme="majorHAnsi" w:hAnsiTheme="majorHAnsi"/>
          <w:shd w:val="clear" w:color="auto" w:fill="FFFFFF"/>
          <w:lang w:val="sv-SE"/>
        </w:rPr>
        <w:t>if teachers know about potential barriers to understanding before a lesson is taught, they can develop well-developed lesson plans and use modified teaching strategies to help students overcome or at least minimize these barriers</w:t>
      </w:r>
      <w:r w:rsidR="00BB55D0">
        <w:rPr>
          <w:rStyle w:val="longtext"/>
          <w:rFonts w:asciiTheme="majorHAnsi" w:hAnsiTheme="majorHAnsi"/>
          <w:shd w:val="clear" w:color="auto" w:fill="FFFFFF"/>
          <w:lang w:val="sv-SE"/>
        </w:rPr>
        <w:t xml:space="preserve"> </w:t>
      </w:r>
      <w:r w:rsidR="00BB55D0">
        <w:rPr>
          <w:rStyle w:val="longtext"/>
          <w:rFonts w:asciiTheme="majorHAnsi" w:hAnsiTheme="majorHAnsi"/>
          <w:shd w:val="clear" w:color="auto" w:fill="FFFFFF"/>
          <w:lang w:val="sv-SE"/>
        </w:rPr>
        <w:fldChar w:fldCharType="begin" w:fldLock="1"/>
      </w:r>
      <w:r w:rsidR="00053070">
        <w:rPr>
          <w:rStyle w:val="longtext"/>
          <w:rFonts w:asciiTheme="majorHAnsi" w:hAnsiTheme="majorHAnsi"/>
          <w:shd w:val="clear" w:color="auto" w:fill="FFFFFF"/>
          <w:lang w:val="sv-SE"/>
        </w:rPr>
        <w:instrText>ADDIN CSL_CITATION { "citationItems" : [ { "id" : "ITEM-1", "itemData" : { "DOI" : "10.1145/3328778.3366839", "ISBN" : "9781450367936", "ISSN" : "1942647X", "abstract" : "The association between mathematics and programming in an educational context is not new. Today, programming has been introduced into curricula worldwide for younger children. In the Swedish case, primary school teachers are expected to integrate programming in mathematics education from autumn 2018. However, Swedish teachers' knowledge of programming and programming didactics is limited. Meanwhile, there is little research on K-9 programming education. This has led to the dilemma that the mathematics teachers have limited support in didactic knowledge and good examples. This study reports on a teacher professional development project in programming. More specifically, teachers used Lesson Study to plan, execute, and evaluate lessons that integrated programming into various school subjects in elementary school. This study analyzed the didactic strategies developed in 10 lesson studies, as well as mapped the opportunities and challenges of pupils' learning in the mathematics subject. The result was the identification of three didactic strategies, which were analog programming, robot programming and block programming, as well as 11 didactic methods applied within these strategies. The paper contributes with examples of the didactic methods that teachers have developed and evaluated using lesson study. The paper further provides insights on how teachers can take progression into account by applying the three didactic strategies. At last but not least, the study shows a great need for teachers to develop computational thinking abilities.", "author" : [ { "dropping-particle" : "", "family" : "Ahmed", "given" : "Gashawa", "non-dropping-particle" : "", "parse-names" : false, "suffix" : "" }, { "dropping-particle" : "", "family" : "Nouri", "given" : "Jalal", "non-dropping-particle" : "", "parse-names" : false, "suffix" : "" }, { "dropping-particle" : "", "family" : "Zhang", "given" : "Lechen", "non-dropping-particle" : "", "parse-names" : false, "suffix" : "" }, { "dropping-particle" : "", "family" : "Noren", "given" : "Eva", "non-dropping-particle" : "", "parse-names" : false, "suffix" : "" } ], "container-title" : "Annual Conference on Innovation and Technology in Computer Science Education, ITiCSE", "id" : "ITEM-1", "issued" : { "date-parts" : [ [ "2020" ] ] }, "page" : "261-267", "title" : "Didactic Methods of Integrating Programming in Mathematics in Primary School Findings from a Swedish National Project", "type" : "paper-conference" }, "uris" : [ "http://www.mendeley.com/documents/?uuid=786df099-257e-4779-9536-d87fe35d0612", "http://www.mendeley.com/documents/?uuid=291d692f-3604-4585-8cf5-28cdeb423368" ] } ], "mendeley" : { "formattedCitation" : "(Ahmed et al., 2020)", "plainTextFormattedCitation" : "(Ahmed et al., 2020)", "previouslyFormattedCitation" : "(Ahmed et al., 2020)" }, "properties" : { "noteIndex" : 0 }, "schema" : "https://github.com/citation-style-language/schema/raw/master/csl-citation.json" }</w:instrText>
      </w:r>
      <w:r w:rsidR="00BB55D0">
        <w:rPr>
          <w:rStyle w:val="longtext"/>
          <w:rFonts w:asciiTheme="majorHAnsi" w:hAnsiTheme="majorHAnsi"/>
          <w:shd w:val="clear" w:color="auto" w:fill="FFFFFF"/>
          <w:lang w:val="sv-SE"/>
        </w:rPr>
        <w:fldChar w:fldCharType="separate"/>
      </w:r>
      <w:r w:rsidR="00BB55D0" w:rsidRPr="00BB55D0">
        <w:rPr>
          <w:rStyle w:val="longtext"/>
          <w:rFonts w:asciiTheme="majorHAnsi" w:hAnsiTheme="majorHAnsi"/>
          <w:noProof/>
          <w:shd w:val="clear" w:color="auto" w:fill="FFFFFF"/>
          <w:lang w:val="sv-SE"/>
        </w:rPr>
        <w:t>(Ahmed et al., 2020)</w:t>
      </w:r>
      <w:r w:rsidR="00BB55D0">
        <w:rPr>
          <w:rStyle w:val="longtext"/>
          <w:rFonts w:asciiTheme="majorHAnsi" w:hAnsiTheme="majorHAnsi"/>
          <w:shd w:val="clear" w:color="auto" w:fill="FFFFFF"/>
          <w:lang w:val="sv-SE"/>
        </w:rPr>
        <w:fldChar w:fldCharType="end"/>
      </w:r>
      <w:r w:rsidR="00BB55D0">
        <w:rPr>
          <w:rStyle w:val="longtext"/>
          <w:rFonts w:asciiTheme="majorHAnsi" w:hAnsiTheme="majorHAnsi"/>
          <w:shd w:val="clear" w:color="auto" w:fill="FFFFFF"/>
          <w:lang w:val="sv-SE"/>
        </w:rPr>
        <w:t>.</w:t>
      </w:r>
    </w:p>
    <w:p w14:paraId="1F34AA63" w14:textId="69427088" w:rsidR="009C30E3" w:rsidRDefault="00746B1B" w:rsidP="00D055DB">
      <w:pPr>
        <w:pStyle w:val="IEEEParagraph"/>
        <w:spacing w:line="23" w:lineRule="atLeast"/>
        <w:ind w:firstLine="360"/>
        <w:rPr>
          <w:rStyle w:val="longtext"/>
          <w:rFonts w:asciiTheme="majorHAnsi" w:hAnsiTheme="majorHAnsi"/>
          <w:shd w:val="clear" w:color="auto" w:fill="FFFFFF"/>
          <w:lang w:val="sv-SE"/>
        </w:rPr>
      </w:pPr>
      <w:r w:rsidRPr="00746B1B">
        <w:rPr>
          <w:rStyle w:val="longtext"/>
          <w:rFonts w:asciiTheme="majorHAnsi" w:hAnsiTheme="majorHAnsi"/>
          <w:shd w:val="clear" w:color="auto" w:fill="FFFFFF"/>
          <w:lang w:val="sv-SE"/>
        </w:rPr>
        <w:t>This research is still possible to be developed further because the discussion is still limited to the translation from symbolic representations to graphics. So that future research can develop broad ideas, for example related to developing assessments that refer to the tiering framework developed in this study. In addition, it can also be expanded the idea of ​​​​study on instructional design and media that facilitate students according to their level of thinking ability.</w:t>
      </w:r>
      <w:r w:rsidR="008907E3">
        <w:rPr>
          <w:rStyle w:val="longtext"/>
          <w:rFonts w:asciiTheme="majorHAnsi" w:hAnsiTheme="majorHAnsi"/>
          <w:shd w:val="clear" w:color="auto" w:fill="FFFFFF"/>
          <w:lang w:val="sv-SE"/>
        </w:rPr>
        <w:t xml:space="preserve"> </w:t>
      </w:r>
    </w:p>
    <w:p w14:paraId="35238188" w14:textId="77777777" w:rsidR="006D22BB" w:rsidRPr="00AE6A97" w:rsidRDefault="006D22BB" w:rsidP="00D055DB">
      <w:pPr>
        <w:pStyle w:val="IEEEParagraph"/>
        <w:spacing w:line="23" w:lineRule="atLeast"/>
        <w:ind w:firstLine="360"/>
        <w:rPr>
          <w:rFonts w:asciiTheme="majorHAnsi" w:hAnsiTheme="majorHAnsi"/>
          <w:shd w:val="clear" w:color="auto" w:fill="FFFFFF"/>
          <w:lang w:val="sv-SE"/>
        </w:rPr>
      </w:pPr>
    </w:p>
    <w:p w14:paraId="42794FC9" w14:textId="77777777" w:rsidR="0062033E" w:rsidRPr="00E77E85" w:rsidRDefault="0063726A" w:rsidP="00E77E85">
      <w:pPr>
        <w:pStyle w:val="IEEEHeading1"/>
        <w:numPr>
          <w:ilvl w:val="0"/>
          <w:numId w:val="11"/>
        </w:numPr>
        <w:spacing w:before="0" w:after="0" w:line="23" w:lineRule="atLeast"/>
        <w:jc w:val="left"/>
        <w:rPr>
          <w:rFonts w:asciiTheme="majorHAnsi" w:hAnsiTheme="majorHAnsi"/>
          <w:b/>
          <w:sz w:val="24"/>
          <w:lang w:val="en-US"/>
        </w:rPr>
      </w:pPr>
      <w:r w:rsidRPr="00E77E85">
        <w:rPr>
          <w:rFonts w:asciiTheme="majorHAnsi" w:hAnsiTheme="majorHAnsi"/>
          <w:b/>
          <w:sz w:val="24"/>
          <w:lang w:val="id-ID"/>
        </w:rPr>
        <w:t>CONCLUSION AND SUGGESTIONS</w:t>
      </w:r>
    </w:p>
    <w:p w14:paraId="0E063342" w14:textId="731CE9E4" w:rsidR="00633178" w:rsidRDefault="008907E3" w:rsidP="0069647A">
      <w:pPr>
        <w:pStyle w:val="IEEEParagraph"/>
        <w:spacing w:line="23" w:lineRule="atLeast"/>
        <w:ind w:firstLine="360"/>
        <w:rPr>
          <w:rStyle w:val="longtext"/>
          <w:rFonts w:asciiTheme="majorHAnsi" w:hAnsiTheme="majorHAnsi"/>
          <w:shd w:val="clear" w:color="auto" w:fill="FFFFFF"/>
          <w:lang w:val="sv-SE"/>
        </w:rPr>
      </w:pPr>
      <w:r w:rsidRPr="008907E3">
        <w:rPr>
          <w:rStyle w:val="longtext"/>
          <w:rFonts w:asciiTheme="majorHAnsi" w:hAnsiTheme="majorHAnsi"/>
          <w:shd w:val="clear" w:color="auto" w:fill="FFFFFF"/>
          <w:lang w:val="sv-SE"/>
        </w:rPr>
        <w:t xml:space="preserve">The </w:t>
      </w:r>
      <w:r w:rsidRPr="0069647A">
        <w:rPr>
          <w:rStyle w:val="longtext"/>
          <w:rFonts w:asciiTheme="majorHAnsi" w:hAnsiTheme="majorHAnsi"/>
          <w:shd w:val="clear" w:color="auto" w:fill="FFFFFF"/>
        </w:rPr>
        <w:t>results</w:t>
      </w:r>
      <w:r w:rsidRPr="008907E3">
        <w:rPr>
          <w:rStyle w:val="longtext"/>
          <w:rFonts w:asciiTheme="majorHAnsi" w:hAnsiTheme="majorHAnsi"/>
          <w:shd w:val="clear" w:color="auto" w:fill="FFFFFF"/>
          <w:lang w:val="sv-SE"/>
        </w:rPr>
        <w:t xml:space="preserve"> of this study found five levels of mathematical translational thinking skills, namely: Level 0, Level 1, Level 2, Level 3 and Level 4. The determination of indicators for each level is based on four stages in mathematical translational thinking, namely: unpacking source representation, perform initial coordination, design the target representation and determine the equivalence between the source representation and the target representation. This framework can be used as a reference in developing an instrument that measures mathematical translational thinking skills that can be used in assessments of mathematics learning.</w:t>
      </w:r>
    </w:p>
    <w:p w14:paraId="3745BE33" w14:textId="77777777" w:rsidR="008907E3" w:rsidRPr="00E77E85" w:rsidRDefault="008907E3" w:rsidP="00E77E85">
      <w:pPr>
        <w:pStyle w:val="IEEEParagraph"/>
        <w:spacing w:line="23" w:lineRule="atLeast"/>
        <w:rPr>
          <w:rFonts w:asciiTheme="majorHAnsi" w:hAnsiTheme="majorHAnsi"/>
          <w:lang w:val="id-ID"/>
        </w:rPr>
      </w:pPr>
    </w:p>
    <w:p w14:paraId="1EE92892" w14:textId="77777777" w:rsidR="003950A4" w:rsidRPr="00E77E85" w:rsidRDefault="009C30E3"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t>ACKNOWLEDGEMENT</w:t>
      </w:r>
    </w:p>
    <w:p w14:paraId="71C6285A" w14:textId="4116ACB4" w:rsidR="008A1519" w:rsidRPr="00E77E85" w:rsidRDefault="00F440AD" w:rsidP="00E77E85">
      <w:pPr>
        <w:pStyle w:val="IEEEParagraph"/>
        <w:spacing w:line="23" w:lineRule="atLeast"/>
        <w:ind w:firstLine="0"/>
        <w:rPr>
          <w:rStyle w:val="longtext"/>
          <w:rFonts w:asciiTheme="majorHAnsi" w:hAnsiTheme="majorHAnsi"/>
          <w:shd w:val="clear" w:color="auto" w:fill="FFFFFF"/>
          <w:lang w:val="sv-SE"/>
        </w:rPr>
      </w:pPr>
      <w:r w:rsidRPr="00F440AD">
        <w:rPr>
          <w:rStyle w:val="longtext"/>
          <w:rFonts w:asciiTheme="majorHAnsi" w:hAnsiTheme="majorHAnsi"/>
          <w:shd w:val="clear" w:color="auto" w:fill="FFFFFF"/>
          <w:lang w:val="sv-SE"/>
        </w:rPr>
        <w:t>This research is sponsored by the State Islamic University of Mataram for the 2021 fiscal year</w:t>
      </w:r>
      <w:r>
        <w:rPr>
          <w:rStyle w:val="longtext"/>
          <w:rFonts w:asciiTheme="majorHAnsi" w:hAnsiTheme="majorHAnsi"/>
          <w:shd w:val="clear" w:color="auto" w:fill="FFFFFF"/>
          <w:lang w:val="sv-SE"/>
        </w:rPr>
        <w:t>.</w:t>
      </w:r>
    </w:p>
    <w:p w14:paraId="5A06F131" w14:textId="77777777" w:rsidR="00002AE5" w:rsidRPr="00E77E85" w:rsidRDefault="00002AE5" w:rsidP="00E77E85">
      <w:pPr>
        <w:pStyle w:val="IEEEParagraph"/>
        <w:spacing w:line="23" w:lineRule="atLeast"/>
        <w:rPr>
          <w:rFonts w:asciiTheme="majorHAnsi" w:hAnsiTheme="majorHAnsi"/>
          <w:lang w:val="sv-SE"/>
        </w:rPr>
      </w:pPr>
    </w:p>
    <w:p w14:paraId="575FBF3D" w14:textId="407CA3C4" w:rsidR="001928FB" w:rsidRDefault="009C30E3"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t>REFERENCES</w:t>
      </w:r>
    </w:p>
    <w:bookmarkStart w:id="0" w:name="_GoBack"/>
    <w:p w14:paraId="55FA0B10" w14:textId="04CF49D3" w:rsidR="00EE4555" w:rsidRPr="00EE4555" w:rsidRDefault="001B0AAE" w:rsidP="004E4BF2">
      <w:pPr>
        <w:widowControl w:val="0"/>
        <w:autoSpaceDE w:val="0"/>
        <w:autoSpaceDN w:val="0"/>
        <w:adjustRightInd w:val="0"/>
        <w:ind w:left="480" w:hanging="480"/>
        <w:jc w:val="both"/>
        <w:rPr>
          <w:rFonts w:ascii="Cambria" w:hAnsi="Cambria"/>
          <w:noProof/>
          <w:sz w:val="22"/>
        </w:rPr>
      </w:pPr>
      <w:r>
        <w:rPr>
          <w:lang w:val="en-US"/>
        </w:rPr>
        <w:fldChar w:fldCharType="begin" w:fldLock="1"/>
      </w:r>
      <w:r>
        <w:rPr>
          <w:lang w:val="en-US"/>
        </w:rPr>
        <w:instrText xml:space="preserve">ADDIN Mendeley Bibliography CSL_BIBLIOGRAPHY </w:instrText>
      </w:r>
      <w:r>
        <w:rPr>
          <w:lang w:val="en-US"/>
        </w:rPr>
        <w:fldChar w:fldCharType="separate"/>
      </w:r>
      <w:r w:rsidR="00EE4555" w:rsidRPr="00EE4555">
        <w:rPr>
          <w:rFonts w:ascii="Cambria" w:hAnsi="Cambria"/>
          <w:noProof/>
          <w:sz w:val="22"/>
        </w:rPr>
        <w:t xml:space="preserve">Adu-Gyamfi, K., Bossé, M. J., &amp; Chandler, K. (2017). Student Connections between Algebraic and Graphical Polynomial Representations in the Context of a Polynomial Relation. </w:t>
      </w:r>
      <w:r w:rsidR="00EE4555" w:rsidRPr="00EE4555">
        <w:rPr>
          <w:rFonts w:ascii="Cambria" w:hAnsi="Cambria"/>
          <w:i/>
          <w:iCs/>
          <w:noProof/>
          <w:sz w:val="22"/>
        </w:rPr>
        <w:t>International Journal of Science and Mathematics Education</w:t>
      </w:r>
      <w:r w:rsidR="00EE4555" w:rsidRPr="00EE4555">
        <w:rPr>
          <w:rFonts w:ascii="Cambria" w:hAnsi="Cambria"/>
          <w:noProof/>
          <w:sz w:val="22"/>
        </w:rPr>
        <w:t xml:space="preserve">, </w:t>
      </w:r>
      <w:r w:rsidR="00EE4555" w:rsidRPr="00EE4555">
        <w:rPr>
          <w:rFonts w:ascii="Cambria" w:hAnsi="Cambria"/>
          <w:i/>
          <w:iCs/>
          <w:noProof/>
          <w:sz w:val="22"/>
        </w:rPr>
        <w:t>15</w:t>
      </w:r>
      <w:r w:rsidR="00EE4555" w:rsidRPr="00EE4555">
        <w:rPr>
          <w:rFonts w:ascii="Cambria" w:hAnsi="Cambria"/>
          <w:noProof/>
          <w:sz w:val="22"/>
        </w:rPr>
        <w:t>(5), 915–938. https://doi.org/10.1007/s10763-016-9730-1</w:t>
      </w:r>
    </w:p>
    <w:p w14:paraId="74874FCF"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Adu-Gyamfi, K., Bossé, M. J., &amp; Lynch-Davis, K. (2019). Three types of mathematical representational translations: Comparing empirical and theoretical results. </w:t>
      </w:r>
      <w:r w:rsidRPr="00EE4555">
        <w:rPr>
          <w:rFonts w:ascii="Cambria" w:hAnsi="Cambria"/>
          <w:i/>
          <w:iCs/>
          <w:noProof/>
          <w:sz w:val="22"/>
        </w:rPr>
        <w:t>School Science and Mathematics</w:t>
      </w:r>
      <w:r w:rsidRPr="00EE4555">
        <w:rPr>
          <w:rFonts w:ascii="Cambria" w:hAnsi="Cambria"/>
          <w:noProof/>
          <w:sz w:val="22"/>
        </w:rPr>
        <w:t xml:space="preserve">, </w:t>
      </w:r>
      <w:r w:rsidRPr="00EE4555">
        <w:rPr>
          <w:rFonts w:ascii="Cambria" w:hAnsi="Cambria"/>
          <w:i/>
          <w:iCs/>
          <w:noProof/>
          <w:sz w:val="22"/>
        </w:rPr>
        <w:t>119</w:t>
      </w:r>
      <w:r w:rsidRPr="00EE4555">
        <w:rPr>
          <w:rFonts w:ascii="Cambria" w:hAnsi="Cambria"/>
          <w:noProof/>
          <w:sz w:val="22"/>
        </w:rPr>
        <w:t>(7), 396–404. https://doi.org/10.1111/ssm.12360</w:t>
      </w:r>
    </w:p>
    <w:p w14:paraId="060DA0BA"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Adu-Gyamfi, K., Stiff, L. V., &amp; Bossé, M. J. (2012). Lost in Translation: Examining Translation Errors Associated With Mathematical Representations. </w:t>
      </w:r>
      <w:r w:rsidRPr="00EE4555">
        <w:rPr>
          <w:rFonts w:ascii="Cambria" w:hAnsi="Cambria"/>
          <w:i/>
          <w:iCs/>
          <w:noProof/>
          <w:sz w:val="22"/>
        </w:rPr>
        <w:t>School Science and Mathematics</w:t>
      </w:r>
      <w:r w:rsidRPr="00EE4555">
        <w:rPr>
          <w:rFonts w:ascii="Cambria" w:hAnsi="Cambria"/>
          <w:noProof/>
          <w:sz w:val="22"/>
        </w:rPr>
        <w:t xml:space="preserve">, </w:t>
      </w:r>
      <w:r w:rsidRPr="00EE4555">
        <w:rPr>
          <w:rFonts w:ascii="Cambria" w:hAnsi="Cambria"/>
          <w:i/>
          <w:iCs/>
          <w:noProof/>
          <w:sz w:val="22"/>
        </w:rPr>
        <w:t>112</w:t>
      </w:r>
      <w:r w:rsidRPr="00EE4555">
        <w:rPr>
          <w:rFonts w:ascii="Cambria" w:hAnsi="Cambria"/>
          <w:noProof/>
          <w:sz w:val="22"/>
        </w:rPr>
        <w:t>(3), 159–170. https://doi.org/10.1111/j.1949-8594.2011.00129.x</w:t>
      </w:r>
    </w:p>
    <w:p w14:paraId="53DBC208"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Afriyani, D., Sa’Dijah, C., Subanji, S., &amp; Muksar, M. (2019). Students’ construction error in translation among mathematical representations. </w:t>
      </w:r>
      <w:r w:rsidRPr="00EE4555">
        <w:rPr>
          <w:rFonts w:ascii="Cambria" w:hAnsi="Cambria"/>
          <w:i/>
          <w:iCs/>
          <w:noProof/>
          <w:sz w:val="22"/>
        </w:rPr>
        <w:t>Journal of Physics: Conference Series</w:t>
      </w:r>
      <w:r w:rsidRPr="00EE4555">
        <w:rPr>
          <w:rFonts w:ascii="Cambria" w:hAnsi="Cambria"/>
          <w:noProof/>
          <w:sz w:val="22"/>
        </w:rPr>
        <w:t xml:space="preserve">, </w:t>
      </w:r>
      <w:r w:rsidRPr="00EE4555">
        <w:rPr>
          <w:rFonts w:ascii="Cambria" w:hAnsi="Cambria"/>
          <w:i/>
          <w:iCs/>
          <w:noProof/>
          <w:sz w:val="22"/>
        </w:rPr>
        <w:t>1157</w:t>
      </w:r>
      <w:r w:rsidRPr="00EE4555">
        <w:rPr>
          <w:rFonts w:ascii="Cambria" w:hAnsi="Cambria"/>
          <w:noProof/>
          <w:sz w:val="22"/>
        </w:rPr>
        <w:t>(3). https://doi.org/10.1088/1742-6596/1157/3/032098</w:t>
      </w:r>
    </w:p>
    <w:p w14:paraId="30AF8B2B"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Ahmed, G., Nouri, J., Zhang, L., &amp; Noren, E. (2020). Didactic Methods of Integrating Programming in Mathematics in Primary School Findings from a Swedish National Project. </w:t>
      </w:r>
      <w:r w:rsidRPr="00EE4555">
        <w:rPr>
          <w:rFonts w:ascii="Cambria" w:hAnsi="Cambria"/>
          <w:i/>
          <w:iCs/>
          <w:noProof/>
          <w:sz w:val="22"/>
        </w:rPr>
        <w:t>Annual Conference on Innovation and Technology in Computer Science Education, ITiCSE</w:t>
      </w:r>
      <w:r w:rsidRPr="00EE4555">
        <w:rPr>
          <w:rFonts w:ascii="Cambria" w:hAnsi="Cambria"/>
          <w:noProof/>
          <w:sz w:val="22"/>
        </w:rPr>
        <w:t>, 261–267. https://doi.org/10.1145/3328778.3366839</w:t>
      </w:r>
    </w:p>
    <w:p w14:paraId="597AB76D"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Bal, A. P. (2015). Skills of Using and Transform Multiple Representations of the Prospective Teachers. </w:t>
      </w:r>
      <w:r w:rsidRPr="00EE4555">
        <w:rPr>
          <w:rFonts w:ascii="Cambria" w:hAnsi="Cambria"/>
          <w:i/>
          <w:iCs/>
          <w:noProof/>
          <w:sz w:val="22"/>
        </w:rPr>
        <w:t>Procedia - Social and Behavioral Sciences</w:t>
      </w:r>
      <w:r w:rsidRPr="00EE4555">
        <w:rPr>
          <w:rFonts w:ascii="Cambria" w:hAnsi="Cambria"/>
          <w:noProof/>
          <w:sz w:val="22"/>
        </w:rPr>
        <w:t xml:space="preserve">, </w:t>
      </w:r>
      <w:r w:rsidRPr="00EE4555">
        <w:rPr>
          <w:rFonts w:ascii="Cambria" w:hAnsi="Cambria"/>
          <w:i/>
          <w:iCs/>
          <w:noProof/>
          <w:sz w:val="22"/>
        </w:rPr>
        <w:t>197</w:t>
      </w:r>
      <w:r w:rsidRPr="00EE4555">
        <w:rPr>
          <w:rFonts w:ascii="Cambria" w:hAnsi="Cambria"/>
          <w:noProof/>
          <w:sz w:val="22"/>
        </w:rPr>
        <w:t>, 582–588. https://doi.org/10.1016/j.sbspro.2015.07.197</w:t>
      </w:r>
    </w:p>
    <w:p w14:paraId="53DBC363"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Bossé, M., Adu-Gyamfi, K., &amp; Chandler, K. (2014). Students’ Differentiated Translation Processes. </w:t>
      </w:r>
      <w:r w:rsidRPr="00EE4555">
        <w:rPr>
          <w:rFonts w:ascii="Cambria" w:hAnsi="Cambria"/>
          <w:i/>
          <w:iCs/>
          <w:noProof/>
          <w:sz w:val="22"/>
        </w:rPr>
        <w:t>International Journal for Mathematics Teaching and Learning</w:t>
      </w:r>
      <w:r w:rsidRPr="00EE4555">
        <w:rPr>
          <w:rFonts w:ascii="Cambria" w:hAnsi="Cambria"/>
          <w:noProof/>
          <w:sz w:val="22"/>
        </w:rPr>
        <w:t>.</w:t>
      </w:r>
    </w:p>
    <w:p w14:paraId="30E3914C"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Bromley, M. (2015). The SOLO Taxonomy. </w:t>
      </w:r>
      <w:r w:rsidRPr="00EE4555">
        <w:rPr>
          <w:rFonts w:ascii="Cambria" w:hAnsi="Cambria"/>
          <w:i/>
          <w:iCs/>
          <w:noProof/>
          <w:sz w:val="22"/>
        </w:rPr>
        <w:t>SecEd</w:t>
      </w:r>
      <w:r w:rsidRPr="00EE4555">
        <w:rPr>
          <w:rFonts w:ascii="Cambria" w:hAnsi="Cambria"/>
          <w:noProof/>
          <w:sz w:val="22"/>
        </w:rPr>
        <w:t xml:space="preserve">, </w:t>
      </w:r>
      <w:r w:rsidRPr="00EE4555">
        <w:rPr>
          <w:rFonts w:ascii="Cambria" w:hAnsi="Cambria"/>
          <w:i/>
          <w:iCs/>
          <w:noProof/>
          <w:sz w:val="22"/>
        </w:rPr>
        <w:t>2015</w:t>
      </w:r>
      <w:r w:rsidRPr="00EE4555">
        <w:rPr>
          <w:rFonts w:ascii="Cambria" w:hAnsi="Cambria"/>
          <w:noProof/>
          <w:sz w:val="22"/>
        </w:rPr>
        <w:t>(24). https://doi.org/10.12968/sece.2015.24.8</w:t>
      </w:r>
    </w:p>
    <w:p w14:paraId="2549CC67"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Creswell, J. W. (2012). Educational research: Planning, conducting, and evaluating quantitative and qualitative research. In </w:t>
      </w:r>
      <w:r w:rsidRPr="00EE4555">
        <w:rPr>
          <w:rFonts w:ascii="Cambria" w:hAnsi="Cambria"/>
          <w:i/>
          <w:iCs/>
          <w:noProof/>
          <w:sz w:val="22"/>
        </w:rPr>
        <w:t>Educational Research</w:t>
      </w:r>
      <w:r w:rsidRPr="00EE4555">
        <w:rPr>
          <w:rFonts w:ascii="Cambria" w:hAnsi="Cambria"/>
          <w:noProof/>
          <w:sz w:val="22"/>
        </w:rPr>
        <w:t xml:space="preserve"> (Vol. 4, p. 237).</w:t>
      </w:r>
    </w:p>
    <w:p w14:paraId="1B336350"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Dunekacke, S., Jenßen, L., &amp; Blömeke, S. (2015). Effects of Mathematics Content Knowledge on Pre-school Teachers’ Performance: a Video-Based Assessment of Perception and Planning Abilities in Informal Learning Situations. </w:t>
      </w:r>
      <w:r w:rsidRPr="00EE4555">
        <w:rPr>
          <w:rFonts w:ascii="Cambria" w:hAnsi="Cambria"/>
          <w:i/>
          <w:iCs/>
          <w:noProof/>
          <w:sz w:val="22"/>
        </w:rPr>
        <w:t>International Journal of Science and Mathematics Education</w:t>
      </w:r>
      <w:r w:rsidRPr="00EE4555">
        <w:rPr>
          <w:rFonts w:ascii="Cambria" w:hAnsi="Cambria"/>
          <w:noProof/>
          <w:sz w:val="22"/>
        </w:rPr>
        <w:t xml:space="preserve">, </w:t>
      </w:r>
      <w:r w:rsidRPr="00EE4555">
        <w:rPr>
          <w:rFonts w:ascii="Cambria" w:hAnsi="Cambria"/>
          <w:i/>
          <w:iCs/>
          <w:noProof/>
          <w:sz w:val="22"/>
        </w:rPr>
        <w:t>13</w:t>
      </w:r>
      <w:r w:rsidRPr="00EE4555">
        <w:rPr>
          <w:rFonts w:ascii="Cambria" w:hAnsi="Cambria"/>
          <w:noProof/>
          <w:sz w:val="22"/>
        </w:rPr>
        <w:t>(2), 267–286. https://doi.org/10.1007/s10763-014-9596-z</w:t>
      </w:r>
    </w:p>
    <w:p w14:paraId="1D75AA03"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Jao, L. (2013). From sailing ships to subtraction symbols: Multiple representations to support abstraction. </w:t>
      </w:r>
      <w:r w:rsidRPr="00EE4555">
        <w:rPr>
          <w:rFonts w:ascii="Cambria" w:hAnsi="Cambria"/>
          <w:i/>
          <w:iCs/>
          <w:noProof/>
          <w:sz w:val="22"/>
        </w:rPr>
        <w:t>International Journal for Mathematics Teaching and Learning</w:t>
      </w:r>
      <w:r w:rsidRPr="00EE4555">
        <w:rPr>
          <w:rFonts w:ascii="Cambria" w:hAnsi="Cambria"/>
          <w:noProof/>
          <w:sz w:val="22"/>
        </w:rPr>
        <w:t>, 1–15.</w:t>
      </w:r>
    </w:p>
    <w:p w14:paraId="46080689"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Kolb, S. M. (2012). Grounded Theory and the Constant Comparative Method : Valid Research Strategies for Educators. </w:t>
      </w:r>
      <w:r w:rsidRPr="00EE4555">
        <w:rPr>
          <w:rFonts w:ascii="Cambria" w:hAnsi="Cambria"/>
          <w:i/>
          <w:iCs/>
          <w:noProof/>
          <w:sz w:val="22"/>
        </w:rPr>
        <w:t>Journal of Emerging Trends in Educational Research and Policy Studies</w:t>
      </w:r>
      <w:r w:rsidRPr="00EE4555">
        <w:rPr>
          <w:rFonts w:ascii="Cambria" w:hAnsi="Cambria"/>
          <w:noProof/>
          <w:sz w:val="22"/>
        </w:rPr>
        <w:t xml:space="preserve">, </w:t>
      </w:r>
      <w:r w:rsidRPr="00EE4555">
        <w:rPr>
          <w:rFonts w:ascii="Cambria" w:hAnsi="Cambria"/>
          <w:i/>
          <w:iCs/>
          <w:noProof/>
          <w:sz w:val="22"/>
        </w:rPr>
        <w:t>3</w:t>
      </w:r>
      <w:r w:rsidRPr="00EE4555">
        <w:rPr>
          <w:rFonts w:ascii="Cambria" w:hAnsi="Cambria"/>
          <w:noProof/>
          <w:sz w:val="22"/>
        </w:rPr>
        <w:t>(1), 83–86.</w:t>
      </w:r>
    </w:p>
    <w:p w14:paraId="3CEFA09E"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Rahardi, R., Irawan, E. B., &amp; Irawati, S. (2018). </w:t>
      </w:r>
      <w:r w:rsidRPr="00EE4555">
        <w:rPr>
          <w:rFonts w:ascii="Cambria" w:hAnsi="Cambria"/>
          <w:i/>
          <w:iCs/>
          <w:noProof/>
          <w:sz w:val="22"/>
        </w:rPr>
        <w:t>Investigating Indonesian Teachers’ ZAD in the Representation of Fractions</w:t>
      </w:r>
      <w:r w:rsidRPr="00EE4555">
        <w:rPr>
          <w:rFonts w:ascii="Cambria" w:hAnsi="Cambria"/>
          <w:noProof/>
          <w:sz w:val="22"/>
        </w:rPr>
        <w:t>. https://doi.org/10.2991/icli-17.2018.45</w:t>
      </w:r>
    </w:p>
    <w:p w14:paraId="4FF1A7FC"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Reid, M., &amp; Reid, S. (2017). Learning to be a math teacher: What knowledge is essential? </w:t>
      </w:r>
      <w:r w:rsidRPr="00EE4555">
        <w:rPr>
          <w:rFonts w:ascii="Cambria" w:hAnsi="Cambria"/>
          <w:i/>
          <w:iCs/>
          <w:noProof/>
          <w:sz w:val="22"/>
        </w:rPr>
        <w:t>International Electronic Journal of Elementary Education</w:t>
      </w:r>
      <w:r w:rsidRPr="00EE4555">
        <w:rPr>
          <w:rFonts w:ascii="Cambria" w:hAnsi="Cambria"/>
          <w:noProof/>
          <w:sz w:val="22"/>
        </w:rPr>
        <w:t xml:space="preserve">, </w:t>
      </w:r>
      <w:r w:rsidRPr="00EE4555">
        <w:rPr>
          <w:rFonts w:ascii="Cambria" w:hAnsi="Cambria"/>
          <w:i/>
          <w:iCs/>
          <w:noProof/>
          <w:sz w:val="22"/>
        </w:rPr>
        <w:t>9</w:t>
      </w:r>
      <w:r w:rsidRPr="00EE4555">
        <w:rPr>
          <w:rFonts w:ascii="Cambria" w:hAnsi="Cambria"/>
          <w:noProof/>
          <w:sz w:val="22"/>
        </w:rPr>
        <w:t>(4), 851–872.</w:t>
      </w:r>
    </w:p>
    <w:p w14:paraId="04C65F8B"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Sa’Dijah, C., Afriyani, D., Subanji, Muksar, M., &amp; Anwar, L. (2018). Assessing students’ pseudo-mathematical translation using translation-verification model. </w:t>
      </w:r>
      <w:r w:rsidRPr="00EE4555">
        <w:rPr>
          <w:rFonts w:ascii="Cambria" w:hAnsi="Cambria"/>
          <w:i/>
          <w:iCs/>
          <w:noProof/>
          <w:sz w:val="22"/>
        </w:rPr>
        <w:t>AIP Conference Proceedings</w:t>
      </w:r>
      <w:r w:rsidRPr="00EE4555">
        <w:rPr>
          <w:rFonts w:ascii="Cambria" w:hAnsi="Cambria"/>
          <w:noProof/>
          <w:sz w:val="22"/>
        </w:rPr>
        <w:t xml:space="preserve">, </w:t>
      </w:r>
      <w:r w:rsidRPr="00EE4555">
        <w:rPr>
          <w:rFonts w:ascii="Cambria" w:hAnsi="Cambria"/>
          <w:i/>
          <w:iCs/>
          <w:noProof/>
          <w:sz w:val="22"/>
        </w:rPr>
        <w:t>2014</w:t>
      </w:r>
      <w:r w:rsidRPr="00EE4555">
        <w:rPr>
          <w:rFonts w:ascii="Cambria" w:hAnsi="Cambria"/>
          <w:noProof/>
          <w:sz w:val="22"/>
        </w:rPr>
        <w:t>. https://doi.org/10.1063/1.5054548</w:t>
      </w:r>
    </w:p>
    <w:p w14:paraId="494C07AD" w14:textId="77777777" w:rsidR="00EE4555" w:rsidRPr="00EE4555" w:rsidRDefault="00EE4555" w:rsidP="004E4BF2">
      <w:pPr>
        <w:widowControl w:val="0"/>
        <w:autoSpaceDE w:val="0"/>
        <w:autoSpaceDN w:val="0"/>
        <w:adjustRightInd w:val="0"/>
        <w:ind w:left="480" w:hanging="480"/>
        <w:jc w:val="both"/>
        <w:rPr>
          <w:rFonts w:ascii="Cambria" w:hAnsi="Cambria"/>
          <w:noProof/>
          <w:sz w:val="22"/>
        </w:rPr>
      </w:pPr>
      <w:r w:rsidRPr="00EE4555">
        <w:rPr>
          <w:rFonts w:ascii="Cambria" w:hAnsi="Cambria"/>
          <w:noProof/>
          <w:sz w:val="22"/>
        </w:rPr>
        <w:t xml:space="preserve">Wibawa, K. A., Payadnya, I. P. A. A., Atmaja, I. M. D., &amp; Simons, M. D. (2020). Defragmenting structures of students’ translational thinking in solving mathematical modeling problems based on CRA framework. </w:t>
      </w:r>
      <w:r w:rsidRPr="00EE4555">
        <w:rPr>
          <w:rFonts w:ascii="Cambria" w:hAnsi="Cambria"/>
          <w:i/>
          <w:iCs/>
          <w:noProof/>
          <w:sz w:val="22"/>
        </w:rPr>
        <w:t>Beta: Jurnal Tadris Matematika</w:t>
      </w:r>
      <w:r w:rsidRPr="00EE4555">
        <w:rPr>
          <w:rFonts w:ascii="Cambria" w:hAnsi="Cambria"/>
          <w:noProof/>
          <w:sz w:val="22"/>
        </w:rPr>
        <w:t xml:space="preserve">, </w:t>
      </w:r>
      <w:r w:rsidRPr="00EE4555">
        <w:rPr>
          <w:rFonts w:ascii="Cambria" w:hAnsi="Cambria"/>
          <w:i/>
          <w:iCs/>
          <w:noProof/>
          <w:sz w:val="22"/>
        </w:rPr>
        <w:t>13</w:t>
      </w:r>
      <w:r w:rsidRPr="00EE4555">
        <w:rPr>
          <w:rFonts w:ascii="Cambria" w:hAnsi="Cambria"/>
          <w:noProof/>
          <w:sz w:val="22"/>
        </w:rPr>
        <w:t>(2), 130–151. https://doi.org/10.20414/betajtm.v13i2.327</w:t>
      </w:r>
    </w:p>
    <w:p w14:paraId="438A966D" w14:textId="4715BF14" w:rsidR="00BB13C6" w:rsidRPr="003025B3" w:rsidRDefault="001B0AAE" w:rsidP="003025B3">
      <w:pPr>
        <w:pStyle w:val="IEEEParagraph"/>
        <w:ind w:firstLine="0"/>
        <w:rPr>
          <w:lang w:val="en-US"/>
        </w:rPr>
      </w:pPr>
      <w:r>
        <w:rPr>
          <w:lang w:val="en-US"/>
        </w:rPr>
        <w:fldChar w:fldCharType="end"/>
      </w:r>
      <w:bookmarkEnd w:id="0"/>
    </w:p>
    <w:sectPr w:rsidR="00BB13C6" w:rsidRPr="003025B3"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C387" w14:textId="77777777" w:rsidR="00A81344" w:rsidRDefault="00A81344" w:rsidP="00A1414F">
      <w:r>
        <w:separator/>
      </w:r>
    </w:p>
  </w:endnote>
  <w:endnote w:type="continuationSeparator" w:id="0">
    <w:p w14:paraId="50154CCB" w14:textId="77777777" w:rsidR="00A81344" w:rsidRDefault="00A8134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EndPr/>
    <w:sdtContent>
      <w:p w14:paraId="29291C00" w14:textId="77777777" w:rsidR="00427112" w:rsidRDefault="00427112" w:rsidP="00427112">
        <w:pPr>
          <w:pStyle w:val="Footer"/>
          <w:jc w:val="center"/>
        </w:pPr>
      </w:p>
      <w:p w14:paraId="2923E1CD" w14:textId="1DA1167D" w:rsidR="00F22C0B" w:rsidRDefault="00842B65" w:rsidP="00427112">
        <w:pPr>
          <w:pStyle w:val="Footer"/>
          <w:jc w:val="center"/>
        </w:pPr>
        <w:r>
          <w:fldChar w:fldCharType="begin"/>
        </w:r>
        <w:r>
          <w:instrText xml:space="preserve"> PAGE   \* MERGEFORMAT </w:instrText>
        </w:r>
        <w:r>
          <w:fldChar w:fldCharType="separate"/>
        </w:r>
        <w:r w:rsidR="0067299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6EDA1" w14:textId="77777777" w:rsidR="00A81344" w:rsidRDefault="00A81344" w:rsidP="00A1414F">
      <w:r>
        <w:separator/>
      </w:r>
    </w:p>
  </w:footnote>
  <w:footnote w:type="continuationSeparator" w:id="0">
    <w:p w14:paraId="6911B4BF" w14:textId="77777777" w:rsidR="00A81344" w:rsidRDefault="00A81344"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F259" w14:textId="29CEAB73" w:rsidR="0000069A" w:rsidRDefault="00515557"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67299C">
      <w:rPr>
        <w:rFonts w:ascii="Century Gothic" w:hAnsi="Century Gothic"/>
        <w:smallCaps/>
        <w:noProof/>
        <w:sz w:val="20"/>
        <w:szCs w:val="20"/>
        <w:lang w:val="id-ID"/>
      </w:rPr>
      <w:t>8</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63726A">
      <w:rPr>
        <w:rFonts w:ascii="Century Gothic" w:hAnsi="Century Gothic"/>
        <w:b/>
        <w:sz w:val="20"/>
        <w:szCs w:val="20"/>
      </w:rPr>
      <w:t>JTAM (</w:t>
    </w:r>
    <w:r w:rsidR="0063726A" w:rsidRPr="001903E1">
      <w:rPr>
        <w:rFonts w:ascii="Century Gothic" w:hAnsi="Century Gothic"/>
        <w:b/>
        <w:sz w:val="20"/>
        <w:szCs w:val="20"/>
      </w:rPr>
      <w:t>Jurnal Teori dan Aplikasi Matematika</w:t>
    </w:r>
    <w:r w:rsidR="0063726A">
      <w:rPr>
        <w:rFonts w:ascii="Century Gothic" w:hAnsi="Century Gothic"/>
        <w:b/>
        <w:sz w:val="20"/>
        <w:szCs w:val="20"/>
      </w:rPr>
      <w:t>)</w:t>
    </w:r>
    <w:r w:rsidR="0077568E" w:rsidRPr="001903E1">
      <w:rPr>
        <w:rFonts w:ascii="Century Gothic" w:hAnsi="Century Gothic"/>
        <w:b/>
        <w:sz w:val="20"/>
        <w:szCs w:val="20"/>
      </w:rPr>
      <w:t xml:space="preserve"> </w:t>
    </w:r>
    <w:r w:rsidR="0077568E">
      <w:rPr>
        <w:rFonts w:ascii="Century Gothic" w:hAnsi="Century Gothic"/>
        <w:b/>
        <w:sz w:val="20"/>
        <w:szCs w:val="20"/>
      </w:rPr>
      <w:t xml:space="preserve">| </w:t>
    </w:r>
    <w:r w:rsidR="00E20C19" w:rsidRPr="0077568E">
      <w:rPr>
        <w:rFonts w:ascii="Century Gothic" w:hAnsi="Century Gothic"/>
        <w:i/>
        <w:sz w:val="20"/>
        <w:szCs w:val="20"/>
        <w:lang w:val="id-ID"/>
      </w:rPr>
      <w:t>Vol.</w:t>
    </w:r>
    <w:r w:rsidR="00A12127"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No.</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X</w:t>
    </w:r>
    <w:r w:rsidR="00E20C19" w:rsidRPr="0077568E">
      <w:rPr>
        <w:rFonts w:ascii="Century Gothic" w:hAnsi="Century Gothic"/>
        <w:i/>
        <w:sz w:val="20"/>
        <w:szCs w:val="20"/>
        <w:lang w:val="id-ID"/>
      </w:rPr>
      <w:t xml:space="preserve">, </w:t>
    </w:r>
    <w:r w:rsidR="00707835" w:rsidRPr="0077568E">
      <w:rPr>
        <w:rFonts w:ascii="Century Gothic" w:hAnsi="Century Gothic"/>
        <w:i/>
        <w:sz w:val="20"/>
        <w:szCs w:val="20"/>
        <w:lang w:val="en-US"/>
      </w:rPr>
      <w:t>Month</w:t>
    </w:r>
    <w:r w:rsidR="00332EA4" w:rsidRPr="0077568E">
      <w:rPr>
        <w:rFonts w:ascii="Century Gothic" w:hAnsi="Century Gothic"/>
        <w:i/>
        <w:sz w:val="20"/>
        <w:szCs w:val="20"/>
        <w:lang w:val="en-US"/>
      </w:rPr>
      <w:t xml:space="preserve"> </w:t>
    </w:r>
    <w:r w:rsidR="00707835" w:rsidRPr="0077568E">
      <w:rPr>
        <w:rFonts w:ascii="Century Gothic" w:hAnsi="Century Gothic"/>
        <w:i/>
        <w:sz w:val="20"/>
        <w:szCs w:val="20"/>
        <w:lang w:val="en-US"/>
      </w:rPr>
      <w:t>20XX</w:t>
    </w:r>
    <w:r w:rsidR="0000069A" w:rsidRPr="0077568E">
      <w:rPr>
        <w:rFonts w:ascii="Century Gothic" w:hAnsi="Century Gothic"/>
        <w:i/>
        <w:sz w:val="20"/>
        <w:szCs w:val="20"/>
        <w:lang w:val="id-ID"/>
      </w:rPr>
      <w:t xml:space="preserve">, </w:t>
    </w:r>
    <w:r w:rsidR="009B0A53" w:rsidRPr="0077568E">
      <w:rPr>
        <w:rFonts w:ascii="Century Gothic" w:hAnsi="Century Gothic"/>
        <w:i/>
        <w:sz w:val="20"/>
        <w:szCs w:val="20"/>
        <w:lang w:val="en-US"/>
      </w:rPr>
      <w:t>pp.</w:t>
    </w:r>
    <w:r w:rsidR="0000069A" w:rsidRPr="0077568E">
      <w:rPr>
        <w:rFonts w:ascii="Century Gothic" w:hAnsi="Century Gothic"/>
        <w:i/>
        <w:sz w:val="20"/>
        <w:szCs w:val="20"/>
        <w:lang w:val="en-US"/>
      </w:rPr>
      <w:t xml:space="preserve"> </w:t>
    </w:r>
    <w:r w:rsidR="00A12127" w:rsidRPr="0077568E">
      <w:rPr>
        <w:rFonts w:ascii="Century Gothic" w:hAnsi="Century Gothic"/>
        <w:i/>
        <w:sz w:val="20"/>
        <w:szCs w:val="20"/>
        <w:lang w:val="en-US"/>
      </w:rPr>
      <w:t>XX-YY</w:t>
    </w:r>
    <w:r w:rsidR="008168FA" w:rsidRPr="0077568E">
      <w:rPr>
        <w:rFonts w:ascii="Century Gothic" w:hAnsi="Century Gothic"/>
        <w:i/>
        <w:sz w:val="20"/>
        <w:szCs w:val="20"/>
        <w:lang w:val="en-US"/>
      </w:rPr>
      <w:tab/>
    </w:r>
  </w:p>
  <w:p w14:paraId="4ECC0305" w14:textId="77777777" w:rsidR="00782C3F" w:rsidRPr="0077568E" w:rsidRDefault="00782C3F" w:rsidP="008168FA">
    <w:pPr>
      <w:pStyle w:val="Header"/>
      <w:tabs>
        <w:tab w:val="clear" w:pos="4680"/>
        <w:tab w:val="clear" w:pos="9360"/>
        <w:tab w:val="center" w:pos="5102"/>
      </w:tabs>
      <w:rPr>
        <w:rFonts w:ascii="Century Gothic" w:hAnsi="Century Gothic"/>
        <w:i/>
        <w:sz w:val="20"/>
        <w:szCs w:val="20"/>
        <w:lang w:val="en-US"/>
      </w:rPr>
    </w:pPr>
  </w:p>
  <w:p w14:paraId="039CA39F" w14:textId="77777777" w:rsidR="008168FA" w:rsidRPr="00427112" w:rsidRDefault="008168FA"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4FCD" w14:textId="61B9460A"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8F4BD0">
      <w:rPr>
        <w:i/>
        <w:sz w:val="20"/>
        <w:szCs w:val="20"/>
        <w:lang w:val="en-US"/>
      </w:rPr>
      <w:t>Parhaini Andriani</w:t>
    </w:r>
    <w:r w:rsidRPr="001A1D29">
      <w:rPr>
        <w:i/>
        <w:sz w:val="20"/>
        <w:szCs w:val="20"/>
        <w:lang w:val="id-ID"/>
      </w:rPr>
      <w:t xml:space="preserve">, </w:t>
    </w:r>
    <w:r w:rsidR="008F4BD0" w:rsidRPr="008F4BD0">
      <w:rPr>
        <w:rStyle w:val="shorttext"/>
        <w:bCs/>
        <w:i/>
        <w:iCs/>
        <w:sz w:val="20"/>
        <w:szCs w:val="20"/>
        <w:shd w:val="clear" w:color="auto" w:fill="FFFFFF"/>
        <w:lang w:val="en-US"/>
      </w:rPr>
      <w:t>A framework for assessing translation</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67299C">
      <w:rPr>
        <w:noProof/>
        <w:sz w:val="20"/>
        <w:szCs w:val="20"/>
      </w:rPr>
      <w:t>9</w:t>
    </w:r>
    <w:r w:rsidR="00842B65" w:rsidRPr="001A1D29">
      <w:rPr>
        <w:noProof/>
        <w:sz w:val="20"/>
        <w:szCs w:val="20"/>
      </w:rPr>
      <w:fldChar w:fldCharType="end"/>
    </w:r>
  </w:p>
  <w:p w14:paraId="0ED96B9A" w14:textId="77777777" w:rsidR="00782C3F" w:rsidRDefault="00782C3F" w:rsidP="00E20C19">
    <w:pPr>
      <w:pStyle w:val="Header"/>
      <w:jc w:val="right"/>
      <w:rPr>
        <w:noProof/>
        <w:sz w:val="20"/>
        <w:szCs w:val="20"/>
      </w:rPr>
    </w:pPr>
  </w:p>
  <w:p w14:paraId="4601BDCC"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018F" w14:textId="77777777" w:rsidR="00BF4618" w:rsidRPr="008168FA" w:rsidRDefault="006B6846"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7A439F44" wp14:editId="0F41EBBE">
              <wp:simplePos x="0" y="0"/>
              <wp:positionH relativeFrom="column">
                <wp:posOffset>637540</wp:posOffset>
              </wp:positionH>
              <wp:positionV relativeFrom="paragraph">
                <wp:posOffset>-43180</wp:posOffset>
              </wp:positionV>
              <wp:extent cx="2793365" cy="751205"/>
              <wp:effectExtent l="0" t="0" r="26035" b="107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064AECF7"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03717409" w14:textId="77777777" w:rsidR="008168FA" w:rsidRDefault="00A81344" w:rsidP="008168FA">
                          <w:pPr>
                            <w:jc w:val="both"/>
                            <w:rPr>
                              <w:rFonts w:ascii="Century" w:hAnsi="Century"/>
                              <w:sz w:val="20"/>
                            </w:rPr>
                          </w:pPr>
                          <w:hyperlink r:id="rId1" w:history="1">
                            <w:r w:rsidR="008168FA" w:rsidRPr="008118E5">
                              <w:rPr>
                                <w:rStyle w:val="Hyperlink"/>
                                <w:rFonts w:ascii="Century" w:hAnsi="Century"/>
                                <w:sz w:val="20"/>
                              </w:rPr>
                              <w:t>http://journal.ummat.ac.id/index.php/jtam</w:t>
                            </w:r>
                          </w:hyperlink>
                        </w:p>
                        <w:p w14:paraId="327D2881" w14:textId="77777777" w:rsidR="008168FA" w:rsidRPr="008118E5" w:rsidRDefault="008168FA" w:rsidP="008168FA">
                          <w:pPr>
                            <w:jc w:val="both"/>
                            <w:rPr>
                              <w:rFonts w:ascii="Century" w:hAnsi="Century"/>
                              <w:sz w:val="2"/>
                              <w:szCs w:val="16"/>
                            </w:rPr>
                          </w:pPr>
                        </w:p>
                        <w:p w14:paraId="0687AF4A"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1E5C55DE"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39F44"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" strokecolor="white [3212]" strokeweight="0">
              <v:fill opacity="0"/>
              <v:textbox>
                <w:txbxContent>
                  <w:p w14:paraId="064AECF7" w14:textId="77777777" w:rsidR="008168FA" w:rsidRPr="008118E5" w:rsidRDefault="0063726A"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03717409" w14:textId="77777777" w:rsidR="008168FA" w:rsidRDefault="00A81344" w:rsidP="008168FA">
                    <w:pPr>
                      <w:jc w:val="both"/>
                      <w:rPr>
                        <w:rFonts w:ascii="Century" w:hAnsi="Century"/>
                        <w:sz w:val="20"/>
                      </w:rPr>
                    </w:pPr>
                    <w:hyperlink r:id="rId2" w:history="1">
                      <w:r w:rsidR="008168FA" w:rsidRPr="008118E5">
                        <w:rPr>
                          <w:rStyle w:val="Hyperlink"/>
                          <w:rFonts w:ascii="Century" w:hAnsi="Century"/>
                          <w:sz w:val="20"/>
                        </w:rPr>
                        <w:t>http://journal.ummat.ac.id/index.php/jtam</w:t>
                      </w:r>
                    </w:hyperlink>
                  </w:p>
                  <w:p w14:paraId="327D2881" w14:textId="77777777" w:rsidR="008168FA" w:rsidRPr="008118E5" w:rsidRDefault="008168FA" w:rsidP="008168FA">
                    <w:pPr>
                      <w:jc w:val="both"/>
                      <w:rPr>
                        <w:rFonts w:ascii="Century" w:hAnsi="Century"/>
                        <w:sz w:val="2"/>
                        <w:szCs w:val="16"/>
                      </w:rPr>
                    </w:pPr>
                  </w:p>
                  <w:p w14:paraId="0687AF4A" w14:textId="77777777" w:rsidR="008168FA" w:rsidRPr="008118E5" w:rsidRDefault="008168FA"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1E5C55DE" w14:textId="77777777" w:rsidR="008168FA" w:rsidRDefault="008168FA"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w:t>
                    </w:r>
                    <w:r w:rsidR="00A06680">
                      <w:rPr>
                        <w:rFonts w:ascii="Century Gothic" w:hAnsi="Century Gothic"/>
                        <w:sz w:val="18"/>
                        <w:szCs w:val="16"/>
                      </w:rPr>
                      <w:t>X</w:t>
                    </w:r>
                    <w:r w:rsidRPr="008118E5">
                      <w:rPr>
                        <w:rFonts w:ascii="Century Gothic" w:hAnsi="Century Gothic"/>
                        <w:sz w:val="18"/>
                        <w:szCs w:val="16"/>
                      </w:rPr>
                      <w:t>, No.</w:t>
                    </w:r>
                    <w:r>
                      <w:rPr>
                        <w:rFonts w:ascii="Century Gothic" w:hAnsi="Century Gothic"/>
                        <w:sz w:val="18"/>
                        <w:szCs w:val="16"/>
                      </w:rPr>
                      <w:t xml:space="preserve"> </w:t>
                    </w:r>
                    <w:r w:rsidR="00A06680">
                      <w:rPr>
                        <w:rFonts w:ascii="Century Gothic" w:hAnsi="Century Gothic"/>
                        <w:sz w:val="18"/>
                        <w:szCs w:val="16"/>
                      </w:rPr>
                      <w:t>Y</w:t>
                    </w:r>
                    <w:r w:rsidRPr="008118E5">
                      <w:rPr>
                        <w:rFonts w:ascii="Century Gothic" w:hAnsi="Century Gothic"/>
                        <w:sz w:val="18"/>
                        <w:szCs w:val="16"/>
                      </w:rPr>
                      <w:t xml:space="preserve">, </w:t>
                    </w:r>
                    <w:r w:rsidR="00A06680">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sidR="00BA655F">
      <w:rPr>
        <w:noProof/>
        <w:lang w:val="en-US" w:eastAsia="en-US"/>
      </w:rPr>
      <w:drawing>
        <wp:inline distT="0" distB="0" distL="0" distR="0" wp14:anchorId="6EFD8B32" wp14:editId="0FD1FFB1">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573257"/>
    <w:multiLevelType w:val="hybridMultilevel"/>
    <w:tmpl w:val="00447084"/>
    <w:lvl w:ilvl="0" w:tplc="EEEEC7F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1"/>
  </w:num>
  <w:num w:numId="9">
    <w:abstractNumId w:val="11"/>
  </w:num>
  <w:num w:numId="10">
    <w:abstractNumId w:val="2"/>
  </w:num>
  <w:num w:numId="11">
    <w:abstractNumId w:val="4"/>
  </w:num>
  <w:num w:numId="12">
    <w:abstractNumId w:val="8"/>
    <w:lvlOverride w:ilvl="0">
      <w:startOverride w:val="1"/>
    </w:lvlOverride>
  </w:num>
  <w:num w:numId="13">
    <w:abstractNumId w:val="0"/>
  </w:num>
  <w:num w:numId="14">
    <w:abstractNumId w:val="9"/>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069A"/>
    <w:rsid w:val="00002AE5"/>
    <w:rsid w:val="000069C7"/>
    <w:rsid w:val="00010EDF"/>
    <w:rsid w:val="00017719"/>
    <w:rsid w:val="00020A6F"/>
    <w:rsid w:val="000227C5"/>
    <w:rsid w:val="00026B88"/>
    <w:rsid w:val="00027F1D"/>
    <w:rsid w:val="0003296C"/>
    <w:rsid w:val="00033553"/>
    <w:rsid w:val="00034453"/>
    <w:rsid w:val="0004578F"/>
    <w:rsid w:val="00053070"/>
    <w:rsid w:val="00053481"/>
    <w:rsid w:val="00054421"/>
    <w:rsid w:val="000565A5"/>
    <w:rsid w:val="00056CE7"/>
    <w:rsid w:val="00062122"/>
    <w:rsid w:val="00062E46"/>
    <w:rsid w:val="000631D1"/>
    <w:rsid w:val="00066CB7"/>
    <w:rsid w:val="0006703C"/>
    <w:rsid w:val="0006726C"/>
    <w:rsid w:val="000731FC"/>
    <w:rsid w:val="00074AC8"/>
    <w:rsid w:val="00077609"/>
    <w:rsid w:val="00080B48"/>
    <w:rsid w:val="00081408"/>
    <w:rsid w:val="00081DF9"/>
    <w:rsid w:val="00081EBE"/>
    <w:rsid w:val="00082A45"/>
    <w:rsid w:val="00085191"/>
    <w:rsid w:val="0008577D"/>
    <w:rsid w:val="00086EDC"/>
    <w:rsid w:val="00093581"/>
    <w:rsid w:val="000A6695"/>
    <w:rsid w:val="000B36A3"/>
    <w:rsid w:val="000B4A2C"/>
    <w:rsid w:val="000C013C"/>
    <w:rsid w:val="000C1272"/>
    <w:rsid w:val="000D2D1A"/>
    <w:rsid w:val="000D4841"/>
    <w:rsid w:val="000D67E4"/>
    <w:rsid w:val="000E3F84"/>
    <w:rsid w:val="000E478F"/>
    <w:rsid w:val="000E4F95"/>
    <w:rsid w:val="00103C8B"/>
    <w:rsid w:val="00103E04"/>
    <w:rsid w:val="00104C9F"/>
    <w:rsid w:val="001056DF"/>
    <w:rsid w:val="00114025"/>
    <w:rsid w:val="00115691"/>
    <w:rsid w:val="001160D2"/>
    <w:rsid w:val="00117E96"/>
    <w:rsid w:val="001218D3"/>
    <w:rsid w:val="001244AA"/>
    <w:rsid w:val="00125158"/>
    <w:rsid w:val="00131344"/>
    <w:rsid w:val="001348A5"/>
    <w:rsid w:val="0013730E"/>
    <w:rsid w:val="00140C4C"/>
    <w:rsid w:val="00140FB9"/>
    <w:rsid w:val="00146992"/>
    <w:rsid w:val="0015135B"/>
    <w:rsid w:val="00151B8E"/>
    <w:rsid w:val="00153C49"/>
    <w:rsid w:val="00162D04"/>
    <w:rsid w:val="00167438"/>
    <w:rsid w:val="00172227"/>
    <w:rsid w:val="001746D9"/>
    <w:rsid w:val="001747C8"/>
    <w:rsid w:val="0017603B"/>
    <w:rsid w:val="00177ADC"/>
    <w:rsid w:val="00182CE2"/>
    <w:rsid w:val="00192800"/>
    <w:rsid w:val="001928FB"/>
    <w:rsid w:val="00192BC7"/>
    <w:rsid w:val="00197990"/>
    <w:rsid w:val="001A1D29"/>
    <w:rsid w:val="001A50EA"/>
    <w:rsid w:val="001A6E68"/>
    <w:rsid w:val="001B0AAE"/>
    <w:rsid w:val="001B24AB"/>
    <w:rsid w:val="001B52EF"/>
    <w:rsid w:val="001C0608"/>
    <w:rsid w:val="001D04EB"/>
    <w:rsid w:val="001D34BD"/>
    <w:rsid w:val="001E7460"/>
    <w:rsid w:val="001E78A8"/>
    <w:rsid w:val="001F16CD"/>
    <w:rsid w:val="001F47D2"/>
    <w:rsid w:val="00201427"/>
    <w:rsid w:val="00202141"/>
    <w:rsid w:val="002202B7"/>
    <w:rsid w:val="00221FD9"/>
    <w:rsid w:val="0022285A"/>
    <w:rsid w:val="00224C61"/>
    <w:rsid w:val="00226AB3"/>
    <w:rsid w:val="002304B8"/>
    <w:rsid w:val="00230E61"/>
    <w:rsid w:val="0025798B"/>
    <w:rsid w:val="0026094F"/>
    <w:rsid w:val="00271242"/>
    <w:rsid w:val="002718C7"/>
    <w:rsid w:val="0027227B"/>
    <w:rsid w:val="0027288E"/>
    <w:rsid w:val="00273AC7"/>
    <w:rsid w:val="00273D2C"/>
    <w:rsid w:val="00275BFA"/>
    <w:rsid w:val="00276BE6"/>
    <w:rsid w:val="00285ECD"/>
    <w:rsid w:val="0028667D"/>
    <w:rsid w:val="00290E1B"/>
    <w:rsid w:val="00291B17"/>
    <w:rsid w:val="00292EFC"/>
    <w:rsid w:val="00292F67"/>
    <w:rsid w:val="002A2FD6"/>
    <w:rsid w:val="002A3AB3"/>
    <w:rsid w:val="002A6742"/>
    <w:rsid w:val="002A73DB"/>
    <w:rsid w:val="002B09BC"/>
    <w:rsid w:val="002C1A7F"/>
    <w:rsid w:val="002C270E"/>
    <w:rsid w:val="002C4239"/>
    <w:rsid w:val="002C559D"/>
    <w:rsid w:val="002C67F8"/>
    <w:rsid w:val="002C7A21"/>
    <w:rsid w:val="002D1679"/>
    <w:rsid w:val="002D2D42"/>
    <w:rsid w:val="002D3DAA"/>
    <w:rsid w:val="002D68C9"/>
    <w:rsid w:val="002D7E4D"/>
    <w:rsid w:val="002F1487"/>
    <w:rsid w:val="002F15EA"/>
    <w:rsid w:val="002F72D0"/>
    <w:rsid w:val="003003AB"/>
    <w:rsid w:val="003025B3"/>
    <w:rsid w:val="00303687"/>
    <w:rsid w:val="00303AFA"/>
    <w:rsid w:val="00310DCB"/>
    <w:rsid w:val="00311C49"/>
    <w:rsid w:val="0031279E"/>
    <w:rsid w:val="0032119E"/>
    <w:rsid w:val="00321304"/>
    <w:rsid w:val="0032542A"/>
    <w:rsid w:val="003303CD"/>
    <w:rsid w:val="00331F84"/>
    <w:rsid w:val="0033292E"/>
    <w:rsid w:val="00332EA4"/>
    <w:rsid w:val="003366F9"/>
    <w:rsid w:val="00337C4E"/>
    <w:rsid w:val="00350E0D"/>
    <w:rsid w:val="00353F69"/>
    <w:rsid w:val="00355B72"/>
    <w:rsid w:val="00360589"/>
    <w:rsid w:val="00360C6A"/>
    <w:rsid w:val="00360D09"/>
    <w:rsid w:val="00366B29"/>
    <w:rsid w:val="00370B10"/>
    <w:rsid w:val="003717D0"/>
    <w:rsid w:val="00380541"/>
    <w:rsid w:val="00382E62"/>
    <w:rsid w:val="00384FAF"/>
    <w:rsid w:val="00394DC4"/>
    <w:rsid w:val="003950A4"/>
    <w:rsid w:val="00397E48"/>
    <w:rsid w:val="003A33A8"/>
    <w:rsid w:val="003B6BD3"/>
    <w:rsid w:val="003C2005"/>
    <w:rsid w:val="003C3E37"/>
    <w:rsid w:val="003C7209"/>
    <w:rsid w:val="003D138F"/>
    <w:rsid w:val="003D3E2E"/>
    <w:rsid w:val="003D4C64"/>
    <w:rsid w:val="003D74B8"/>
    <w:rsid w:val="003D7C81"/>
    <w:rsid w:val="003E3577"/>
    <w:rsid w:val="003E69F5"/>
    <w:rsid w:val="003F3A61"/>
    <w:rsid w:val="003F5AA8"/>
    <w:rsid w:val="00400769"/>
    <w:rsid w:val="00400DC7"/>
    <w:rsid w:val="00403498"/>
    <w:rsid w:val="00410A5D"/>
    <w:rsid w:val="00414909"/>
    <w:rsid w:val="00416172"/>
    <w:rsid w:val="004202C3"/>
    <w:rsid w:val="004211FE"/>
    <w:rsid w:val="004216B1"/>
    <w:rsid w:val="00421AB9"/>
    <w:rsid w:val="00425A6A"/>
    <w:rsid w:val="00426FBB"/>
    <w:rsid w:val="00427112"/>
    <w:rsid w:val="004334D5"/>
    <w:rsid w:val="004337B8"/>
    <w:rsid w:val="00437CE1"/>
    <w:rsid w:val="00437E30"/>
    <w:rsid w:val="00437E48"/>
    <w:rsid w:val="0044773F"/>
    <w:rsid w:val="00451411"/>
    <w:rsid w:val="00452C38"/>
    <w:rsid w:val="00457195"/>
    <w:rsid w:val="0046428B"/>
    <w:rsid w:val="00471085"/>
    <w:rsid w:val="0047429A"/>
    <w:rsid w:val="004772BF"/>
    <w:rsid w:val="004778A8"/>
    <w:rsid w:val="0048374C"/>
    <w:rsid w:val="0048612F"/>
    <w:rsid w:val="0048707A"/>
    <w:rsid w:val="0048771D"/>
    <w:rsid w:val="004A1511"/>
    <w:rsid w:val="004A508E"/>
    <w:rsid w:val="004A6605"/>
    <w:rsid w:val="004B0D0E"/>
    <w:rsid w:val="004B0DB7"/>
    <w:rsid w:val="004B28B0"/>
    <w:rsid w:val="004B519F"/>
    <w:rsid w:val="004B5BFE"/>
    <w:rsid w:val="004B7F34"/>
    <w:rsid w:val="004C4227"/>
    <w:rsid w:val="004C45FA"/>
    <w:rsid w:val="004C4D2E"/>
    <w:rsid w:val="004D395E"/>
    <w:rsid w:val="004D6A8C"/>
    <w:rsid w:val="004D6B4B"/>
    <w:rsid w:val="004D6BC3"/>
    <w:rsid w:val="004D7355"/>
    <w:rsid w:val="004E1BD8"/>
    <w:rsid w:val="004E452A"/>
    <w:rsid w:val="004E4BF2"/>
    <w:rsid w:val="004E4FE6"/>
    <w:rsid w:val="004E78E3"/>
    <w:rsid w:val="004F5EA9"/>
    <w:rsid w:val="004F681F"/>
    <w:rsid w:val="004F79D6"/>
    <w:rsid w:val="005004BF"/>
    <w:rsid w:val="00502E89"/>
    <w:rsid w:val="00504748"/>
    <w:rsid w:val="00505FE2"/>
    <w:rsid w:val="0051095A"/>
    <w:rsid w:val="00510E95"/>
    <w:rsid w:val="0051451F"/>
    <w:rsid w:val="00515557"/>
    <w:rsid w:val="00521ED0"/>
    <w:rsid w:val="00522D23"/>
    <w:rsid w:val="00524694"/>
    <w:rsid w:val="00525A2E"/>
    <w:rsid w:val="00526DAD"/>
    <w:rsid w:val="00527D56"/>
    <w:rsid w:val="0053012F"/>
    <w:rsid w:val="00530A0F"/>
    <w:rsid w:val="0053221F"/>
    <w:rsid w:val="00536FAE"/>
    <w:rsid w:val="0054252A"/>
    <w:rsid w:val="00542C85"/>
    <w:rsid w:val="00553510"/>
    <w:rsid w:val="00554186"/>
    <w:rsid w:val="0055709F"/>
    <w:rsid w:val="005628CD"/>
    <w:rsid w:val="00564397"/>
    <w:rsid w:val="0056697B"/>
    <w:rsid w:val="005818EA"/>
    <w:rsid w:val="00585769"/>
    <w:rsid w:val="00591130"/>
    <w:rsid w:val="00591DB6"/>
    <w:rsid w:val="0059482B"/>
    <w:rsid w:val="005A3F28"/>
    <w:rsid w:val="005A40BE"/>
    <w:rsid w:val="005A7F4E"/>
    <w:rsid w:val="005B13E2"/>
    <w:rsid w:val="005B3934"/>
    <w:rsid w:val="005B47D7"/>
    <w:rsid w:val="005B7552"/>
    <w:rsid w:val="005C1094"/>
    <w:rsid w:val="005C24CE"/>
    <w:rsid w:val="005C4BA9"/>
    <w:rsid w:val="005C5526"/>
    <w:rsid w:val="005C62C6"/>
    <w:rsid w:val="005D21E9"/>
    <w:rsid w:val="005D7B9E"/>
    <w:rsid w:val="005E74C0"/>
    <w:rsid w:val="005F0834"/>
    <w:rsid w:val="005F2FC0"/>
    <w:rsid w:val="005F4A93"/>
    <w:rsid w:val="005F6DC3"/>
    <w:rsid w:val="006017FD"/>
    <w:rsid w:val="00601A8E"/>
    <w:rsid w:val="00602488"/>
    <w:rsid w:val="006079BE"/>
    <w:rsid w:val="00610A63"/>
    <w:rsid w:val="0062033E"/>
    <w:rsid w:val="00624289"/>
    <w:rsid w:val="00624482"/>
    <w:rsid w:val="00630921"/>
    <w:rsid w:val="006321D9"/>
    <w:rsid w:val="00633178"/>
    <w:rsid w:val="006343E3"/>
    <w:rsid w:val="0063726A"/>
    <w:rsid w:val="006411AE"/>
    <w:rsid w:val="00643796"/>
    <w:rsid w:val="0064799C"/>
    <w:rsid w:val="00650010"/>
    <w:rsid w:val="00654156"/>
    <w:rsid w:val="00657AE5"/>
    <w:rsid w:val="00661069"/>
    <w:rsid w:val="00666AA3"/>
    <w:rsid w:val="0067299C"/>
    <w:rsid w:val="00683A5B"/>
    <w:rsid w:val="00694D34"/>
    <w:rsid w:val="00695864"/>
    <w:rsid w:val="0069647A"/>
    <w:rsid w:val="006977E6"/>
    <w:rsid w:val="006A3AE1"/>
    <w:rsid w:val="006A4145"/>
    <w:rsid w:val="006A6B60"/>
    <w:rsid w:val="006B09B8"/>
    <w:rsid w:val="006B12D4"/>
    <w:rsid w:val="006B47CA"/>
    <w:rsid w:val="006B6846"/>
    <w:rsid w:val="006C7AAA"/>
    <w:rsid w:val="006D1C2A"/>
    <w:rsid w:val="006D22BB"/>
    <w:rsid w:val="006D264F"/>
    <w:rsid w:val="006D3F45"/>
    <w:rsid w:val="006D5659"/>
    <w:rsid w:val="006E2A8D"/>
    <w:rsid w:val="006E35C8"/>
    <w:rsid w:val="006E4AB3"/>
    <w:rsid w:val="006E6B57"/>
    <w:rsid w:val="006E7574"/>
    <w:rsid w:val="006E7D21"/>
    <w:rsid w:val="006F4323"/>
    <w:rsid w:val="00701D28"/>
    <w:rsid w:val="00703430"/>
    <w:rsid w:val="007069BE"/>
    <w:rsid w:val="00707835"/>
    <w:rsid w:val="00711BD2"/>
    <w:rsid w:val="00711FEB"/>
    <w:rsid w:val="00721E2E"/>
    <w:rsid w:val="007227F5"/>
    <w:rsid w:val="00722BB1"/>
    <w:rsid w:val="00723DFD"/>
    <w:rsid w:val="00724B17"/>
    <w:rsid w:val="0072566E"/>
    <w:rsid w:val="00730372"/>
    <w:rsid w:val="00733156"/>
    <w:rsid w:val="0073347B"/>
    <w:rsid w:val="00733E74"/>
    <w:rsid w:val="00734FE8"/>
    <w:rsid w:val="00735641"/>
    <w:rsid w:val="0074085C"/>
    <w:rsid w:val="00745C86"/>
    <w:rsid w:val="00746B1B"/>
    <w:rsid w:val="00763FE2"/>
    <w:rsid w:val="00764603"/>
    <w:rsid w:val="0076604D"/>
    <w:rsid w:val="00766B59"/>
    <w:rsid w:val="0077568E"/>
    <w:rsid w:val="00780671"/>
    <w:rsid w:val="00781DBA"/>
    <w:rsid w:val="00782C3F"/>
    <w:rsid w:val="00784428"/>
    <w:rsid w:val="007855B5"/>
    <w:rsid w:val="0078621C"/>
    <w:rsid w:val="00790909"/>
    <w:rsid w:val="0079301B"/>
    <w:rsid w:val="007A77C6"/>
    <w:rsid w:val="007B34E6"/>
    <w:rsid w:val="007B5A07"/>
    <w:rsid w:val="007B668E"/>
    <w:rsid w:val="007C7D51"/>
    <w:rsid w:val="007D3E71"/>
    <w:rsid w:val="007D44B3"/>
    <w:rsid w:val="007E132A"/>
    <w:rsid w:val="007E34AA"/>
    <w:rsid w:val="007E5D6A"/>
    <w:rsid w:val="007E645D"/>
    <w:rsid w:val="007E681F"/>
    <w:rsid w:val="007F15DD"/>
    <w:rsid w:val="007F61F7"/>
    <w:rsid w:val="007F7260"/>
    <w:rsid w:val="007F75CA"/>
    <w:rsid w:val="00815DBA"/>
    <w:rsid w:val="008168FA"/>
    <w:rsid w:val="00816EA9"/>
    <w:rsid w:val="00820A91"/>
    <w:rsid w:val="00821E08"/>
    <w:rsid w:val="008230F3"/>
    <w:rsid w:val="00825A13"/>
    <w:rsid w:val="00834154"/>
    <w:rsid w:val="00834EFD"/>
    <w:rsid w:val="00841914"/>
    <w:rsid w:val="00842567"/>
    <w:rsid w:val="00842B65"/>
    <w:rsid w:val="00844B24"/>
    <w:rsid w:val="00844FAE"/>
    <w:rsid w:val="0084515F"/>
    <w:rsid w:val="0085092D"/>
    <w:rsid w:val="008617FD"/>
    <w:rsid w:val="00865FB3"/>
    <w:rsid w:val="00873013"/>
    <w:rsid w:val="008746C3"/>
    <w:rsid w:val="008757E0"/>
    <w:rsid w:val="00877D4C"/>
    <w:rsid w:val="008907E3"/>
    <w:rsid w:val="0089763B"/>
    <w:rsid w:val="008A0B0A"/>
    <w:rsid w:val="008A1519"/>
    <w:rsid w:val="008A2479"/>
    <w:rsid w:val="008B114A"/>
    <w:rsid w:val="008B6295"/>
    <w:rsid w:val="008B6AE3"/>
    <w:rsid w:val="008C4880"/>
    <w:rsid w:val="008D1045"/>
    <w:rsid w:val="008D2D49"/>
    <w:rsid w:val="008E0EBD"/>
    <w:rsid w:val="008E2316"/>
    <w:rsid w:val="008E5277"/>
    <w:rsid w:val="008E5996"/>
    <w:rsid w:val="008F09CF"/>
    <w:rsid w:val="008F1272"/>
    <w:rsid w:val="008F4BD0"/>
    <w:rsid w:val="008F4C7E"/>
    <w:rsid w:val="00901AE1"/>
    <w:rsid w:val="00901EFD"/>
    <w:rsid w:val="00904754"/>
    <w:rsid w:val="00905356"/>
    <w:rsid w:val="0091185F"/>
    <w:rsid w:val="00914E29"/>
    <w:rsid w:val="009205B4"/>
    <w:rsid w:val="009223D5"/>
    <w:rsid w:val="00922923"/>
    <w:rsid w:val="00923029"/>
    <w:rsid w:val="00932F60"/>
    <w:rsid w:val="00936A33"/>
    <w:rsid w:val="00937F31"/>
    <w:rsid w:val="009408BA"/>
    <w:rsid w:val="00946DC6"/>
    <w:rsid w:val="009507C0"/>
    <w:rsid w:val="009523CE"/>
    <w:rsid w:val="009537A7"/>
    <w:rsid w:val="00954DB5"/>
    <w:rsid w:val="009550E8"/>
    <w:rsid w:val="00955B59"/>
    <w:rsid w:val="009570BE"/>
    <w:rsid w:val="00962C93"/>
    <w:rsid w:val="00962FAF"/>
    <w:rsid w:val="00964109"/>
    <w:rsid w:val="009671E5"/>
    <w:rsid w:val="00971BB3"/>
    <w:rsid w:val="00971EBF"/>
    <w:rsid w:val="00976A2A"/>
    <w:rsid w:val="00977D12"/>
    <w:rsid w:val="00985DB4"/>
    <w:rsid w:val="00991EED"/>
    <w:rsid w:val="00992262"/>
    <w:rsid w:val="009926BC"/>
    <w:rsid w:val="00993520"/>
    <w:rsid w:val="00993DEB"/>
    <w:rsid w:val="00997F50"/>
    <w:rsid w:val="009A0332"/>
    <w:rsid w:val="009A09C7"/>
    <w:rsid w:val="009A4319"/>
    <w:rsid w:val="009A6C3F"/>
    <w:rsid w:val="009A6E9C"/>
    <w:rsid w:val="009B0A53"/>
    <w:rsid w:val="009B31D3"/>
    <w:rsid w:val="009B73F2"/>
    <w:rsid w:val="009C12BD"/>
    <w:rsid w:val="009C30E3"/>
    <w:rsid w:val="009C3AC0"/>
    <w:rsid w:val="009C50FE"/>
    <w:rsid w:val="009C7110"/>
    <w:rsid w:val="009D2660"/>
    <w:rsid w:val="009D34EA"/>
    <w:rsid w:val="009D3C51"/>
    <w:rsid w:val="009E03DF"/>
    <w:rsid w:val="00A03A12"/>
    <w:rsid w:val="00A03E75"/>
    <w:rsid w:val="00A04DC8"/>
    <w:rsid w:val="00A06680"/>
    <w:rsid w:val="00A11080"/>
    <w:rsid w:val="00A117D6"/>
    <w:rsid w:val="00A12127"/>
    <w:rsid w:val="00A1414F"/>
    <w:rsid w:val="00A20D66"/>
    <w:rsid w:val="00A22FE0"/>
    <w:rsid w:val="00A37654"/>
    <w:rsid w:val="00A423CD"/>
    <w:rsid w:val="00A4337B"/>
    <w:rsid w:val="00A45FCE"/>
    <w:rsid w:val="00A55742"/>
    <w:rsid w:val="00A64A36"/>
    <w:rsid w:val="00A64AE4"/>
    <w:rsid w:val="00A7266B"/>
    <w:rsid w:val="00A75671"/>
    <w:rsid w:val="00A773CC"/>
    <w:rsid w:val="00A81344"/>
    <w:rsid w:val="00A825BB"/>
    <w:rsid w:val="00A87305"/>
    <w:rsid w:val="00A87858"/>
    <w:rsid w:val="00A9318B"/>
    <w:rsid w:val="00A94AC1"/>
    <w:rsid w:val="00A95B87"/>
    <w:rsid w:val="00A9735F"/>
    <w:rsid w:val="00AA5A8D"/>
    <w:rsid w:val="00AB18B7"/>
    <w:rsid w:val="00AB2575"/>
    <w:rsid w:val="00AB62E6"/>
    <w:rsid w:val="00AB77EB"/>
    <w:rsid w:val="00AC157F"/>
    <w:rsid w:val="00AD2BAB"/>
    <w:rsid w:val="00AD335D"/>
    <w:rsid w:val="00AD39CE"/>
    <w:rsid w:val="00AD3C84"/>
    <w:rsid w:val="00AE0578"/>
    <w:rsid w:val="00AE1477"/>
    <w:rsid w:val="00AE65D3"/>
    <w:rsid w:val="00AE6A97"/>
    <w:rsid w:val="00AF200C"/>
    <w:rsid w:val="00AF792B"/>
    <w:rsid w:val="00B00190"/>
    <w:rsid w:val="00B0294E"/>
    <w:rsid w:val="00B07206"/>
    <w:rsid w:val="00B10F2B"/>
    <w:rsid w:val="00B23EE2"/>
    <w:rsid w:val="00B24C52"/>
    <w:rsid w:val="00B273AC"/>
    <w:rsid w:val="00B333DE"/>
    <w:rsid w:val="00B3521D"/>
    <w:rsid w:val="00B36084"/>
    <w:rsid w:val="00B55D34"/>
    <w:rsid w:val="00B55D5E"/>
    <w:rsid w:val="00B56B16"/>
    <w:rsid w:val="00B652D5"/>
    <w:rsid w:val="00B65CC8"/>
    <w:rsid w:val="00B67D37"/>
    <w:rsid w:val="00B71776"/>
    <w:rsid w:val="00B717BA"/>
    <w:rsid w:val="00B729B6"/>
    <w:rsid w:val="00B735B0"/>
    <w:rsid w:val="00B75787"/>
    <w:rsid w:val="00B81E91"/>
    <w:rsid w:val="00B867D4"/>
    <w:rsid w:val="00B91814"/>
    <w:rsid w:val="00B92B81"/>
    <w:rsid w:val="00B94516"/>
    <w:rsid w:val="00B94C49"/>
    <w:rsid w:val="00BA183C"/>
    <w:rsid w:val="00BA655F"/>
    <w:rsid w:val="00BA665D"/>
    <w:rsid w:val="00BA7955"/>
    <w:rsid w:val="00BB13C6"/>
    <w:rsid w:val="00BB2855"/>
    <w:rsid w:val="00BB2E14"/>
    <w:rsid w:val="00BB3407"/>
    <w:rsid w:val="00BB55D0"/>
    <w:rsid w:val="00BB738A"/>
    <w:rsid w:val="00BB73DF"/>
    <w:rsid w:val="00BC57FF"/>
    <w:rsid w:val="00BC6B25"/>
    <w:rsid w:val="00BC7909"/>
    <w:rsid w:val="00BD19C1"/>
    <w:rsid w:val="00BD25B8"/>
    <w:rsid w:val="00BD34C2"/>
    <w:rsid w:val="00BE3C75"/>
    <w:rsid w:val="00BF097D"/>
    <w:rsid w:val="00BF1228"/>
    <w:rsid w:val="00BF3754"/>
    <w:rsid w:val="00BF4618"/>
    <w:rsid w:val="00BF5032"/>
    <w:rsid w:val="00BF6D92"/>
    <w:rsid w:val="00C0011E"/>
    <w:rsid w:val="00C012E1"/>
    <w:rsid w:val="00C029BD"/>
    <w:rsid w:val="00C055CF"/>
    <w:rsid w:val="00C06BB4"/>
    <w:rsid w:val="00C10D20"/>
    <w:rsid w:val="00C12AC4"/>
    <w:rsid w:val="00C12E0C"/>
    <w:rsid w:val="00C14968"/>
    <w:rsid w:val="00C21916"/>
    <w:rsid w:val="00C2650B"/>
    <w:rsid w:val="00C31C96"/>
    <w:rsid w:val="00C32E48"/>
    <w:rsid w:val="00C457CA"/>
    <w:rsid w:val="00C500EF"/>
    <w:rsid w:val="00C50BA0"/>
    <w:rsid w:val="00C52304"/>
    <w:rsid w:val="00C57349"/>
    <w:rsid w:val="00C57FB7"/>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3A35"/>
    <w:rsid w:val="00CC75C0"/>
    <w:rsid w:val="00CD23EF"/>
    <w:rsid w:val="00CD4F3F"/>
    <w:rsid w:val="00CE34BC"/>
    <w:rsid w:val="00CE562B"/>
    <w:rsid w:val="00CF6D29"/>
    <w:rsid w:val="00CF75F6"/>
    <w:rsid w:val="00D014BA"/>
    <w:rsid w:val="00D055DB"/>
    <w:rsid w:val="00D05BEA"/>
    <w:rsid w:val="00D13927"/>
    <w:rsid w:val="00D150AD"/>
    <w:rsid w:val="00D17D7F"/>
    <w:rsid w:val="00D2480A"/>
    <w:rsid w:val="00D26FAB"/>
    <w:rsid w:val="00D30F2D"/>
    <w:rsid w:val="00D311F8"/>
    <w:rsid w:val="00D36B52"/>
    <w:rsid w:val="00D3708C"/>
    <w:rsid w:val="00D377C8"/>
    <w:rsid w:val="00D37FE2"/>
    <w:rsid w:val="00D41274"/>
    <w:rsid w:val="00D43BF3"/>
    <w:rsid w:val="00D44D5D"/>
    <w:rsid w:val="00D47EA8"/>
    <w:rsid w:val="00D5746B"/>
    <w:rsid w:val="00D60CD8"/>
    <w:rsid w:val="00D677E9"/>
    <w:rsid w:val="00D767BB"/>
    <w:rsid w:val="00D8752A"/>
    <w:rsid w:val="00D92681"/>
    <w:rsid w:val="00D939B0"/>
    <w:rsid w:val="00D958E2"/>
    <w:rsid w:val="00DB16E0"/>
    <w:rsid w:val="00DB2DF9"/>
    <w:rsid w:val="00DB383B"/>
    <w:rsid w:val="00DB6DF3"/>
    <w:rsid w:val="00DB7E63"/>
    <w:rsid w:val="00DC2055"/>
    <w:rsid w:val="00DD16DC"/>
    <w:rsid w:val="00DD57EE"/>
    <w:rsid w:val="00DD71E8"/>
    <w:rsid w:val="00DD7F83"/>
    <w:rsid w:val="00DE335E"/>
    <w:rsid w:val="00DF1B93"/>
    <w:rsid w:val="00DF68F5"/>
    <w:rsid w:val="00DF6A46"/>
    <w:rsid w:val="00DF7CA2"/>
    <w:rsid w:val="00E04635"/>
    <w:rsid w:val="00E0641E"/>
    <w:rsid w:val="00E06664"/>
    <w:rsid w:val="00E07607"/>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721"/>
    <w:rsid w:val="00E6457D"/>
    <w:rsid w:val="00E65018"/>
    <w:rsid w:val="00E678CD"/>
    <w:rsid w:val="00E70EE3"/>
    <w:rsid w:val="00E72D69"/>
    <w:rsid w:val="00E7529B"/>
    <w:rsid w:val="00E77E85"/>
    <w:rsid w:val="00E83BFE"/>
    <w:rsid w:val="00E8787B"/>
    <w:rsid w:val="00E94339"/>
    <w:rsid w:val="00E95272"/>
    <w:rsid w:val="00E97563"/>
    <w:rsid w:val="00EB0B63"/>
    <w:rsid w:val="00EB2163"/>
    <w:rsid w:val="00EC1C35"/>
    <w:rsid w:val="00EC265C"/>
    <w:rsid w:val="00EC2DD7"/>
    <w:rsid w:val="00EC65B7"/>
    <w:rsid w:val="00ED0070"/>
    <w:rsid w:val="00ED25B0"/>
    <w:rsid w:val="00ED61CB"/>
    <w:rsid w:val="00ED711E"/>
    <w:rsid w:val="00EE4353"/>
    <w:rsid w:val="00EE4555"/>
    <w:rsid w:val="00EF2488"/>
    <w:rsid w:val="00EF290B"/>
    <w:rsid w:val="00EF3452"/>
    <w:rsid w:val="00EF61AD"/>
    <w:rsid w:val="00F062D8"/>
    <w:rsid w:val="00F06A72"/>
    <w:rsid w:val="00F06C6A"/>
    <w:rsid w:val="00F1242E"/>
    <w:rsid w:val="00F136F0"/>
    <w:rsid w:val="00F20BBB"/>
    <w:rsid w:val="00F20DCD"/>
    <w:rsid w:val="00F22C0B"/>
    <w:rsid w:val="00F24F69"/>
    <w:rsid w:val="00F34AE2"/>
    <w:rsid w:val="00F359FA"/>
    <w:rsid w:val="00F41BED"/>
    <w:rsid w:val="00F4394A"/>
    <w:rsid w:val="00F43BD8"/>
    <w:rsid w:val="00F440AD"/>
    <w:rsid w:val="00F44FD0"/>
    <w:rsid w:val="00F55879"/>
    <w:rsid w:val="00F562F3"/>
    <w:rsid w:val="00F57140"/>
    <w:rsid w:val="00F66CC2"/>
    <w:rsid w:val="00F678D9"/>
    <w:rsid w:val="00F67BC3"/>
    <w:rsid w:val="00F70E34"/>
    <w:rsid w:val="00F73EC9"/>
    <w:rsid w:val="00F74B89"/>
    <w:rsid w:val="00F75133"/>
    <w:rsid w:val="00F80742"/>
    <w:rsid w:val="00F85074"/>
    <w:rsid w:val="00F870D3"/>
    <w:rsid w:val="00F918F5"/>
    <w:rsid w:val="00F93767"/>
    <w:rsid w:val="00F946C8"/>
    <w:rsid w:val="00FA30B6"/>
    <w:rsid w:val="00FA3899"/>
    <w:rsid w:val="00FA3A23"/>
    <w:rsid w:val="00FA4909"/>
    <w:rsid w:val="00FA4CF1"/>
    <w:rsid w:val="00FA51DC"/>
    <w:rsid w:val="00FA5A26"/>
    <w:rsid w:val="00FA6751"/>
    <w:rsid w:val="00FA7575"/>
    <w:rsid w:val="00FB1048"/>
    <w:rsid w:val="00FB1A27"/>
    <w:rsid w:val="00FB3938"/>
    <w:rsid w:val="00FB4DCA"/>
    <w:rsid w:val="00FB62C4"/>
    <w:rsid w:val="00FB7701"/>
    <w:rsid w:val="00FC2DF1"/>
    <w:rsid w:val="00FD0B66"/>
    <w:rsid w:val="00FD15E7"/>
    <w:rsid w:val="00FD1AC5"/>
    <w:rsid w:val="00FD549E"/>
    <w:rsid w:val="00FD5CF0"/>
    <w:rsid w:val="00FE7C6F"/>
    <w:rsid w:val="00FF18BA"/>
    <w:rsid w:val="00FF3238"/>
    <w:rsid w:val="00FF40DD"/>
    <w:rsid w:val="00FF419A"/>
    <w:rsid w:val="00FF71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F869E8"/>
  <w15:docId w15:val="{34EB48DD-376C-4D95-AACE-6728534A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paragraph" w:styleId="HTMLPreformatted">
    <w:name w:val="HTML Preformatted"/>
    <w:basedOn w:val="Normal"/>
    <w:link w:val="HTMLPreformattedChar"/>
    <w:uiPriority w:val="99"/>
    <w:semiHidden/>
    <w:unhideWhenUsed/>
    <w:rsid w:val="0007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77609"/>
    <w:rPr>
      <w:rFonts w:ascii="Courier New" w:eastAsia="Times New Roman" w:hAnsi="Courier New" w:cs="Courier New"/>
    </w:rPr>
  </w:style>
  <w:style w:type="character" w:customStyle="1" w:styleId="y2iqfc">
    <w:name w:val="y2iqfc"/>
    <w:basedOn w:val="DefaultParagraphFont"/>
    <w:rsid w:val="0007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78452">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haini.andriani@uinmataram.ac.id"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31764/jtam.vXiY.ZZZ"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onaafriyani@iainbatusangkar.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irak27@uinmataram.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1EA2A4-6C7E-4A90-8474-AD6BD231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12507</Words>
  <Characters>71293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83633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Kiki Riska Ayu K</cp:lastModifiedBy>
  <cp:revision>184</cp:revision>
  <cp:lastPrinted>2017-04-18T03:46:00Z</cp:lastPrinted>
  <dcterms:created xsi:type="dcterms:W3CDTF">2021-12-03T03:14:00Z</dcterms:created>
  <dcterms:modified xsi:type="dcterms:W3CDTF">2022-02-03T02:58:00Z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kikirak27@uinmataram.ac.id@www.mendeley.com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