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944E6" w14:textId="77777777" w:rsidR="004778A8" w:rsidRPr="003E6B3B" w:rsidRDefault="004778A8" w:rsidP="004211FE">
      <w:pPr>
        <w:pStyle w:val="IEEETitle"/>
        <w:tabs>
          <w:tab w:val="left" w:pos="1014"/>
          <w:tab w:val="center" w:pos="5017"/>
        </w:tabs>
        <w:spacing w:after="240"/>
        <w:jc w:val="left"/>
        <w:rPr>
          <w:rStyle w:val="shorttext"/>
          <w:rFonts w:asciiTheme="majorHAnsi" w:hAnsiTheme="majorHAnsi"/>
          <w:b/>
          <w:sz w:val="2"/>
          <w:szCs w:val="34"/>
          <w:shd w:val="clear" w:color="auto" w:fill="FFFFFF"/>
          <w:lang w:val="id-ID"/>
        </w:rPr>
      </w:pPr>
    </w:p>
    <w:p w14:paraId="2E75016D" w14:textId="651F13DF" w:rsidR="00D41274" w:rsidRPr="0049357F" w:rsidRDefault="0059614C" w:rsidP="0059614C">
      <w:pPr>
        <w:pStyle w:val="IEEETitle"/>
        <w:tabs>
          <w:tab w:val="left" w:pos="1014"/>
          <w:tab w:val="center" w:pos="5017"/>
        </w:tabs>
        <w:rPr>
          <w:rStyle w:val="shorttext"/>
          <w:rFonts w:asciiTheme="majorHAnsi" w:hAnsiTheme="majorHAnsi"/>
          <w:b/>
          <w:sz w:val="34"/>
          <w:szCs w:val="34"/>
          <w:shd w:val="clear" w:color="auto" w:fill="FFFFFF"/>
          <w:lang w:val="en-US"/>
        </w:rPr>
      </w:pPr>
      <w:bookmarkStart w:id="0" w:name="_Hlk102036408"/>
      <w:r w:rsidRPr="003E6B3B">
        <w:rPr>
          <w:rStyle w:val="shorttext"/>
          <w:rFonts w:asciiTheme="majorHAnsi" w:hAnsiTheme="majorHAnsi"/>
          <w:b/>
          <w:sz w:val="34"/>
          <w:szCs w:val="34"/>
          <w:shd w:val="clear" w:color="auto" w:fill="FFFFFF"/>
          <w:lang w:val="id-ID"/>
        </w:rPr>
        <w:t>Integer Multi-objective</w:t>
      </w:r>
      <w:r w:rsidRPr="003E6B3B">
        <w:rPr>
          <w:rStyle w:val="shorttext"/>
          <w:rFonts w:asciiTheme="majorHAnsi" w:hAnsiTheme="majorHAnsi"/>
          <w:b/>
          <w:sz w:val="34"/>
          <w:szCs w:val="34"/>
          <w:shd w:val="clear" w:color="auto" w:fill="FFFFFF"/>
          <w:lang w:val="en-US"/>
        </w:rPr>
        <w:t xml:space="preserve"> </w:t>
      </w:r>
      <w:r w:rsidRPr="003E6B3B">
        <w:rPr>
          <w:rStyle w:val="shorttext"/>
          <w:rFonts w:asciiTheme="majorHAnsi" w:hAnsiTheme="majorHAnsi"/>
          <w:b/>
          <w:sz w:val="34"/>
          <w:szCs w:val="34"/>
          <w:shd w:val="clear" w:color="auto" w:fill="FFFFFF"/>
          <w:lang w:val="id-ID"/>
        </w:rPr>
        <w:t>Adjustable Robust Counterpart Optimization Model Using Benders Decomposition</w:t>
      </w:r>
      <w:r w:rsidR="0049357F">
        <w:rPr>
          <w:rStyle w:val="shorttext"/>
          <w:rFonts w:asciiTheme="majorHAnsi" w:hAnsiTheme="majorHAnsi"/>
          <w:b/>
          <w:sz w:val="34"/>
          <w:szCs w:val="34"/>
          <w:shd w:val="clear" w:color="auto" w:fill="FFFFFF"/>
          <w:lang w:val="en-US"/>
        </w:rPr>
        <w:t xml:space="preserve">: </w:t>
      </w:r>
      <w:r w:rsidR="0049357F" w:rsidRPr="0049357F">
        <w:rPr>
          <w:rStyle w:val="shorttext"/>
          <w:rFonts w:asciiTheme="majorHAnsi" w:hAnsiTheme="majorHAnsi"/>
          <w:b/>
          <w:sz w:val="34"/>
          <w:szCs w:val="34"/>
          <w:shd w:val="clear" w:color="auto" w:fill="FFFFFF"/>
          <w:lang w:val="en-US"/>
        </w:rPr>
        <w:t>a Comprehensive Survey and Review</w:t>
      </w:r>
      <w:r w:rsidR="00F51254">
        <w:rPr>
          <w:rStyle w:val="shorttext"/>
          <w:rFonts w:asciiTheme="majorHAnsi" w:hAnsiTheme="majorHAnsi"/>
          <w:b/>
          <w:sz w:val="34"/>
          <w:szCs w:val="34"/>
          <w:shd w:val="clear" w:color="auto" w:fill="FFFFFF"/>
          <w:lang w:val="en-US"/>
        </w:rPr>
        <w:t xml:space="preserve"> </w:t>
      </w:r>
      <w:bookmarkStart w:id="1" w:name="_GoBack"/>
      <w:bookmarkEnd w:id="1"/>
    </w:p>
    <w:bookmarkEnd w:id="0"/>
    <w:p w14:paraId="5693478C" w14:textId="77777777" w:rsidR="0059614C" w:rsidRPr="003E6B3B" w:rsidRDefault="0059614C" w:rsidP="0059614C">
      <w:pPr>
        <w:pStyle w:val="IEEEAuthorName"/>
        <w:rPr>
          <w:rFonts w:asciiTheme="majorHAnsi" w:hAnsiTheme="majorHAnsi"/>
          <w:lang w:val="en-US" w:eastAsia="zh-CN"/>
        </w:rPr>
      </w:pPr>
    </w:p>
    <w:p w14:paraId="59C46C37" w14:textId="184AB139" w:rsidR="005B3934" w:rsidRPr="003E6B3B" w:rsidRDefault="00B867D4" w:rsidP="005B3934">
      <w:pPr>
        <w:jc w:val="center"/>
        <w:rPr>
          <w:rFonts w:asciiTheme="majorHAnsi" w:hAnsiTheme="majorHAnsi"/>
          <w:b/>
          <w:bCs/>
          <w:sz w:val="22"/>
          <w:szCs w:val="22"/>
        </w:rPr>
      </w:pPr>
      <w:r w:rsidRPr="003E6B3B">
        <w:rPr>
          <w:rFonts w:asciiTheme="majorHAnsi" w:hAnsiTheme="majorHAnsi"/>
          <w:b/>
          <w:bCs/>
          <w:sz w:val="22"/>
          <w:szCs w:val="22"/>
          <w:lang w:val="en-US"/>
        </w:rPr>
        <w:t>A</w:t>
      </w:r>
      <w:r w:rsidR="0059614C" w:rsidRPr="003E6B3B">
        <w:rPr>
          <w:rFonts w:asciiTheme="majorHAnsi" w:hAnsiTheme="majorHAnsi"/>
          <w:b/>
          <w:bCs/>
          <w:sz w:val="22"/>
          <w:szCs w:val="22"/>
          <w:lang w:val="en-US"/>
        </w:rPr>
        <w:t>thaya Zahrani Irmansyah</w:t>
      </w:r>
      <w:r w:rsidR="00AB2575" w:rsidRPr="003E6B3B">
        <w:rPr>
          <w:rFonts w:asciiTheme="majorHAnsi" w:hAnsiTheme="majorHAnsi"/>
          <w:b/>
          <w:bCs/>
          <w:sz w:val="22"/>
          <w:szCs w:val="22"/>
          <w:vertAlign w:val="superscript"/>
          <w:lang w:val="en-US"/>
        </w:rPr>
        <w:t>1</w:t>
      </w:r>
      <w:r w:rsidR="005B3934" w:rsidRPr="003E6B3B">
        <w:rPr>
          <w:rFonts w:asciiTheme="majorHAnsi" w:hAnsiTheme="majorHAnsi"/>
          <w:b/>
          <w:bCs/>
          <w:sz w:val="22"/>
          <w:szCs w:val="22"/>
          <w:lang w:val="id-ID"/>
        </w:rPr>
        <w:t xml:space="preserve">, </w:t>
      </w:r>
      <w:proofErr w:type="spellStart"/>
      <w:r w:rsidR="0059614C" w:rsidRPr="003E6B3B">
        <w:rPr>
          <w:rFonts w:asciiTheme="majorHAnsi" w:hAnsiTheme="majorHAnsi"/>
          <w:b/>
          <w:bCs/>
          <w:sz w:val="22"/>
          <w:szCs w:val="22"/>
          <w:lang w:val="en-US"/>
        </w:rPr>
        <w:t>Diah</w:t>
      </w:r>
      <w:proofErr w:type="spellEnd"/>
      <w:r w:rsidR="0059614C" w:rsidRPr="003E6B3B">
        <w:rPr>
          <w:rFonts w:asciiTheme="majorHAnsi" w:hAnsiTheme="majorHAnsi"/>
          <w:b/>
          <w:bCs/>
          <w:sz w:val="22"/>
          <w:szCs w:val="22"/>
          <w:lang w:val="en-US"/>
        </w:rPr>
        <w:t xml:space="preserve"> Chaerani</w:t>
      </w:r>
      <w:r w:rsidR="00AB2575" w:rsidRPr="003E6B3B">
        <w:rPr>
          <w:rFonts w:asciiTheme="majorHAnsi" w:hAnsiTheme="majorHAnsi"/>
          <w:b/>
          <w:bCs/>
          <w:sz w:val="22"/>
          <w:szCs w:val="22"/>
          <w:vertAlign w:val="superscript"/>
          <w:lang w:val="en-US"/>
        </w:rPr>
        <w:t>2</w:t>
      </w:r>
      <w:r w:rsidR="005B3934" w:rsidRPr="003E6B3B">
        <w:rPr>
          <w:rFonts w:asciiTheme="majorHAnsi" w:hAnsiTheme="majorHAnsi"/>
          <w:b/>
          <w:bCs/>
          <w:sz w:val="22"/>
          <w:szCs w:val="22"/>
          <w:lang w:val="id-ID"/>
        </w:rPr>
        <w:t xml:space="preserve">, </w:t>
      </w:r>
      <w:proofErr w:type="spellStart"/>
      <w:r w:rsidR="0059614C" w:rsidRPr="003E6B3B">
        <w:rPr>
          <w:rFonts w:asciiTheme="majorHAnsi" w:hAnsiTheme="majorHAnsi"/>
          <w:b/>
          <w:bCs/>
          <w:sz w:val="22"/>
          <w:szCs w:val="22"/>
          <w:lang w:val="en-US"/>
        </w:rPr>
        <w:t>Endang</w:t>
      </w:r>
      <w:proofErr w:type="spellEnd"/>
      <w:r w:rsidR="0059614C" w:rsidRPr="003E6B3B">
        <w:rPr>
          <w:rFonts w:asciiTheme="majorHAnsi" w:hAnsiTheme="majorHAnsi"/>
          <w:b/>
          <w:bCs/>
          <w:sz w:val="22"/>
          <w:szCs w:val="22"/>
          <w:lang w:val="en-US"/>
        </w:rPr>
        <w:t xml:space="preserve"> Rusyaman</w:t>
      </w:r>
      <w:r w:rsidR="00AB2575" w:rsidRPr="003E6B3B">
        <w:rPr>
          <w:rFonts w:asciiTheme="majorHAnsi" w:hAnsiTheme="majorHAnsi"/>
          <w:b/>
          <w:bCs/>
          <w:sz w:val="22"/>
          <w:szCs w:val="22"/>
          <w:vertAlign w:val="superscript"/>
          <w:lang w:val="en-US"/>
        </w:rPr>
        <w:t>3</w:t>
      </w:r>
      <w:r w:rsidR="00AB2575" w:rsidRPr="003E6B3B">
        <w:rPr>
          <w:rFonts w:asciiTheme="majorHAnsi" w:hAnsiTheme="majorHAnsi"/>
          <w:b/>
          <w:bCs/>
          <w:sz w:val="22"/>
          <w:szCs w:val="22"/>
        </w:rPr>
        <w:t xml:space="preserve"> </w:t>
      </w:r>
    </w:p>
    <w:p w14:paraId="26E54EF8" w14:textId="77777777" w:rsidR="0059614C" w:rsidRPr="003E6B3B" w:rsidRDefault="00F66CC2" w:rsidP="0059614C">
      <w:pPr>
        <w:jc w:val="center"/>
        <w:rPr>
          <w:rFonts w:asciiTheme="majorHAnsi" w:hAnsiTheme="majorHAnsi" w:cstheme="minorHAnsi"/>
          <w:sz w:val="22"/>
          <w:szCs w:val="22"/>
        </w:rPr>
      </w:pPr>
      <w:r w:rsidRPr="003E6B3B">
        <w:rPr>
          <w:rFonts w:asciiTheme="majorHAnsi" w:hAnsiTheme="majorHAnsi" w:cstheme="minorHAnsi"/>
          <w:sz w:val="22"/>
          <w:szCs w:val="22"/>
          <w:vertAlign w:val="superscript"/>
        </w:rPr>
        <w:t>1</w:t>
      </w:r>
      <w:r w:rsidR="0059614C" w:rsidRPr="003E6B3B">
        <w:rPr>
          <w:rFonts w:asciiTheme="majorHAnsi" w:hAnsiTheme="majorHAnsi" w:cstheme="minorHAnsi"/>
          <w:sz w:val="22"/>
          <w:szCs w:val="22"/>
        </w:rPr>
        <w:t xml:space="preserve">Master of Mathematics Program Study, Faculty of Mathematics and Natural Science, </w:t>
      </w:r>
    </w:p>
    <w:p w14:paraId="5F786DF8" w14:textId="6BED1F7A" w:rsidR="00CB19D8" w:rsidRPr="003E6B3B" w:rsidRDefault="0059614C" w:rsidP="0059614C">
      <w:pPr>
        <w:jc w:val="center"/>
        <w:rPr>
          <w:rFonts w:asciiTheme="majorHAnsi" w:hAnsiTheme="majorHAnsi" w:cstheme="minorHAnsi"/>
          <w:sz w:val="22"/>
          <w:szCs w:val="22"/>
        </w:rPr>
      </w:pPr>
      <w:proofErr w:type="spellStart"/>
      <w:r w:rsidRPr="003E6B3B">
        <w:rPr>
          <w:rFonts w:asciiTheme="majorHAnsi" w:hAnsiTheme="majorHAnsi" w:cstheme="minorHAnsi"/>
          <w:sz w:val="22"/>
          <w:szCs w:val="22"/>
        </w:rPr>
        <w:t>Universitas</w:t>
      </w:r>
      <w:proofErr w:type="spellEnd"/>
      <w:r w:rsidRPr="003E6B3B">
        <w:rPr>
          <w:rFonts w:asciiTheme="majorHAnsi" w:hAnsiTheme="majorHAnsi" w:cstheme="minorHAnsi"/>
          <w:sz w:val="22"/>
          <w:szCs w:val="22"/>
        </w:rPr>
        <w:t xml:space="preserve"> </w:t>
      </w:r>
      <w:proofErr w:type="spellStart"/>
      <w:r w:rsidRPr="003E6B3B">
        <w:rPr>
          <w:rFonts w:asciiTheme="majorHAnsi" w:hAnsiTheme="majorHAnsi" w:cstheme="minorHAnsi"/>
          <w:sz w:val="22"/>
          <w:szCs w:val="22"/>
        </w:rPr>
        <w:t>Padjadjaran</w:t>
      </w:r>
      <w:proofErr w:type="spellEnd"/>
      <w:r w:rsidRPr="003E6B3B">
        <w:rPr>
          <w:rFonts w:asciiTheme="majorHAnsi" w:hAnsiTheme="majorHAnsi" w:cstheme="minorHAnsi"/>
          <w:sz w:val="22"/>
          <w:szCs w:val="22"/>
        </w:rPr>
        <w:t>, Indonesia</w:t>
      </w:r>
    </w:p>
    <w:p w14:paraId="1C97B5B3" w14:textId="77777777" w:rsidR="0059614C" w:rsidRPr="003E6B3B" w:rsidRDefault="0059614C" w:rsidP="0059614C">
      <w:pPr>
        <w:jc w:val="center"/>
        <w:rPr>
          <w:rFonts w:asciiTheme="majorHAnsi" w:hAnsiTheme="majorHAnsi" w:cstheme="minorHAnsi"/>
          <w:sz w:val="22"/>
          <w:szCs w:val="22"/>
        </w:rPr>
      </w:pPr>
      <w:r w:rsidRPr="003E6B3B">
        <w:rPr>
          <w:rFonts w:asciiTheme="majorHAnsi" w:hAnsiTheme="majorHAnsi" w:cstheme="minorHAnsi"/>
          <w:sz w:val="22"/>
          <w:szCs w:val="22"/>
          <w:vertAlign w:val="superscript"/>
        </w:rPr>
        <w:t>2</w:t>
      </w:r>
      <w:r w:rsidRPr="003E6B3B">
        <w:rPr>
          <w:rFonts w:asciiTheme="majorHAnsi" w:hAnsiTheme="majorHAnsi" w:cstheme="minorHAnsi"/>
          <w:sz w:val="22"/>
          <w:szCs w:val="22"/>
        </w:rPr>
        <w:t xml:space="preserve">Department of Mathematics, Faculty of Mathematics and Natural Science, </w:t>
      </w:r>
    </w:p>
    <w:p w14:paraId="32024A9C" w14:textId="7B80F082" w:rsidR="0059614C" w:rsidRPr="003E6B3B" w:rsidRDefault="0059614C" w:rsidP="0059614C">
      <w:pPr>
        <w:jc w:val="center"/>
        <w:rPr>
          <w:rFonts w:asciiTheme="majorHAnsi" w:hAnsiTheme="majorHAnsi" w:cstheme="minorHAnsi"/>
          <w:sz w:val="22"/>
          <w:szCs w:val="22"/>
        </w:rPr>
      </w:pPr>
      <w:proofErr w:type="spellStart"/>
      <w:r w:rsidRPr="003E6B3B">
        <w:rPr>
          <w:rFonts w:asciiTheme="majorHAnsi" w:hAnsiTheme="majorHAnsi" w:cstheme="minorHAnsi"/>
          <w:sz w:val="22"/>
          <w:szCs w:val="22"/>
        </w:rPr>
        <w:t>Universitas</w:t>
      </w:r>
      <w:proofErr w:type="spellEnd"/>
      <w:r w:rsidRPr="003E6B3B">
        <w:rPr>
          <w:rFonts w:asciiTheme="majorHAnsi" w:hAnsiTheme="majorHAnsi" w:cstheme="minorHAnsi"/>
          <w:sz w:val="22"/>
          <w:szCs w:val="22"/>
        </w:rPr>
        <w:t xml:space="preserve"> </w:t>
      </w:r>
      <w:proofErr w:type="spellStart"/>
      <w:r w:rsidRPr="003E6B3B">
        <w:rPr>
          <w:rFonts w:asciiTheme="majorHAnsi" w:hAnsiTheme="majorHAnsi" w:cstheme="minorHAnsi"/>
          <w:sz w:val="22"/>
          <w:szCs w:val="22"/>
        </w:rPr>
        <w:t>Padjadjaran</w:t>
      </w:r>
      <w:proofErr w:type="spellEnd"/>
      <w:r w:rsidRPr="003E6B3B">
        <w:rPr>
          <w:rFonts w:asciiTheme="majorHAnsi" w:hAnsiTheme="majorHAnsi" w:cstheme="minorHAnsi"/>
          <w:sz w:val="22"/>
          <w:szCs w:val="22"/>
        </w:rPr>
        <w:t>, Indonesia</w:t>
      </w:r>
    </w:p>
    <w:p w14:paraId="33911CEE" w14:textId="77777777" w:rsidR="0059614C" w:rsidRPr="003E6B3B" w:rsidRDefault="0059614C" w:rsidP="0059614C">
      <w:pPr>
        <w:jc w:val="center"/>
        <w:rPr>
          <w:rFonts w:asciiTheme="majorHAnsi" w:hAnsiTheme="majorHAnsi" w:cstheme="minorHAnsi"/>
          <w:sz w:val="22"/>
          <w:szCs w:val="22"/>
        </w:rPr>
      </w:pPr>
    </w:p>
    <w:p w14:paraId="2F9834F6" w14:textId="713CB948" w:rsidR="00267F70" w:rsidRPr="003E6B3B" w:rsidRDefault="00E329E2" w:rsidP="00267F70">
      <w:pPr>
        <w:jc w:val="center"/>
        <w:rPr>
          <w:rFonts w:asciiTheme="majorHAnsi" w:hAnsiTheme="majorHAnsi" w:cstheme="minorHAnsi"/>
          <w:sz w:val="22"/>
          <w:szCs w:val="22"/>
        </w:rPr>
      </w:pPr>
      <w:hyperlink r:id="rId8" w:history="1">
        <w:r w:rsidR="0059614C" w:rsidRPr="003E6B3B">
          <w:rPr>
            <w:rStyle w:val="Hyperlink"/>
            <w:rFonts w:asciiTheme="majorHAnsi" w:hAnsiTheme="majorHAnsi" w:cstheme="minorHAnsi"/>
            <w:sz w:val="22"/>
            <w:szCs w:val="22"/>
          </w:rPr>
          <w:t>athaya17002@mail.unpad.ac.id</w:t>
        </w:r>
      </w:hyperlink>
      <w:r w:rsidR="006271CA" w:rsidRPr="003E6B3B">
        <w:rPr>
          <w:rFonts w:asciiTheme="majorHAnsi" w:hAnsiTheme="majorHAnsi" w:cstheme="minorHAnsi"/>
          <w:sz w:val="22"/>
          <w:szCs w:val="22"/>
          <w:vertAlign w:val="superscript"/>
        </w:rPr>
        <w:t>1</w:t>
      </w:r>
      <w:r w:rsidR="00267F70" w:rsidRPr="003E6B3B">
        <w:rPr>
          <w:rFonts w:asciiTheme="majorHAnsi" w:hAnsiTheme="majorHAnsi" w:cstheme="minorHAnsi"/>
          <w:sz w:val="22"/>
          <w:szCs w:val="22"/>
        </w:rPr>
        <w:t xml:space="preserve">, </w:t>
      </w:r>
      <w:hyperlink r:id="rId9" w:history="1">
        <w:r w:rsidR="00267F70" w:rsidRPr="003E6B3B">
          <w:rPr>
            <w:rStyle w:val="Hyperlink"/>
            <w:rFonts w:asciiTheme="majorHAnsi" w:hAnsiTheme="majorHAnsi" w:cstheme="minorHAnsi"/>
            <w:sz w:val="22"/>
            <w:szCs w:val="22"/>
          </w:rPr>
          <w:t>d.chaerani@unpad.ac.id</w:t>
        </w:r>
      </w:hyperlink>
      <w:r w:rsidR="006271CA" w:rsidRPr="003E6B3B">
        <w:rPr>
          <w:rFonts w:asciiTheme="majorHAnsi" w:hAnsiTheme="majorHAnsi" w:cstheme="minorHAnsi"/>
          <w:sz w:val="22"/>
          <w:szCs w:val="22"/>
          <w:vertAlign w:val="superscript"/>
        </w:rPr>
        <w:t>2</w:t>
      </w:r>
      <w:r w:rsidR="00267F70" w:rsidRPr="003E6B3B">
        <w:rPr>
          <w:rFonts w:asciiTheme="majorHAnsi" w:hAnsiTheme="majorHAnsi" w:cstheme="minorHAnsi"/>
          <w:sz w:val="22"/>
          <w:szCs w:val="22"/>
        </w:rPr>
        <w:t xml:space="preserve">, </w:t>
      </w:r>
      <w:hyperlink r:id="rId10" w:history="1">
        <w:r w:rsidR="00267F70" w:rsidRPr="003E6B3B">
          <w:rPr>
            <w:rStyle w:val="Hyperlink"/>
            <w:rFonts w:asciiTheme="majorHAnsi" w:hAnsiTheme="majorHAnsi" w:cstheme="minorHAnsi"/>
            <w:sz w:val="22"/>
            <w:szCs w:val="22"/>
          </w:rPr>
          <w:t>rusyaman@unpad.ac.id</w:t>
        </w:r>
      </w:hyperlink>
      <w:r w:rsidR="006271CA" w:rsidRPr="003E6B3B">
        <w:rPr>
          <w:rFonts w:asciiTheme="majorHAnsi" w:hAnsiTheme="majorHAnsi" w:cstheme="minorHAnsi"/>
          <w:sz w:val="22"/>
          <w:szCs w:val="22"/>
          <w:vertAlign w:val="superscript"/>
        </w:rPr>
        <w:t>3</w:t>
      </w:r>
      <w:r w:rsidR="00267F70" w:rsidRPr="003E6B3B">
        <w:rPr>
          <w:rFonts w:asciiTheme="majorHAnsi" w:hAnsiTheme="majorHAnsi" w:cstheme="minorHAnsi"/>
          <w:sz w:val="22"/>
          <w:szCs w:val="22"/>
        </w:rPr>
        <w:t xml:space="preserve"> </w:t>
      </w:r>
    </w:p>
    <w:p w14:paraId="65D71610" w14:textId="77777777" w:rsidR="00267F70" w:rsidRPr="003E6B3B" w:rsidRDefault="00267F70" w:rsidP="00267F70">
      <w:pPr>
        <w:jc w:val="center"/>
        <w:rPr>
          <w:rFonts w:asciiTheme="majorHAnsi" w:hAnsiTheme="majorHAnsi" w:cstheme="minorHAnsi"/>
          <w:sz w:val="22"/>
          <w:szCs w:val="22"/>
        </w:rPr>
      </w:pPr>
    </w:p>
    <w:p w14:paraId="22224578" w14:textId="7D3498CE" w:rsidR="00267F70" w:rsidRPr="003E6B3B" w:rsidRDefault="00267F70" w:rsidP="00267F70">
      <w:pPr>
        <w:jc w:val="center"/>
        <w:rPr>
          <w:rFonts w:asciiTheme="majorHAnsi" w:hAnsiTheme="majorHAnsi" w:cstheme="minorHAnsi"/>
          <w:sz w:val="22"/>
          <w:szCs w:val="22"/>
        </w:rPr>
        <w:sectPr w:rsidR="00267F70" w:rsidRPr="003E6B3B" w:rsidSect="00AD3C84">
          <w:headerReference w:type="even" r:id="rId11"/>
          <w:headerReference w:type="default" r:id="rId12"/>
          <w:headerReference w:type="first" r:id="rId13"/>
          <w:footerReference w:type="first" r:id="rId14"/>
          <w:pgSz w:w="11906" w:h="16838" w:code="9"/>
          <w:pgMar w:top="1134" w:right="1134" w:bottom="1134" w:left="1134" w:header="851" w:footer="567" w:gutter="0"/>
          <w:cols w:space="708"/>
          <w:titlePg/>
          <w:docGrid w:linePitch="360"/>
        </w:sectPr>
      </w:pPr>
    </w:p>
    <w:p w14:paraId="17CFD6ED" w14:textId="77777777" w:rsidR="009D3C51" w:rsidRPr="003E6B3B" w:rsidRDefault="009D3C51" w:rsidP="007E34AA">
      <w:pPr>
        <w:pStyle w:val="IEEEAbtract"/>
        <w:ind w:left="1985" w:right="1779"/>
        <w:rPr>
          <w:rFonts w:asciiTheme="majorHAnsi" w:hAnsiTheme="majorHAnsi"/>
          <w:lang w:val="id-ID"/>
        </w:rPr>
      </w:pPr>
    </w:p>
    <w:tbl>
      <w:tblPr>
        <w:tblStyle w:val="TableGrid"/>
        <w:tblW w:w="9623" w:type="dxa"/>
        <w:jc w:val="center"/>
        <w:tblLook w:val="04A0" w:firstRow="1" w:lastRow="0" w:firstColumn="1" w:lastColumn="0" w:noHBand="0" w:noVBand="1"/>
      </w:tblPr>
      <w:tblGrid>
        <w:gridCol w:w="2113"/>
        <w:gridCol w:w="283"/>
        <w:gridCol w:w="2289"/>
        <w:gridCol w:w="4938"/>
      </w:tblGrid>
      <w:tr w:rsidR="009507C0" w:rsidRPr="003E6B3B" w14:paraId="4817F303" w14:textId="77777777" w:rsidTr="00AD3C84">
        <w:trPr>
          <w:trHeight w:val="135"/>
          <w:jc w:val="center"/>
        </w:trPr>
        <w:tc>
          <w:tcPr>
            <w:tcW w:w="2113" w:type="dxa"/>
            <w:tcBorders>
              <w:top w:val="double" w:sz="4" w:space="0" w:color="auto"/>
              <w:left w:val="nil"/>
              <w:bottom w:val="single" w:sz="4" w:space="0" w:color="auto"/>
              <w:right w:val="nil"/>
            </w:tcBorders>
            <w:vAlign w:val="center"/>
          </w:tcPr>
          <w:p w14:paraId="1B74FCC5" w14:textId="77777777" w:rsidR="009507C0" w:rsidRPr="003E6B3B" w:rsidRDefault="009507C0" w:rsidP="00B867D4">
            <w:pPr>
              <w:spacing w:before="120"/>
              <w:rPr>
                <w:rFonts w:asciiTheme="majorHAnsi" w:hAnsiTheme="majorHAnsi"/>
                <w:b/>
                <w:sz w:val="18"/>
                <w:szCs w:val="18"/>
              </w:rPr>
            </w:pPr>
          </w:p>
        </w:tc>
        <w:tc>
          <w:tcPr>
            <w:tcW w:w="283" w:type="dxa"/>
            <w:tcBorders>
              <w:top w:val="double" w:sz="4" w:space="0" w:color="auto"/>
              <w:left w:val="nil"/>
              <w:bottom w:val="nil"/>
              <w:right w:val="nil"/>
            </w:tcBorders>
            <w:vAlign w:val="center"/>
          </w:tcPr>
          <w:p w14:paraId="7211CDA8" w14:textId="77777777" w:rsidR="009507C0" w:rsidRPr="003E6B3B" w:rsidRDefault="009507C0" w:rsidP="00521ED0">
            <w:pPr>
              <w:spacing w:before="120"/>
              <w:rPr>
                <w:rFonts w:asciiTheme="majorHAnsi" w:hAnsiTheme="majorHAnsi"/>
                <w:sz w:val="18"/>
                <w:szCs w:val="18"/>
              </w:rPr>
            </w:pPr>
          </w:p>
        </w:tc>
        <w:tc>
          <w:tcPr>
            <w:tcW w:w="7227" w:type="dxa"/>
            <w:gridSpan w:val="2"/>
            <w:tcBorders>
              <w:top w:val="double" w:sz="4" w:space="0" w:color="auto"/>
              <w:left w:val="nil"/>
              <w:bottom w:val="single" w:sz="4" w:space="0" w:color="auto"/>
              <w:right w:val="nil"/>
            </w:tcBorders>
            <w:vAlign w:val="center"/>
          </w:tcPr>
          <w:p w14:paraId="300B99CC" w14:textId="77777777" w:rsidR="009507C0" w:rsidRPr="003E6B3B" w:rsidRDefault="009507C0" w:rsidP="00521ED0">
            <w:pPr>
              <w:spacing w:before="120"/>
              <w:jc w:val="center"/>
              <w:rPr>
                <w:rFonts w:asciiTheme="majorHAnsi" w:hAnsiTheme="majorHAnsi"/>
                <w:color w:val="000000"/>
                <w:sz w:val="20"/>
                <w:szCs w:val="20"/>
              </w:rPr>
            </w:pPr>
            <w:r w:rsidRPr="003E6B3B">
              <w:rPr>
                <w:rFonts w:asciiTheme="majorHAnsi" w:hAnsiTheme="majorHAnsi"/>
                <w:b/>
                <w:bCs/>
                <w:iCs/>
                <w:color w:val="000000"/>
                <w:sz w:val="20"/>
                <w:szCs w:val="20"/>
              </w:rPr>
              <w:t>ABSTRA</w:t>
            </w:r>
            <w:r w:rsidR="007855B5" w:rsidRPr="003E6B3B">
              <w:rPr>
                <w:rFonts w:asciiTheme="majorHAnsi" w:hAnsiTheme="majorHAnsi"/>
                <w:b/>
                <w:bCs/>
                <w:iCs/>
                <w:color w:val="000000"/>
                <w:sz w:val="20"/>
                <w:szCs w:val="20"/>
              </w:rPr>
              <w:t>CT</w:t>
            </w:r>
          </w:p>
        </w:tc>
      </w:tr>
      <w:tr w:rsidR="007855B5" w:rsidRPr="003E6B3B" w14:paraId="7AD17CDF" w14:textId="77777777" w:rsidTr="0059614C">
        <w:trPr>
          <w:trHeight w:val="1268"/>
          <w:jc w:val="center"/>
        </w:trPr>
        <w:tc>
          <w:tcPr>
            <w:tcW w:w="2113" w:type="dxa"/>
            <w:tcBorders>
              <w:top w:val="single" w:sz="4" w:space="0" w:color="auto"/>
              <w:left w:val="nil"/>
              <w:bottom w:val="single" w:sz="4" w:space="0" w:color="auto"/>
              <w:right w:val="nil"/>
            </w:tcBorders>
          </w:tcPr>
          <w:p w14:paraId="59D29401" w14:textId="77777777" w:rsidR="007855B5" w:rsidRPr="003E6B3B" w:rsidRDefault="007855B5" w:rsidP="007855B5">
            <w:pPr>
              <w:spacing w:before="120" w:after="120"/>
              <w:jc w:val="both"/>
              <w:rPr>
                <w:rFonts w:asciiTheme="majorHAnsi" w:hAnsiTheme="majorHAnsi"/>
                <w:b/>
                <w:sz w:val="18"/>
                <w:szCs w:val="18"/>
              </w:rPr>
            </w:pPr>
            <w:r w:rsidRPr="003E6B3B">
              <w:rPr>
                <w:rFonts w:asciiTheme="majorHAnsi" w:hAnsiTheme="majorHAnsi"/>
                <w:b/>
                <w:sz w:val="18"/>
                <w:szCs w:val="18"/>
              </w:rPr>
              <w:t>Article History:</w:t>
            </w:r>
          </w:p>
          <w:p w14:paraId="7E84C300" w14:textId="77777777" w:rsidR="007855B5" w:rsidRPr="003E6B3B" w:rsidRDefault="007855B5" w:rsidP="00267F70">
            <w:pPr>
              <w:jc w:val="both"/>
              <w:rPr>
                <w:rFonts w:asciiTheme="majorHAnsi" w:hAnsiTheme="majorHAnsi"/>
                <w:sz w:val="18"/>
                <w:szCs w:val="18"/>
              </w:rPr>
            </w:pPr>
            <w:r w:rsidRPr="003E6B3B">
              <w:rPr>
                <w:rFonts w:asciiTheme="majorHAnsi" w:hAnsiTheme="majorHAnsi"/>
                <w:sz w:val="18"/>
                <w:szCs w:val="18"/>
              </w:rPr>
              <w:t xml:space="preserve">Received </w:t>
            </w:r>
            <w:proofErr w:type="gramStart"/>
            <w:r w:rsidRPr="003E6B3B">
              <w:rPr>
                <w:rFonts w:asciiTheme="majorHAnsi" w:hAnsiTheme="majorHAnsi"/>
                <w:sz w:val="18"/>
                <w:szCs w:val="18"/>
              </w:rPr>
              <w:t xml:space="preserve">  :</w:t>
            </w:r>
            <w:proofErr w:type="gramEnd"/>
            <w:r w:rsidRPr="003E6B3B">
              <w:rPr>
                <w:rFonts w:asciiTheme="majorHAnsi" w:hAnsiTheme="majorHAnsi"/>
                <w:sz w:val="18"/>
                <w:szCs w:val="18"/>
              </w:rPr>
              <w:t xml:space="preserve"> D-M-20XX</w:t>
            </w:r>
          </w:p>
          <w:p w14:paraId="4639D2A2" w14:textId="77777777" w:rsidR="007855B5" w:rsidRPr="003E6B3B" w:rsidRDefault="007855B5" w:rsidP="00267F70">
            <w:pPr>
              <w:jc w:val="both"/>
              <w:rPr>
                <w:rFonts w:asciiTheme="majorHAnsi" w:hAnsiTheme="majorHAnsi"/>
                <w:sz w:val="18"/>
                <w:szCs w:val="18"/>
              </w:rPr>
            </w:pPr>
            <w:r w:rsidRPr="003E6B3B">
              <w:rPr>
                <w:rFonts w:asciiTheme="majorHAnsi" w:hAnsiTheme="majorHAnsi"/>
                <w:sz w:val="18"/>
                <w:szCs w:val="18"/>
              </w:rPr>
              <w:t xml:space="preserve">Revised   </w:t>
            </w:r>
            <w:proofErr w:type="gramStart"/>
            <w:r w:rsidRPr="003E6B3B">
              <w:rPr>
                <w:rFonts w:asciiTheme="majorHAnsi" w:hAnsiTheme="majorHAnsi"/>
                <w:sz w:val="18"/>
                <w:szCs w:val="18"/>
              </w:rPr>
              <w:t xml:space="preserve">  :</w:t>
            </w:r>
            <w:proofErr w:type="gramEnd"/>
            <w:r w:rsidRPr="003E6B3B">
              <w:rPr>
                <w:rFonts w:asciiTheme="majorHAnsi" w:hAnsiTheme="majorHAnsi"/>
                <w:sz w:val="18"/>
                <w:szCs w:val="18"/>
              </w:rPr>
              <w:t xml:space="preserve"> D-M-20XX</w:t>
            </w:r>
          </w:p>
          <w:p w14:paraId="33525F9A" w14:textId="77777777" w:rsidR="007855B5" w:rsidRPr="003E6B3B" w:rsidRDefault="007855B5" w:rsidP="00267F70">
            <w:pPr>
              <w:jc w:val="both"/>
              <w:rPr>
                <w:rFonts w:asciiTheme="majorHAnsi" w:hAnsiTheme="majorHAnsi"/>
                <w:sz w:val="18"/>
                <w:szCs w:val="18"/>
              </w:rPr>
            </w:pPr>
            <w:r w:rsidRPr="003E6B3B">
              <w:rPr>
                <w:rFonts w:asciiTheme="majorHAnsi" w:hAnsiTheme="majorHAnsi"/>
                <w:sz w:val="18"/>
                <w:szCs w:val="18"/>
              </w:rPr>
              <w:t xml:space="preserve">Accepted </w:t>
            </w:r>
            <w:proofErr w:type="gramStart"/>
            <w:r w:rsidRPr="003E6B3B">
              <w:rPr>
                <w:rFonts w:asciiTheme="majorHAnsi" w:hAnsiTheme="majorHAnsi"/>
                <w:sz w:val="18"/>
                <w:szCs w:val="18"/>
              </w:rPr>
              <w:t xml:space="preserve">  :</w:t>
            </w:r>
            <w:proofErr w:type="gramEnd"/>
            <w:r w:rsidRPr="003E6B3B">
              <w:rPr>
                <w:rFonts w:asciiTheme="majorHAnsi" w:hAnsiTheme="majorHAnsi"/>
                <w:sz w:val="18"/>
                <w:szCs w:val="18"/>
              </w:rPr>
              <w:t xml:space="preserve"> D-M-20XX</w:t>
            </w:r>
          </w:p>
          <w:p w14:paraId="7A2A6D1C" w14:textId="77777777" w:rsidR="007855B5" w:rsidRPr="003E6B3B" w:rsidRDefault="007855B5" w:rsidP="00267F70">
            <w:pPr>
              <w:jc w:val="both"/>
              <w:rPr>
                <w:rFonts w:asciiTheme="majorHAnsi" w:hAnsiTheme="majorHAnsi"/>
                <w:sz w:val="18"/>
                <w:szCs w:val="18"/>
              </w:rPr>
            </w:pPr>
            <w:r w:rsidRPr="003E6B3B">
              <w:rPr>
                <w:rFonts w:asciiTheme="majorHAnsi" w:hAnsiTheme="majorHAnsi"/>
                <w:sz w:val="18"/>
                <w:szCs w:val="18"/>
              </w:rPr>
              <w:t xml:space="preserve">Online      </w:t>
            </w:r>
            <w:proofErr w:type="gramStart"/>
            <w:r w:rsidRPr="003E6B3B">
              <w:rPr>
                <w:rFonts w:asciiTheme="majorHAnsi" w:hAnsiTheme="majorHAnsi"/>
                <w:sz w:val="18"/>
                <w:szCs w:val="18"/>
              </w:rPr>
              <w:t xml:space="preserve">  :</w:t>
            </w:r>
            <w:proofErr w:type="gramEnd"/>
            <w:r w:rsidRPr="003E6B3B">
              <w:rPr>
                <w:rFonts w:asciiTheme="majorHAnsi" w:hAnsiTheme="majorHAnsi"/>
                <w:sz w:val="18"/>
                <w:szCs w:val="18"/>
              </w:rPr>
              <w:t xml:space="preserve"> D-M-20</w:t>
            </w:r>
            <w:r w:rsidR="00B23EE2" w:rsidRPr="003E6B3B">
              <w:rPr>
                <w:rFonts w:asciiTheme="majorHAnsi" w:hAnsiTheme="majorHAnsi"/>
                <w:sz w:val="18"/>
                <w:szCs w:val="18"/>
              </w:rPr>
              <w:t>XX</w:t>
            </w:r>
          </w:p>
          <w:p w14:paraId="48A8C707" w14:textId="77777777" w:rsidR="003D74B8" w:rsidRPr="003E6B3B" w:rsidRDefault="003D74B8" w:rsidP="00B23EE2">
            <w:pPr>
              <w:jc w:val="both"/>
              <w:rPr>
                <w:rFonts w:asciiTheme="majorHAnsi" w:hAnsiTheme="majorHAnsi"/>
                <w:sz w:val="10"/>
                <w:szCs w:val="18"/>
              </w:rPr>
            </w:pPr>
          </w:p>
        </w:tc>
        <w:tc>
          <w:tcPr>
            <w:tcW w:w="283" w:type="dxa"/>
            <w:vMerge w:val="restart"/>
            <w:tcBorders>
              <w:top w:val="nil"/>
              <w:left w:val="nil"/>
              <w:right w:val="nil"/>
            </w:tcBorders>
          </w:tcPr>
          <w:p w14:paraId="0DE83B20" w14:textId="77777777" w:rsidR="007855B5" w:rsidRPr="003E6B3B" w:rsidRDefault="007855B5" w:rsidP="0059614C">
            <w:pPr>
              <w:spacing w:before="120"/>
              <w:jc w:val="both"/>
              <w:rPr>
                <w:rFonts w:asciiTheme="majorHAnsi" w:hAnsiTheme="majorHAnsi"/>
                <w:sz w:val="18"/>
                <w:szCs w:val="18"/>
              </w:rPr>
            </w:pPr>
          </w:p>
        </w:tc>
        <w:tc>
          <w:tcPr>
            <w:tcW w:w="7227" w:type="dxa"/>
            <w:gridSpan w:val="2"/>
            <w:vMerge w:val="restart"/>
            <w:tcBorders>
              <w:top w:val="single" w:sz="4" w:space="0" w:color="auto"/>
              <w:left w:val="nil"/>
              <w:right w:val="nil"/>
            </w:tcBorders>
          </w:tcPr>
          <w:p w14:paraId="2130FD77" w14:textId="76E2AE5D" w:rsidR="007855B5" w:rsidRPr="003E6B3B" w:rsidRDefault="0059614C" w:rsidP="0059614C">
            <w:pPr>
              <w:jc w:val="both"/>
              <w:rPr>
                <w:rFonts w:asciiTheme="majorHAnsi" w:hAnsiTheme="majorHAnsi"/>
                <w:sz w:val="20"/>
                <w:szCs w:val="20"/>
                <w:lang w:val="en-US"/>
              </w:rPr>
            </w:pPr>
            <w:r w:rsidRPr="003E6B3B">
              <w:rPr>
                <w:rFonts w:asciiTheme="majorHAnsi" w:hAnsiTheme="majorHAnsi"/>
                <w:sz w:val="20"/>
                <w:szCs w:val="20"/>
                <w:lang w:val="id-ID"/>
              </w:rPr>
              <w:t>Multi-objective integer optimization model that contain uncertain parameter can be handled using the Adjustable Robust Counterpart (ARC) m</w:t>
            </w:r>
            <w:r w:rsidR="00082137">
              <w:rPr>
                <w:rFonts w:asciiTheme="majorHAnsi" w:hAnsiTheme="majorHAnsi"/>
                <w:sz w:val="20"/>
                <w:szCs w:val="20"/>
                <w:lang w:val="en-US"/>
              </w:rPr>
              <w:t>e</w:t>
            </w:r>
            <w:r w:rsidRPr="003E6B3B">
              <w:rPr>
                <w:rFonts w:asciiTheme="majorHAnsi" w:hAnsiTheme="majorHAnsi"/>
                <w:sz w:val="20"/>
                <w:szCs w:val="20"/>
                <w:lang w:val="id-ID"/>
              </w:rPr>
              <w:t>thodology with Polyhedral Uncertainty Set. The ARC method has two stages of completion, so completing the second stage can be assisted by the Benders Decomposition. This paper discusses the Systematic Literature Review (SLR) on this topic using the Preferred Reporting Items for Systematic Reviews and Meta-Analysis (PRISMA). PRISMA presents a database mining algorithm for previous articles and related topics sourced from Scopus, Science Direct, Dimensions, and Google Scholar. Four stages of the algorithm are used, namely Identification, Screening, Eligibility, and Included. In the Eligibility stage, a database of articles is obtained called Dataset 1, used for bibliometric mapping and evolutionary analysis. Moreover, in the Included stage, a final article database was obtained called Dataset 2, which was used to analyze research gaps and novelty. The analysis was carried out on two datasets, assisted by the output visualisation using RStudio software with the " bibliometrix" package, then we use the command 'biblioshiny()' to create a link to the “shiny web interface”. At the final stage of the article, it is concluded that there is no research on the ARC multi-objective integer optimization model with Polyhedral Uncertainty Sets using the Benders Decomposition Method, which focuses on discussing the general model and its mathematical analysis. This becomes the primary reference for further research on this topic. To complete this discussion, we conduct two research questions regarding the</w:t>
            </w:r>
            <w:r w:rsidR="00267F70" w:rsidRPr="003E6B3B">
              <w:rPr>
                <w:rFonts w:asciiTheme="majorHAnsi" w:hAnsiTheme="majorHAnsi"/>
                <w:sz w:val="20"/>
                <w:szCs w:val="20"/>
                <w:lang w:val="en-US"/>
              </w:rPr>
              <w:t xml:space="preserve"> methods, application, research gaps, and recommendations of the topic</w:t>
            </w:r>
            <w:r w:rsidR="007855B5" w:rsidRPr="003E6B3B">
              <w:rPr>
                <w:rFonts w:asciiTheme="majorHAnsi" w:hAnsiTheme="majorHAnsi"/>
                <w:sz w:val="20"/>
                <w:szCs w:val="20"/>
                <w:lang w:val="id-ID"/>
              </w:rPr>
              <w:t>.</w:t>
            </w:r>
          </w:p>
          <w:p w14:paraId="6F78729A" w14:textId="77777777" w:rsidR="007855B5" w:rsidRPr="003E6B3B" w:rsidRDefault="007855B5" w:rsidP="00C93BB2">
            <w:pPr>
              <w:spacing w:before="120" w:after="240"/>
              <w:jc w:val="both"/>
              <w:rPr>
                <w:rFonts w:asciiTheme="majorHAnsi" w:hAnsiTheme="majorHAnsi"/>
                <w:i/>
                <w:sz w:val="20"/>
                <w:szCs w:val="20"/>
                <w:lang w:val="en-US"/>
              </w:rPr>
            </w:pPr>
          </w:p>
        </w:tc>
      </w:tr>
      <w:tr w:rsidR="007855B5" w:rsidRPr="003E6B3B" w14:paraId="63B33060" w14:textId="77777777" w:rsidTr="0059614C">
        <w:trPr>
          <w:trHeight w:val="1569"/>
          <w:jc w:val="center"/>
        </w:trPr>
        <w:tc>
          <w:tcPr>
            <w:tcW w:w="2113" w:type="dxa"/>
            <w:tcBorders>
              <w:top w:val="single" w:sz="4" w:space="0" w:color="auto"/>
              <w:left w:val="nil"/>
              <w:bottom w:val="single" w:sz="4" w:space="0" w:color="auto"/>
              <w:right w:val="nil"/>
            </w:tcBorders>
          </w:tcPr>
          <w:p w14:paraId="51B06BD3" w14:textId="77777777" w:rsidR="007855B5" w:rsidRPr="003E6B3B" w:rsidRDefault="007855B5" w:rsidP="0059614C">
            <w:pPr>
              <w:spacing w:before="120" w:after="120"/>
              <w:jc w:val="both"/>
              <w:rPr>
                <w:rFonts w:asciiTheme="majorHAnsi" w:hAnsiTheme="majorHAnsi"/>
                <w:b/>
                <w:i/>
                <w:sz w:val="18"/>
                <w:szCs w:val="18"/>
              </w:rPr>
            </w:pPr>
            <w:r w:rsidRPr="003E6B3B">
              <w:rPr>
                <w:rFonts w:asciiTheme="majorHAnsi" w:hAnsiTheme="majorHAnsi"/>
                <w:b/>
                <w:sz w:val="18"/>
                <w:szCs w:val="18"/>
              </w:rPr>
              <w:t>Keyword</w:t>
            </w:r>
            <w:r w:rsidRPr="003E6B3B">
              <w:rPr>
                <w:rFonts w:asciiTheme="majorHAnsi" w:hAnsiTheme="majorHAnsi"/>
                <w:b/>
                <w:i/>
                <w:sz w:val="18"/>
                <w:szCs w:val="18"/>
              </w:rPr>
              <w:t>:</w:t>
            </w:r>
          </w:p>
          <w:p w14:paraId="78255E62" w14:textId="2184E09E" w:rsidR="007855B5" w:rsidRPr="003E6B3B" w:rsidRDefault="0059614C" w:rsidP="009B0A53">
            <w:pPr>
              <w:jc w:val="both"/>
              <w:rPr>
                <w:rFonts w:asciiTheme="majorHAnsi" w:hAnsiTheme="majorHAnsi"/>
                <w:sz w:val="18"/>
                <w:szCs w:val="18"/>
              </w:rPr>
            </w:pPr>
            <w:r w:rsidRPr="003E6B3B">
              <w:rPr>
                <w:rFonts w:asciiTheme="majorHAnsi" w:hAnsiTheme="majorHAnsi"/>
                <w:sz w:val="18"/>
                <w:szCs w:val="18"/>
              </w:rPr>
              <w:t>Systematic Literature Review</w:t>
            </w:r>
            <w:r w:rsidR="007855B5" w:rsidRPr="003E6B3B">
              <w:rPr>
                <w:rFonts w:asciiTheme="majorHAnsi" w:hAnsiTheme="majorHAnsi"/>
                <w:sz w:val="18"/>
                <w:szCs w:val="18"/>
              </w:rPr>
              <w:t xml:space="preserve">; </w:t>
            </w:r>
          </w:p>
          <w:p w14:paraId="4CA2C28C" w14:textId="7A38D7DF" w:rsidR="007855B5" w:rsidRPr="003E6B3B" w:rsidRDefault="0059614C" w:rsidP="009B0A53">
            <w:pPr>
              <w:jc w:val="both"/>
              <w:rPr>
                <w:rFonts w:asciiTheme="majorHAnsi" w:hAnsiTheme="majorHAnsi"/>
                <w:sz w:val="18"/>
                <w:szCs w:val="18"/>
              </w:rPr>
            </w:pPr>
            <w:r w:rsidRPr="003E6B3B">
              <w:rPr>
                <w:rFonts w:asciiTheme="majorHAnsi" w:hAnsiTheme="majorHAnsi"/>
                <w:sz w:val="18"/>
                <w:szCs w:val="18"/>
              </w:rPr>
              <w:t>Adjustable Robust Counterpart</w:t>
            </w:r>
            <w:r w:rsidR="007855B5" w:rsidRPr="003E6B3B">
              <w:rPr>
                <w:rFonts w:asciiTheme="majorHAnsi" w:hAnsiTheme="majorHAnsi"/>
                <w:sz w:val="18"/>
                <w:szCs w:val="18"/>
              </w:rPr>
              <w:t xml:space="preserve">; </w:t>
            </w:r>
          </w:p>
          <w:p w14:paraId="1B0E52E6" w14:textId="0ABFE9D1" w:rsidR="007855B5" w:rsidRPr="003E6B3B" w:rsidRDefault="0059614C" w:rsidP="009B0A53">
            <w:pPr>
              <w:jc w:val="both"/>
              <w:rPr>
                <w:rFonts w:asciiTheme="majorHAnsi" w:hAnsiTheme="majorHAnsi"/>
                <w:sz w:val="18"/>
                <w:szCs w:val="18"/>
              </w:rPr>
            </w:pPr>
            <w:r w:rsidRPr="003E6B3B">
              <w:rPr>
                <w:rFonts w:asciiTheme="majorHAnsi" w:hAnsiTheme="majorHAnsi"/>
                <w:sz w:val="18"/>
                <w:szCs w:val="18"/>
              </w:rPr>
              <w:t>Integer Optimization Model</w:t>
            </w:r>
            <w:r w:rsidR="007855B5" w:rsidRPr="003E6B3B">
              <w:rPr>
                <w:rFonts w:asciiTheme="majorHAnsi" w:hAnsiTheme="majorHAnsi"/>
                <w:sz w:val="18"/>
                <w:szCs w:val="18"/>
              </w:rPr>
              <w:t xml:space="preserve">; </w:t>
            </w:r>
          </w:p>
          <w:p w14:paraId="0F8EF376" w14:textId="230A353C" w:rsidR="007855B5" w:rsidRPr="003E6B3B" w:rsidRDefault="0059614C" w:rsidP="009B0A53">
            <w:pPr>
              <w:jc w:val="both"/>
              <w:rPr>
                <w:rFonts w:asciiTheme="majorHAnsi" w:hAnsiTheme="majorHAnsi"/>
                <w:sz w:val="18"/>
                <w:szCs w:val="18"/>
              </w:rPr>
            </w:pPr>
            <w:r w:rsidRPr="003E6B3B">
              <w:rPr>
                <w:rFonts w:asciiTheme="majorHAnsi" w:hAnsiTheme="majorHAnsi"/>
                <w:sz w:val="18"/>
                <w:szCs w:val="18"/>
              </w:rPr>
              <w:t>Polyhedral Uncertainty Set</w:t>
            </w:r>
            <w:r w:rsidR="007855B5" w:rsidRPr="003E6B3B">
              <w:rPr>
                <w:rFonts w:asciiTheme="majorHAnsi" w:hAnsiTheme="majorHAnsi"/>
                <w:sz w:val="18"/>
                <w:szCs w:val="18"/>
              </w:rPr>
              <w:t xml:space="preserve">; </w:t>
            </w:r>
          </w:p>
          <w:p w14:paraId="052B2874" w14:textId="17AE9420" w:rsidR="007855B5" w:rsidRPr="003E6B3B" w:rsidRDefault="0059614C" w:rsidP="0059614C">
            <w:pPr>
              <w:jc w:val="both"/>
              <w:rPr>
                <w:rFonts w:asciiTheme="majorHAnsi" w:hAnsiTheme="majorHAnsi"/>
                <w:sz w:val="18"/>
                <w:szCs w:val="18"/>
              </w:rPr>
            </w:pPr>
            <w:r w:rsidRPr="003E6B3B">
              <w:rPr>
                <w:rFonts w:asciiTheme="majorHAnsi" w:hAnsiTheme="majorHAnsi"/>
                <w:sz w:val="18"/>
                <w:szCs w:val="18"/>
              </w:rPr>
              <w:t>Benders Decomposition.</w:t>
            </w:r>
          </w:p>
        </w:tc>
        <w:tc>
          <w:tcPr>
            <w:tcW w:w="283" w:type="dxa"/>
            <w:vMerge/>
            <w:tcBorders>
              <w:left w:val="nil"/>
              <w:right w:val="nil"/>
            </w:tcBorders>
          </w:tcPr>
          <w:p w14:paraId="63BBB07F" w14:textId="77777777" w:rsidR="007855B5" w:rsidRPr="003E6B3B" w:rsidRDefault="007855B5" w:rsidP="0059614C">
            <w:pPr>
              <w:spacing w:before="120"/>
              <w:jc w:val="both"/>
              <w:rPr>
                <w:rFonts w:asciiTheme="majorHAnsi" w:hAnsiTheme="majorHAnsi"/>
                <w:sz w:val="18"/>
                <w:szCs w:val="18"/>
              </w:rPr>
            </w:pPr>
          </w:p>
        </w:tc>
        <w:tc>
          <w:tcPr>
            <w:tcW w:w="7227" w:type="dxa"/>
            <w:gridSpan w:val="2"/>
            <w:vMerge/>
            <w:tcBorders>
              <w:left w:val="nil"/>
              <w:right w:val="nil"/>
            </w:tcBorders>
          </w:tcPr>
          <w:p w14:paraId="326EE77B" w14:textId="77777777" w:rsidR="007855B5" w:rsidRPr="003E6B3B" w:rsidRDefault="007855B5" w:rsidP="0059614C">
            <w:pPr>
              <w:spacing w:before="120"/>
              <w:jc w:val="both"/>
              <w:rPr>
                <w:rFonts w:asciiTheme="majorHAnsi" w:hAnsiTheme="majorHAnsi"/>
                <w:iCs/>
                <w:color w:val="000000"/>
                <w:sz w:val="18"/>
                <w:szCs w:val="18"/>
              </w:rPr>
            </w:pPr>
          </w:p>
        </w:tc>
      </w:tr>
      <w:tr w:rsidR="007855B5" w:rsidRPr="003E6B3B" w14:paraId="60B879C9" w14:textId="77777777" w:rsidTr="0059614C">
        <w:trPr>
          <w:trHeight w:val="355"/>
          <w:jc w:val="center"/>
        </w:trPr>
        <w:tc>
          <w:tcPr>
            <w:tcW w:w="2113" w:type="dxa"/>
            <w:tcBorders>
              <w:top w:val="single" w:sz="4" w:space="0" w:color="auto"/>
              <w:left w:val="nil"/>
              <w:bottom w:val="single" w:sz="4" w:space="0" w:color="auto"/>
              <w:right w:val="nil"/>
            </w:tcBorders>
          </w:tcPr>
          <w:p w14:paraId="6C53B2C8" w14:textId="77777777" w:rsidR="007855B5" w:rsidRPr="003E6B3B" w:rsidRDefault="007855B5" w:rsidP="007855B5">
            <w:pPr>
              <w:jc w:val="center"/>
              <w:rPr>
                <w:rFonts w:asciiTheme="majorHAnsi" w:hAnsiTheme="majorHAnsi"/>
                <w:b/>
                <w:sz w:val="8"/>
                <w:szCs w:val="18"/>
              </w:rPr>
            </w:pPr>
          </w:p>
          <w:p w14:paraId="61FE8FAD" w14:textId="77777777" w:rsidR="007855B5" w:rsidRPr="003E6B3B" w:rsidRDefault="007855B5" w:rsidP="007855B5">
            <w:pPr>
              <w:jc w:val="center"/>
              <w:rPr>
                <w:rFonts w:asciiTheme="majorHAnsi" w:hAnsiTheme="majorHAnsi"/>
                <w:b/>
                <w:sz w:val="18"/>
                <w:szCs w:val="18"/>
              </w:rPr>
            </w:pPr>
            <w:r w:rsidRPr="003E6B3B">
              <w:rPr>
                <w:rFonts w:asciiTheme="majorHAnsi" w:hAnsiTheme="majorHAnsi"/>
                <w:noProof/>
                <w:lang w:val="en-US" w:eastAsia="en-US"/>
              </w:rPr>
              <w:drawing>
                <wp:inline distT="0" distB="0" distL="0" distR="0" wp14:anchorId="249C1196" wp14:editId="125B6948">
                  <wp:extent cx="612000" cy="612000"/>
                  <wp:effectExtent l="0" t="0" r="0" b="0"/>
                  <wp:docPr id="2" name="Picture 2" descr="E:\UMUM\OJSQ\JTAM\JTAM-Barcod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MUM\OJSQ\JTAM\JTAM-Barcode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p w14:paraId="7DDAC4C6" w14:textId="77777777" w:rsidR="007855B5" w:rsidRPr="003E6B3B" w:rsidRDefault="007855B5" w:rsidP="007855B5">
            <w:pPr>
              <w:jc w:val="center"/>
              <w:rPr>
                <w:rFonts w:asciiTheme="majorHAnsi" w:hAnsiTheme="majorHAnsi"/>
                <w:b/>
                <w:sz w:val="10"/>
                <w:szCs w:val="18"/>
              </w:rPr>
            </w:pPr>
          </w:p>
        </w:tc>
        <w:tc>
          <w:tcPr>
            <w:tcW w:w="283" w:type="dxa"/>
            <w:vMerge/>
            <w:tcBorders>
              <w:left w:val="nil"/>
              <w:bottom w:val="single" w:sz="4" w:space="0" w:color="auto"/>
              <w:right w:val="nil"/>
            </w:tcBorders>
          </w:tcPr>
          <w:p w14:paraId="4CBBD378" w14:textId="77777777" w:rsidR="007855B5" w:rsidRPr="003E6B3B" w:rsidRDefault="007855B5" w:rsidP="0059614C">
            <w:pPr>
              <w:spacing w:before="120"/>
              <w:jc w:val="both"/>
              <w:rPr>
                <w:rFonts w:asciiTheme="majorHAnsi" w:hAnsiTheme="majorHAnsi"/>
                <w:sz w:val="18"/>
                <w:szCs w:val="18"/>
              </w:rPr>
            </w:pPr>
          </w:p>
        </w:tc>
        <w:tc>
          <w:tcPr>
            <w:tcW w:w="7227" w:type="dxa"/>
            <w:gridSpan w:val="2"/>
            <w:vMerge/>
            <w:tcBorders>
              <w:left w:val="nil"/>
              <w:bottom w:val="single" w:sz="4" w:space="0" w:color="auto"/>
              <w:right w:val="nil"/>
            </w:tcBorders>
          </w:tcPr>
          <w:p w14:paraId="5CAC8007" w14:textId="77777777" w:rsidR="007855B5" w:rsidRPr="003E6B3B" w:rsidRDefault="007855B5" w:rsidP="0059614C">
            <w:pPr>
              <w:spacing w:before="120"/>
              <w:jc w:val="both"/>
              <w:rPr>
                <w:rFonts w:asciiTheme="majorHAnsi" w:hAnsiTheme="majorHAnsi"/>
                <w:iCs/>
                <w:color w:val="000000"/>
                <w:sz w:val="18"/>
                <w:szCs w:val="18"/>
              </w:rPr>
            </w:pPr>
          </w:p>
        </w:tc>
      </w:tr>
      <w:tr w:rsidR="00F41BED" w:rsidRPr="003E6B3B" w14:paraId="0B546681" w14:textId="77777777" w:rsidTr="00F41BED">
        <w:trPr>
          <w:trHeight w:val="60"/>
          <w:jc w:val="center"/>
        </w:trPr>
        <w:tc>
          <w:tcPr>
            <w:tcW w:w="4685" w:type="dxa"/>
            <w:gridSpan w:val="3"/>
            <w:tcBorders>
              <w:top w:val="single" w:sz="4" w:space="0" w:color="auto"/>
              <w:left w:val="nil"/>
              <w:bottom w:val="single" w:sz="4" w:space="0" w:color="auto"/>
              <w:right w:val="nil"/>
            </w:tcBorders>
          </w:tcPr>
          <w:p w14:paraId="20250DC8" w14:textId="77777777" w:rsidR="00F41BED" w:rsidRPr="003E6B3B" w:rsidRDefault="00F41BED" w:rsidP="005F4A93">
            <w:pPr>
              <w:ind w:right="-13"/>
              <w:jc w:val="center"/>
              <w:rPr>
                <w:rFonts w:asciiTheme="majorHAnsi" w:hAnsiTheme="majorHAnsi"/>
                <w:sz w:val="18"/>
                <w:szCs w:val="18"/>
              </w:rPr>
            </w:pPr>
            <w:r w:rsidRPr="003E6B3B">
              <w:rPr>
                <w:rFonts w:asciiTheme="majorHAnsi" w:hAnsiTheme="majorHAnsi"/>
                <w:noProof/>
                <w:sz w:val="18"/>
                <w:szCs w:val="18"/>
                <w:lang w:val="en-US" w:eastAsia="en-US"/>
              </w:rPr>
              <w:drawing>
                <wp:inline distT="0" distB="0" distL="0" distR="0" wp14:anchorId="57E2B510" wp14:editId="2F4912B6">
                  <wp:extent cx="713549" cy="211984"/>
                  <wp:effectExtent l="0" t="0" r="0" b="0"/>
                  <wp:docPr id="5" name="Picture 5" descr="C:\Users\WINDOWS 7\Documents\Indeksi\New-C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7\Documents\Indeksi\New-Cro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2925" cy="214769"/>
                          </a:xfrm>
                          <a:prstGeom prst="rect">
                            <a:avLst/>
                          </a:prstGeom>
                          <a:noFill/>
                          <a:ln>
                            <a:noFill/>
                          </a:ln>
                        </pic:spPr>
                      </pic:pic>
                    </a:graphicData>
                  </a:graphic>
                </wp:inline>
              </w:drawing>
            </w:r>
          </w:p>
          <w:p w14:paraId="488E6B80" w14:textId="77777777" w:rsidR="00F41BED" w:rsidRPr="003E6B3B" w:rsidRDefault="00E329E2" w:rsidP="005F4A93">
            <w:pPr>
              <w:jc w:val="center"/>
              <w:rPr>
                <w:rFonts w:asciiTheme="majorHAnsi" w:hAnsiTheme="majorHAnsi"/>
                <w:iCs/>
                <w:color w:val="000000"/>
                <w:sz w:val="18"/>
                <w:szCs w:val="18"/>
              </w:rPr>
            </w:pPr>
            <w:hyperlink r:id="rId17" w:history="1">
              <w:r w:rsidR="00F41BED" w:rsidRPr="003E6B3B">
                <w:rPr>
                  <w:rStyle w:val="Hyperlink"/>
                  <w:rFonts w:asciiTheme="majorHAnsi" w:hAnsiTheme="majorHAnsi" w:cs="Tahoma"/>
                  <w:sz w:val="18"/>
                  <w:szCs w:val="18"/>
                  <w:shd w:val="clear" w:color="auto" w:fill="FFFFFF"/>
                </w:rPr>
                <w:t>https://doi.org/10.31764/jtam.vXiY.ZZZ</w:t>
              </w:r>
            </w:hyperlink>
          </w:p>
        </w:tc>
        <w:tc>
          <w:tcPr>
            <w:tcW w:w="4938" w:type="dxa"/>
            <w:tcBorders>
              <w:top w:val="single" w:sz="4" w:space="0" w:color="auto"/>
              <w:left w:val="nil"/>
              <w:bottom w:val="single" w:sz="4" w:space="0" w:color="auto"/>
              <w:right w:val="nil"/>
            </w:tcBorders>
          </w:tcPr>
          <w:p w14:paraId="1ABEF009" w14:textId="77777777" w:rsidR="00F41BED" w:rsidRPr="003E6B3B" w:rsidRDefault="00F41BED" w:rsidP="005F4A93">
            <w:pPr>
              <w:ind w:right="-13"/>
              <w:jc w:val="center"/>
              <w:rPr>
                <w:rFonts w:asciiTheme="majorHAnsi" w:hAnsiTheme="majorHAnsi"/>
                <w:sz w:val="18"/>
                <w:szCs w:val="18"/>
              </w:rPr>
            </w:pPr>
            <w:r w:rsidRPr="003E6B3B">
              <w:rPr>
                <w:rFonts w:asciiTheme="majorHAnsi" w:hAnsiTheme="majorHAnsi"/>
                <w:iCs/>
                <w:noProof/>
                <w:color w:val="000000"/>
                <w:sz w:val="18"/>
                <w:szCs w:val="18"/>
                <w:lang w:val="en-US" w:eastAsia="en-US"/>
              </w:rPr>
              <w:drawing>
                <wp:inline distT="0" distB="0" distL="0" distR="0" wp14:anchorId="215F992D" wp14:editId="6B840AA4">
                  <wp:extent cx="560677" cy="197511"/>
                  <wp:effectExtent l="0" t="0" r="0" b="0"/>
                  <wp:docPr id="1" name="Picture 1"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7\Documents\Indeksi\88x3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784" cy="198605"/>
                          </a:xfrm>
                          <a:prstGeom prst="rect">
                            <a:avLst/>
                          </a:prstGeom>
                          <a:noFill/>
                          <a:ln>
                            <a:noFill/>
                          </a:ln>
                        </pic:spPr>
                      </pic:pic>
                    </a:graphicData>
                  </a:graphic>
                </wp:inline>
              </w:drawing>
            </w:r>
          </w:p>
          <w:p w14:paraId="2A0B3747" w14:textId="77777777" w:rsidR="00F41BED" w:rsidRPr="003E6B3B" w:rsidRDefault="00F41BED" w:rsidP="005F4A93">
            <w:pPr>
              <w:jc w:val="center"/>
              <w:rPr>
                <w:rFonts w:asciiTheme="majorHAnsi" w:hAnsiTheme="majorHAnsi"/>
                <w:b/>
                <w:iCs/>
                <w:color w:val="000000"/>
                <w:sz w:val="18"/>
                <w:szCs w:val="18"/>
              </w:rPr>
            </w:pPr>
            <w:r w:rsidRPr="003E6B3B">
              <w:rPr>
                <w:rFonts w:asciiTheme="majorHAnsi" w:hAnsiTheme="majorHAnsi"/>
                <w:b/>
                <w:iCs/>
                <w:color w:val="000000"/>
                <w:sz w:val="18"/>
                <w:szCs w:val="18"/>
              </w:rPr>
              <w:t xml:space="preserve">This is an open access article under the </w:t>
            </w:r>
            <w:r w:rsidRPr="003E6B3B">
              <w:rPr>
                <w:rFonts w:asciiTheme="majorHAnsi" w:hAnsiTheme="majorHAnsi"/>
                <w:b/>
                <w:iCs/>
                <w:color w:val="4F81BD" w:themeColor="accent1"/>
                <w:sz w:val="18"/>
                <w:szCs w:val="18"/>
              </w:rPr>
              <w:t>CC–BY-SA</w:t>
            </w:r>
            <w:r w:rsidRPr="003E6B3B">
              <w:rPr>
                <w:rFonts w:asciiTheme="majorHAnsi" w:hAnsiTheme="majorHAnsi"/>
                <w:b/>
                <w:iCs/>
                <w:color w:val="000000"/>
                <w:sz w:val="18"/>
                <w:szCs w:val="18"/>
              </w:rPr>
              <w:t xml:space="preserve"> license</w:t>
            </w:r>
          </w:p>
        </w:tc>
      </w:tr>
    </w:tbl>
    <w:p w14:paraId="3FED0FD2" w14:textId="77777777" w:rsidR="00F66CC2" w:rsidRPr="003E6B3B" w:rsidRDefault="00F66CC2" w:rsidP="00F66CC2">
      <w:pPr>
        <w:pStyle w:val="PARAGRAPHnoindent"/>
        <w:spacing w:line="240" w:lineRule="auto"/>
        <w:jc w:val="center"/>
        <w:rPr>
          <w:rFonts w:asciiTheme="majorHAnsi" w:hAnsiTheme="majorHAnsi"/>
          <w:color w:val="000000"/>
          <w:sz w:val="14"/>
          <w:szCs w:val="14"/>
        </w:rPr>
      </w:pPr>
    </w:p>
    <w:p w14:paraId="0484C488" w14:textId="77777777" w:rsidR="00437CE1" w:rsidRPr="003E6B3B" w:rsidRDefault="00437CE1" w:rsidP="00F66CC2">
      <w:pPr>
        <w:pStyle w:val="PARAGRAPHnoindent"/>
        <w:spacing w:line="240" w:lineRule="auto"/>
        <w:jc w:val="center"/>
        <w:rPr>
          <w:rFonts w:asciiTheme="majorHAnsi" w:hAnsiTheme="majorHAnsi"/>
          <w:color w:val="000000"/>
        </w:rPr>
      </w:pPr>
    </w:p>
    <w:p w14:paraId="747455B1" w14:textId="77777777" w:rsidR="00F66CC2" w:rsidRPr="003E6B3B" w:rsidRDefault="00F66CC2" w:rsidP="00F66CC2">
      <w:pPr>
        <w:pStyle w:val="PARAGRAPHnoindent"/>
        <w:spacing w:line="240" w:lineRule="auto"/>
        <w:jc w:val="center"/>
        <w:rPr>
          <w:rFonts w:asciiTheme="majorHAnsi" w:hAnsiTheme="majorHAnsi"/>
          <w:color w:val="000000"/>
        </w:rPr>
      </w:pPr>
      <w:r w:rsidRPr="003E6B3B">
        <w:rPr>
          <w:rFonts w:asciiTheme="majorHAnsi" w:hAnsiTheme="majorHAnsi"/>
          <w:color w:val="000000"/>
        </w:rPr>
        <w:t>——————————</w:t>
      </w:r>
      <w:r w:rsidRPr="003E6B3B">
        <w:rPr>
          <w:rFonts w:asciiTheme="majorHAnsi" w:hAnsiTheme="majorHAnsi"/>
          <w:color w:val="000000"/>
          <w:position w:val="-2"/>
        </w:rPr>
        <w:t xml:space="preserve">   </w:t>
      </w:r>
      <w:r w:rsidRPr="003E6B3B">
        <w:rPr>
          <w:rFonts w:asciiTheme="majorHAnsi" w:hAnsiTheme="majorHAnsi"/>
          <w:color w:val="000000"/>
          <w:position w:val="-2"/>
        </w:rPr>
        <w:sym w:font="Wingdings" w:char="F075"/>
      </w:r>
      <w:r w:rsidRPr="003E6B3B">
        <w:rPr>
          <w:rFonts w:asciiTheme="majorHAnsi" w:hAnsiTheme="majorHAnsi"/>
          <w:color w:val="000000"/>
          <w:position w:val="-2"/>
        </w:rPr>
        <w:t xml:space="preserve">   </w:t>
      </w:r>
      <w:r w:rsidRPr="003E6B3B">
        <w:rPr>
          <w:rFonts w:asciiTheme="majorHAnsi" w:hAnsiTheme="majorHAnsi"/>
          <w:color w:val="000000"/>
        </w:rPr>
        <w:t>——————————</w:t>
      </w:r>
    </w:p>
    <w:p w14:paraId="2E0861A9" w14:textId="73951A1B" w:rsidR="00437CE1" w:rsidRPr="003E6B3B" w:rsidRDefault="00437CE1" w:rsidP="00437CE1">
      <w:pPr>
        <w:rPr>
          <w:rFonts w:asciiTheme="majorHAnsi" w:hAnsiTheme="majorHAnsi"/>
          <w:lang w:val="en-US" w:eastAsia="en-US"/>
        </w:rPr>
      </w:pPr>
    </w:p>
    <w:p w14:paraId="3A178308" w14:textId="330AA23F" w:rsidR="00267F70" w:rsidRPr="003E6B3B" w:rsidRDefault="00267F70" w:rsidP="00437CE1">
      <w:pPr>
        <w:rPr>
          <w:rFonts w:asciiTheme="majorHAnsi" w:hAnsiTheme="majorHAnsi"/>
          <w:lang w:val="en-US" w:eastAsia="en-US"/>
        </w:rPr>
      </w:pPr>
    </w:p>
    <w:p w14:paraId="39FF2AA5" w14:textId="0D13DB07" w:rsidR="00267F70" w:rsidRPr="003E6B3B" w:rsidRDefault="00267F70" w:rsidP="00437CE1">
      <w:pPr>
        <w:rPr>
          <w:rFonts w:asciiTheme="majorHAnsi" w:hAnsiTheme="majorHAnsi"/>
          <w:lang w:val="en-US" w:eastAsia="en-US"/>
        </w:rPr>
      </w:pPr>
    </w:p>
    <w:p w14:paraId="4DC66246" w14:textId="4EB50340" w:rsidR="00267F70" w:rsidRPr="003E6B3B" w:rsidRDefault="00267F70" w:rsidP="00437CE1">
      <w:pPr>
        <w:rPr>
          <w:rFonts w:asciiTheme="majorHAnsi" w:hAnsiTheme="majorHAnsi"/>
          <w:lang w:val="en-US" w:eastAsia="en-US"/>
        </w:rPr>
      </w:pPr>
    </w:p>
    <w:p w14:paraId="114A96B4" w14:textId="4109621E" w:rsidR="00267F70" w:rsidRDefault="00267F70" w:rsidP="00437CE1">
      <w:pPr>
        <w:rPr>
          <w:rFonts w:asciiTheme="majorHAnsi" w:hAnsiTheme="majorHAnsi"/>
          <w:lang w:val="en-US" w:eastAsia="en-US"/>
        </w:rPr>
      </w:pPr>
    </w:p>
    <w:p w14:paraId="2005E241" w14:textId="1CC5AAC9" w:rsidR="00CB5155" w:rsidRDefault="00CB5155" w:rsidP="00437CE1">
      <w:pPr>
        <w:rPr>
          <w:rFonts w:asciiTheme="majorHAnsi" w:hAnsiTheme="majorHAnsi"/>
          <w:lang w:val="en-US" w:eastAsia="en-US"/>
        </w:rPr>
      </w:pPr>
    </w:p>
    <w:p w14:paraId="6635AC52" w14:textId="77777777" w:rsidR="00CB5155" w:rsidRPr="003E6B3B" w:rsidRDefault="00CB5155" w:rsidP="00437CE1">
      <w:pPr>
        <w:rPr>
          <w:rFonts w:asciiTheme="majorHAnsi" w:hAnsiTheme="majorHAnsi"/>
          <w:lang w:val="en-US" w:eastAsia="en-US"/>
        </w:rPr>
      </w:pPr>
    </w:p>
    <w:p w14:paraId="12975BB3" w14:textId="77777777" w:rsidR="00B3521D" w:rsidRPr="003E6B3B" w:rsidRDefault="00B3521D" w:rsidP="00B3521D">
      <w:pPr>
        <w:rPr>
          <w:rFonts w:asciiTheme="majorHAnsi" w:hAnsiTheme="majorHAnsi"/>
          <w:sz w:val="14"/>
          <w:lang w:val="en-US" w:eastAsia="en-US"/>
        </w:rPr>
      </w:pPr>
    </w:p>
    <w:p w14:paraId="53A5AA8F" w14:textId="77777777" w:rsidR="00B3521D" w:rsidRPr="003E6B3B" w:rsidRDefault="00B3521D" w:rsidP="006A3AE1">
      <w:pPr>
        <w:pStyle w:val="IEEEHeading1"/>
        <w:numPr>
          <w:ilvl w:val="0"/>
          <w:numId w:val="0"/>
        </w:numPr>
        <w:ind w:left="360"/>
        <w:jc w:val="left"/>
        <w:rPr>
          <w:rFonts w:asciiTheme="majorHAnsi" w:hAnsiTheme="majorHAnsi"/>
          <w:b/>
          <w:iCs/>
          <w:sz w:val="26"/>
          <w:szCs w:val="20"/>
          <w:lang w:val="id-ID"/>
        </w:rPr>
        <w:sectPr w:rsidR="00B3521D" w:rsidRPr="003E6B3B" w:rsidSect="00267F70">
          <w:type w:val="continuous"/>
          <w:pgSz w:w="11906" w:h="16838" w:code="9"/>
          <w:pgMar w:top="1134" w:right="1134" w:bottom="1134" w:left="1134" w:header="851" w:footer="567" w:gutter="0"/>
          <w:cols w:space="238"/>
          <w:docGrid w:linePitch="360"/>
        </w:sectPr>
      </w:pPr>
    </w:p>
    <w:p w14:paraId="158D0333" w14:textId="58F013C6" w:rsidR="00AD335D" w:rsidRPr="003E6B3B" w:rsidRDefault="009B0A53" w:rsidP="00E77E85">
      <w:pPr>
        <w:pStyle w:val="IEEEHeading1"/>
        <w:numPr>
          <w:ilvl w:val="0"/>
          <w:numId w:val="11"/>
        </w:numPr>
        <w:spacing w:before="0" w:after="0" w:line="23" w:lineRule="atLeast"/>
        <w:jc w:val="left"/>
        <w:rPr>
          <w:rFonts w:asciiTheme="majorHAnsi" w:hAnsiTheme="majorHAnsi"/>
          <w:b/>
          <w:sz w:val="24"/>
        </w:rPr>
      </w:pPr>
      <w:r w:rsidRPr="003E6B3B">
        <w:rPr>
          <w:rFonts w:asciiTheme="majorHAnsi" w:hAnsiTheme="majorHAnsi"/>
          <w:b/>
          <w:iCs/>
          <w:sz w:val="24"/>
          <w:lang w:val="en-US"/>
        </w:rPr>
        <w:lastRenderedPageBreak/>
        <w:t>INTRODUCTION</w:t>
      </w:r>
      <w:r w:rsidRPr="003E6B3B">
        <w:rPr>
          <w:rFonts w:asciiTheme="majorHAnsi" w:hAnsiTheme="majorHAnsi"/>
          <w:b/>
          <w:sz w:val="24"/>
          <w:lang w:val="id-ID"/>
        </w:rPr>
        <w:t xml:space="preserve"> </w:t>
      </w:r>
      <w:r w:rsidR="0049357F">
        <w:rPr>
          <w:rFonts w:asciiTheme="majorHAnsi" w:hAnsiTheme="majorHAnsi"/>
          <w:b/>
          <w:sz w:val="24"/>
          <w:lang w:val="en-US"/>
        </w:rPr>
        <w:t xml:space="preserve"> </w:t>
      </w:r>
    </w:p>
    <w:p w14:paraId="33DBD94C" w14:textId="2FB44CD9" w:rsidR="00267F70" w:rsidRPr="003E6B3B" w:rsidRDefault="00267F70" w:rsidP="00267F70">
      <w:pPr>
        <w:pStyle w:val="IEEEParagraph"/>
        <w:spacing w:line="23" w:lineRule="atLeast"/>
        <w:ind w:firstLine="360"/>
        <w:rPr>
          <w:rStyle w:val="longtext"/>
          <w:rFonts w:asciiTheme="majorHAnsi" w:hAnsiTheme="majorHAnsi"/>
          <w:shd w:val="clear" w:color="auto" w:fill="FFFFFF"/>
        </w:rPr>
      </w:pPr>
      <w:r w:rsidRPr="003E6B3B">
        <w:rPr>
          <w:rStyle w:val="longtext"/>
          <w:rFonts w:asciiTheme="majorHAnsi" w:hAnsiTheme="majorHAnsi"/>
          <w:shd w:val="clear" w:color="auto" w:fill="FFFFFF"/>
        </w:rPr>
        <w:t>The Optimization can be defined as the process of finding conditions that provide the maximum or minimum value of a function</w:t>
      </w:r>
      <w:r w:rsidR="00B343ED" w:rsidRPr="003E6B3B">
        <w:rPr>
          <w:rStyle w:val="longtext"/>
          <w:rFonts w:asciiTheme="majorHAnsi" w:hAnsiTheme="majorHAnsi"/>
          <w:shd w:val="clear" w:color="auto" w:fill="FFFFFF"/>
        </w:rPr>
        <w:t xml:space="preserve"> </w:t>
      </w:r>
      <w:r w:rsidR="00B343ED" w:rsidRPr="003E6B3B">
        <w:rPr>
          <w:rStyle w:val="longtext"/>
          <w:rFonts w:asciiTheme="majorHAnsi" w:hAnsiTheme="majorHAnsi"/>
          <w:shd w:val="clear" w:color="auto" w:fill="FFFFFF"/>
        </w:rPr>
        <w:fldChar w:fldCharType="begin" w:fldLock="1"/>
      </w:r>
      <w:r w:rsidR="00B343ED" w:rsidRPr="003E6B3B">
        <w:rPr>
          <w:rStyle w:val="longtext"/>
          <w:rFonts w:asciiTheme="majorHAnsi" w:hAnsiTheme="majorHAnsi"/>
          <w:shd w:val="clear" w:color="auto" w:fill="FFFFFF"/>
        </w:rPr>
        <w:instrText>ADDIN CSL_CITATION {"citationItems":[{"id":"ITEM-1","itemData":{"DOI":"10.9744/jti.24.2","ISSN":"2087-7439","abstract":"Coronavirus disease, commonly called Covid-19, is a virus that causes a pandemic in almost every country globally. One of those countries is Indonesia, which has many big cities with dense populations. This study was conducted in Bandung, the capital of West Java, Indonesia. As a result of the Covid-19 pandemic, Bandung was seriously affected in various ways. One was the disruption in the distribution of the agricultural processed products supply chain, which changes producers and consumers' behaviour. Furthermore, as an effort by the government to break the spread of the virus, health protocols limit the distribution. The purpose of this study is to design an optimization model for the supply chain problem of agricultural processed products in Bandung during the Covid-19 period with the objective function is maximizing product suppliers so that all demands on consumers are fulfilled. The use of Local Food Hub (LFH) is a help in this research as a distribution centre point between the producer zone and the consumer zone. Finally, numerical experiments were carried out in two scenarios, namely Large-scale Social Distancing (LSD) and Partial Social Distancing (PSD). It was found that the optimal distribution solution was obtained if the PSD scenario was applied.","author":[{"dropping-particle":"","family":"Zahrani Irmansyah","given":"Athaya","non-dropping-particle":"","parse-names":false,"suffix":""},{"dropping-particle":"","family":"Chaerani","given":"Diah","non-dropping-particle":"","parse-names":false,"suffix":""},{"dropping-particle":"","family":"Rusyaman","given":"Endang","non-dropping-particle":"","parse-names":false,"suffix":""}],"container-title":"Jurnal Teknik Industri","id":"ITEM-1","issue":"2","issued":{"date-parts":[["2021"]]},"title":"Optimization Model for Agricultural Processed Products Supply Chain Problem in Bandung During Covid-19 Period","type":"article-journal","volume":"23"},"uris":["http://www.mendeley.com/documents/?uuid=36ce1b21-f98b-4d12-9d4f-114e4cdeeb82"]}],"mendeley":{"formattedCitation":"(Zahrani Irmansyah et al., 2021)","manualFormatting":"( Irmansyah et al., 2021)","plainTextFormattedCitation":"(Zahrani Irmansyah et al., 2021)","previouslyFormattedCitation":"(Zahrani Irmansyah et al., 2021)"},"properties":{"noteIndex":0},"schema":"https://github.com/citation-style-language/schema/raw/master/csl-citation.json"}</w:instrText>
      </w:r>
      <w:r w:rsidR="00B343ED" w:rsidRPr="003E6B3B">
        <w:rPr>
          <w:rStyle w:val="longtext"/>
          <w:rFonts w:asciiTheme="majorHAnsi" w:hAnsiTheme="majorHAnsi"/>
          <w:shd w:val="clear" w:color="auto" w:fill="FFFFFF"/>
        </w:rPr>
        <w:fldChar w:fldCharType="separate"/>
      </w:r>
      <w:r w:rsidR="00B343ED" w:rsidRPr="003E6B3B">
        <w:rPr>
          <w:rStyle w:val="longtext"/>
          <w:rFonts w:asciiTheme="majorHAnsi" w:hAnsiTheme="majorHAnsi"/>
          <w:noProof/>
          <w:shd w:val="clear" w:color="auto" w:fill="FFFFFF"/>
        </w:rPr>
        <w:t>( Irmansyah et al., 2021)</w:t>
      </w:r>
      <w:r w:rsidR="00B343ED"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Optimization problems can be converted into an optimization model. To build an optimization model, the steps that must be taken are to define decision variables, objective functions, and constraint function. Optimization models in real life often experience problems with data that cannot be known precisely</w:t>
      </w:r>
      <w:r w:rsidR="00B343ED" w:rsidRPr="003E6B3B">
        <w:rPr>
          <w:rStyle w:val="longtext"/>
          <w:rFonts w:asciiTheme="majorHAnsi" w:hAnsiTheme="majorHAnsi"/>
          <w:shd w:val="clear" w:color="auto" w:fill="FFFFFF"/>
        </w:rPr>
        <w:t xml:space="preserve"> </w:t>
      </w:r>
      <w:r w:rsidR="00B343ED" w:rsidRPr="003E6B3B">
        <w:rPr>
          <w:rStyle w:val="longtext"/>
          <w:rFonts w:asciiTheme="majorHAnsi" w:hAnsiTheme="majorHAnsi"/>
          <w:shd w:val="clear" w:color="auto" w:fill="FFFFFF"/>
        </w:rPr>
        <w:fldChar w:fldCharType="begin" w:fldLock="1"/>
      </w:r>
      <w:r w:rsidR="00B343ED" w:rsidRPr="003E6B3B">
        <w:rPr>
          <w:rStyle w:val="longtext"/>
          <w:rFonts w:asciiTheme="majorHAnsi" w:hAnsiTheme="majorHAnsi"/>
          <w:shd w:val="clear" w:color="auto" w:fill="FFFFFF"/>
        </w:rPr>
        <w:instrText>ADDIN CSL_CITATION {"citationItems":[{"id":"ITEM-1","itemData":{"DOI":"10.5267/j.uscm.2021.9.004","ISSN":"22916830","abstract":"This research aims to show how decision sciences can make a significant contribution on handling the supply chain problem during Covid-19 Pandemic. The paper discusses how robust optimization handles uncertain demand in agricultural processed products supply chain problems within two scenarios during the pandemic situation, i.e., the large-scale social distancing and partial social distancing. The study assumes that demand and production capacity are uncertain during a pandemic situation. Robust counterpart methodology is employed to obtain the robust optimal solution. To this end, the uncertain data is assumed to lie within a polyhedral uncertainty set. The result shows that the robust counterpart model is a computationally tractable through linear programming problem. Numerical experiment is presented for the Bandung area with a case on sugar and cooking oil that is the most influential agricultural processed products besides the main staple food of the Indonesian people, rice.","author":[{"dropping-particle":"","family":"Chaerani","given":"Diah","non-dropping-particle":"","parse-names":false,"suffix":""},{"dropping-particle":"","family":"Irmansyah","given":"Athaya Zahrani","non-dropping-particle":"","parse-names":false,"suffix":""},{"dropping-particle":"","family":"Perdana","given":"Tomy","non-dropping-particle":"","parse-names":false,"suffix":""},{"dropping-particle":"","family":"Gusriani","given":"Nurul","non-dropping-particle":"","parse-names":false,"suffix":""}],"container-title":"Uncertain Supply Chain Management","id":"ITEM-1","issue":"1","issued":{"date-parts":[["2022"]]},"page":"239-254","title":"Contribution of robust optimization on handling agricultural processed products supply chain problem during covid-19 pandemic","type":"article-journal","volume":"10"},"uris":["http://www.mendeley.com/documents/?uuid=24bb3819-3104-4d42-bd76-f53af356397e"]}],"mendeley":{"formattedCitation":"(Diah Chaerani et al., 2022)","plainTextFormattedCitation":"(Diah Chaerani et al., 2022)","previouslyFormattedCitation":"(Diah Chaerani et al., 2022)"},"properties":{"noteIndex":0},"schema":"https://github.com/citation-style-language/schema/raw/master/csl-citation.json"}</w:instrText>
      </w:r>
      <w:r w:rsidR="00B343ED" w:rsidRPr="003E6B3B">
        <w:rPr>
          <w:rStyle w:val="longtext"/>
          <w:rFonts w:asciiTheme="majorHAnsi" w:hAnsiTheme="majorHAnsi"/>
          <w:shd w:val="clear" w:color="auto" w:fill="FFFFFF"/>
        </w:rPr>
        <w:fldChar w:fldCharType="separate"/>
      </w:r>
      <w:r w:rsidR="00B343ED" w:rsidRPr="003E6B3B">
        <w:rPr>
          <w:rStyle w:val="longtext"/>
          <w:rFonts w:asciiTheme="majorHAnsi" w:hAnsiTheme="majorHAnsi"/>
          <w:noProof/>
          <w:shd w:val="clear" w:color="auto" w:fill="FFFFFF"/>
        </w:rPr>
        <w:t>(Diah Chaerani et al., 2022)</w:t>
      </w:r>
      <w:r w:rsidR="00B343ED"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xml:space="preserve">, this kind of data is termed uncertainty. One of the methodologies in dealing with the problem of data uncertainty in optimization is multi-stage Robust Optimization or commonly known as Adjustable Robust Counterpart (ARC). The ARC methodology was first introduced by </w:t>
      </w:r>
      <w:r w:rsidR="00B343ED" w:rsidRPr="003E6B3B">
        <w:rPr>
          <w:rStyle w:val="longtext"/>
          <w:rFonts w:asciiTheme="majorHAnsi" w:hAnsiTheme="majorHAnsi"/>
          <w:shd w:val="clear" w:color="auto" w:fill="FFFFFF"/>
        </w:rPr>
        <w:fldChar w:fldCharType="begin" w:fldLock="1"/>
      </w:r>
      <w:r w:rsidR="00B343ED" w:rsidRPr="003E6B3B">
        <w:rPr>
          <w:rStyle w:val="longtext"/>
          <w:rFonts w:asciiTheme="majorHAnsi" w:hAnsiTheme="majorHAnsi"/>
          <w:shd w:val="clear" w:color="auto" w:fill="FFFFFF"/>
        </w:rPr>
        <w:instrText>ADDIN CSL_CITATION {"citationItems":[{"id":"ITEM-1","itemData":{"DOI":"10.1007/s10107-003-0454-y","ISSN":"00255610","abstract":"We consider linear programs with uncertain parameters, lying in some prescribed uncertainty set, where part of the variables must be determined before the realization of the uncertain parameters (''non-adjustable variables''), while the other part are variables that can be chosen after the realization (''adjustable variables''). We extend the Robust Optimization methodology ([1, 3-6, 9, 13, 14]) to this situation by introducing the Adjustable Robust Counterpart (ARC) associated with an LP of the above structure. Often the ARC is significantly less conservative than the usual Robust Counterpart (RC), however, in most cases the ARC is computationally intractable (NP-hard). This difficulty is addressed by restricting the adjustable variables to be affine functions of the uncertain data. The ensuing Affinely Adjustable Robust Counterpart (AARC) problem is then shown to be, in certain important cases, equivalent to a tractable optimization problem (typically an LP or a Semidefinite problem), and in other cases, having a tight approximation which is tractable. The AARC approach is illustrated by applying it to a multi-stage inventory management problem. © Springer-Verlag 2003.","author":[{"dropping-particle":"","family":"Ben-Tal","given":"A.","non-dropping-particle":"","parse-names":false,"suffix":""},{"dropping-particle":"","family":"Goryashko","given":"A.","non-dropping-particle":"","parse-names":false,"suffix":""},{"dropping-particle":"","family":"Guslitzer","given":"E.","non-dropping-particle":"","parse-names":false,"suffix":""},{"dropping-particle":"","family":"Nemirovski","given":"A.","non-dropping-particle":"","parse-names":false,"suffix":""}],"container-title":"Mathematical Programming","id":"ITEM-1","issue":"2","issued":{"date-parts":[["2004"]]},"page":"351-376","title":"Adjustable robust solutions of uncertain linear programs","type":"article-journal","volume":"99"},"uris":["http://www.mendeley.com/documents/?uuid=926a9c14-1564-4f26-b8e5-da7f366b10de"]}],"mendeley":{"formattedCitation":"(Ben-Tal et al., 2004)","manualFormatting":"Ben-Tal et al., 2004","plainTextFormattedCitation":"(Ben-Tal et al., 2004)","previouslyFormattedCitation":"(Ben-Tal et al., 2004)"},"properties":{"noteIndex":0},"schema":"https://github.com/citation-style-language/schema/raw/master/csl-citation.json"}</w:instrText>
      </w:r>
      <w:r w:rsidR="00B343ED" w:rsidRPr="003E6B3B">
        <w:rPr>
          <w:rStyle w:val="longtext"/>
          <w:rFonts w:asciiTheme="majorHAnsi" w:hAnsiTheme="majorHAnsi"/>
          <w:shd w:val="clear" w:color="auto" w:fill="FFFFFF"/>
        </w:rPr>
        <w:fldChar w:fldCharType="separate"/>
      </w:r>
      <w:r w:rsidR="00B343ED" w:rsidRPr="003E6B3B">
        <w:rPr>
          <w:rStyle w:val="longtext"/>
          <w:rFonts w:asciiTheme="majorHAnsi" w:hAnsiTheme="majorHAnsi"/>
          <w:noProof/>
          <w:shd w:val="clear" w:color="auto" w:fill="FFFFFF"/>
        </w:rPr>
        <w:t>Ben-Tal et al., 2004</w:t>
      </w:r>
      <w:r w:rsidR="00B343ED"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xml:space="preserve"> by considering two sets of variables. The first set must be determined before resolving the uncertainty, and the other set can be calculated after the uncertainty is resolved. ARC is a two-stage Robust Optimization method that still needs to be developed</w:t>
      </w:r>
      <w:r w:rsidR="00B343ED" w:rsidRPr="003E6B3B">
        <w:rPr>
          <w:rStyle w:val="longtext"/>
          <w:rFonts w:asciiTheme="majorHAnsi" w:hAnsiTheme="majorHAnsi"/>
          <w:shd w:val="clear" w:color="auto" w:fill="FFFFFF"/>
        </w:rPr>
        <w:t xml:space="preserve"> </w:t>
      </w:r>
      <w:r w:rsidR="00B343ED" w:rsidRPr="003E6B3B">
        <w:rPr>
          <w:rStyle w:val="longtext"/>
          <w:rFonts w:asciiTheme="majorHAnsi" w:hAnsiTheme="majorHAnsi"/>
          <w:shd w:val="clear" w:color="auto" w:fill="FFFFFF"/>
        </w:rPr>
        <w:fldChar w:fldCharType="begin" w:fldLock="1"/>
      </w:r>
      <w:r w:rsidR="002F192A" w:rsidRPr="003E6B3B">
        <w:rPr>
          <w:rStyle w:val="longtext"/>
          <w:rFonts w:asciiTheme="majorHAnsi" w:hAnsiTheme="majorHAnsi"/>
          <w:shd w:val="clear" w:color="auto" w:fill="FFFFFF"/>
        </w:rPr>
        <w:instrText>ADDIN CSL_CITATION {"citationItems":[{"id":"ITEM-1","itemData":{"abstract":"… 2.3 Adjustable robust optimization … Step 3: a) Determine the adjustable variables. b) Determine the type of decision rules. Step 4: Formulate the adjustable robust counterpart …","author":[{"dropping-particle":"","family":"Yanıkoğlu","given":"İ","non-dropping-particle":"","parse-names":false,"suffix":""},{"dropping-particle":"","family":"Gorissen","given":"B","non-dropping-particle":"","parse-names":false,"suffix":""},{"dropping-particle":"","family":"...","given":"","non-dropping-particle":"","parse-names":false,"suffix":""}],"container-title":"Available online at …","id":"ITEM-1","issued":{"date-parts":[["2017"]]},"note":"Query date: 2022-02-21 19:26:37","publisher":"researchgate.net","title":"Adjustable robust optimization—a survey and tutorial","type":"article-journal"},"uris":["http://www.mendeley.com/documents/?uuid=43a5fcd1-dad7-44a2-8267-060f43adf96e"]}],"mendeley":{"formattedCitation":"(İ Yanıkoğlu et al., 2017)","manualFormatting":"(Yanıkoğlu et al., 2017)","plainTextFormattedCitation":"(İ Yanıkoğlu et al., 2017)","previouslyFormattedCitation":"(İ Yanıkoğlu et al., 2017)"},"properties":{"noteIndex":0},"schema":"https://github.com/citation-style-language/schema/raw/master/csl-citation.json"}</w:instrText>
      </w:r>
      <w:r w:rsidR="00B343ED" w:rsidRPr="003E6B3B">
        <w:rPr>
          <w:rStyle w:val="longtext"/>
          <w:rFonts w:asciiTheme="majorHAnsi" w:hAnsiTheme="majorHAnsi"/>
          <w:shd w:val="clear" w:color="auto" w:fill="FFFFFF"/>
        </w:rPr>
        <w:fldChar w:fldCharType="separate"/>
      </w:r>
      <w:r w:rsidR="004A2B64" w:rsidRPr="003E6B3B">
        <w:rPr>
          <w:rStyle w:val="longtext"/>
          <w:rFonts w:asciiTheme="majorHAnsi" w:hAnsiTheme="majorHAnsi"/>
          <w:noProof/>
          <w:shd w:val="clear" w:color="auto" w:fill="FFFFFF"/>
        </w:rPr>
        <w:t>(Yanıkoğlu et al., 2017)</w:t>
      </w:r>
      <w:r w:rsidR="00B343ED"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xml:space="preserve">. </w:t>
      </w:r>
    </w:p>
    <w:p w14:paraId="142C039E" w14:textId="48B9F0DC" w:rsidR="00267F70" w:rsidRPr="003E6B3B" w:rsidRDefault="00267F70" w:rsidP="00267F70">
      <w:pPr>
        <w:pStyle w:val="IEEEParagraph"/>
        <w:spacing w:line="23" w:lineRule="atLeast"/>
        <w:ind w:firstLine="360"/>
        <w:rPr>
          <w:rStyle w:val="longtext"/>
          <w:rFonts w:asciiTheme="majorHAnsi" w:hAnsiTheme="majorHAnsi"/>
          <w:shd w:val="clear" w:color="auto" w:fill="FFFFFF"/>
        </w:rPr>
      </w:pPr>
      <w:r w:rsidRPr="003E6B3B">
        <w:rPr>
          <w:rStyle w:val="longtext"/>
          <w:rFonts w:asciiTheme="majorHAnsi" w:hAnsiTheme="majorHAnsi"/>
          <w:shd w:val="clear" w:color="auto" w:fill="FFFFFF"/>
        </w:rPr>
        <w:t>Furthermore, there are three assumptions of uncertainty parameters that can be used in ARC, one of which is the Polyhedral Uncertainty Set used in this review article. This is because the set of data points of uncertainty mapped to the Polyhedral Uncertainty Set will produce a convex hull that guarantees a feasible solution. In addition, the Polyhedral Uncertainty Set is the best assumption of the uncertainty set among the other two sets because it does not include additional data outside the set and does not discard the original data used</w:t>
      </w:r>
      <w:r w:rsidR="00B343ED" w:rsidRPr="003E6B3B">
        <w:rPr>
          <w:rStyle w:val="longtext"/>
          <w:rFonts w:asciiTheme="majorHAnsi" w:hAnsiTheme="majorHAnsi"/>
          <w:shd w:val="clear" w:color="auto" w:fill="FFFFFF"/>
        </w:rPr>
        <w:t xml:space="preserve"> </w:t>
      </w:r>
      <w:r w:rsidR="00B343ED" w:rsidRPr="003E6B3B">
        <w:rPr>
          <w:rStyle w:val="longtext"/>
          <w:rFonts w:asciiTheme="majorHAnsi" w:hAnsiTheme="majorHAnsi"/>
          <w:shd w:val="clear" w:color="auto" w:fill="FFFFFF"/>
        </w:rPr>
        <w:fldChar w:fldCharType="begin" w:fldLock="1"/>
      </w:r>
      <w:r w:rsidR="00B343ED" w:rsidRPr="003E6B3B">
        <w:rPr>
          <w:rStyle w:val="longtext"/>
          <w:rFonts w:asciiTheme="majorHAnsi" w:hAnsiTheme="majorHAnsi"/>
          <w:shd w:val="clear" w:color="auto" w:fill="FFFFFF"/>
        </w:rPr>
        <w:instrText>ADDIN CSL_CITATION {"citationItems":[{"id":"ITEM-1","itemData":{"DOI":"10.1088/1742-6596/1722/1/012074","ISSN":"17426596","abstract":"In this paper, a discussion on deriving the Adjustable Robust Counterpart for Internet Shopping Online (ARC-ISO) is discussed. The problem on Internet Shopping Online is considered as an application of Robust Maximum Flow Problem (RMFP) with circular demand. The decision variables which considered as the adjustable variable is the maximum flow from a destination node in a flow network which back to the source node. In this paper, when the source nodes is multiple, then it is possible to add a dummy node as a single source node. For the multiple destinations, the same design is done. The main challenge is when and how we assume the data can be uncertain and assumed to be lies within a box, an ellipsoidal or polyhedral uncertainty set. In this paper, the uncertain delivering time is assumed to be lied in a polyhedral uncertainty set.","author":[{"dropping-particle":"","family":"Chaerani","given":"D.","non-dropping-particle":"","parse-names":false,"suffix":""},{"dropping-particle":"","family":"Rusyaman","given":"E.","non-dropping-particle":"","parse-names":false,"suffix":""},{"dropping-particle":"","family":"Mahrudinda","given":"","non-dropping-particle":"","parse-names":false,"suffix":""},{"dropping-particle":"","family":"Marcia","given":"A.","non-dropping-particle":"","parse-names":false,"suffix":""},{"dropping-particle":"","family":"Fridayana","given":"A.","non-dropping-particle":"","parse-names":false,"suffix":""}],"container-title":"Journal of Physics: Conference Series","id":"ITEM-1","issue":"1","issued":{"date-parts":[["2021"]]},"title":"Adjustable robust counterpart optimization model for internet shopping online problem","type":"article-journal","volume":"1722"},"uris":["http://www.mendeley.com/documents/?uuid=948d63dc-437a-4c6e-b055-21a00e4d6ab1"]},{"id":"ITEM-2","itemData":{"abstract":"… EISSN 2392-2192 Adjustable Robust Counterpart Optimization Model … Keywords: Maximum flow problem, Linear Programming, Robust Optimization, Adjustable Robust Counterpart …","author":[{"dropping-particle":"","family":"Agustini","given":"R A","non-dropping-particle":"","parse-names":false,"suffix":""},{"dropping-particle":"","family":"Chaerani","given":"D","non-dropping-particle":"","parse-names":false,"suffix":""},{"dropping-particle":"","family":"Hertini","given":"E","non-dropping-particle":"","parse-names":false,"suffix":""}],"container-title":"World Scientific News","id":"ITEM-2","issued":{"date-parts":[["2020"]]},"note":"Query date: 2022-02-21 19:26:37","publisher":"psjd.icm.edu.pl","title":"Adjustable robust counterpart optimization model for maximum flow problems with box uncertainty","type":"article-journal"},"uris":["http://www.mendeley.com/documents/?uuid=53dab5e9-56b2-4d9d-a386-39aadc2a7dad"]}],"mendeley":{"formattedCitation":"(Agustini et al., 2020; D. Chaerani et al., 2021)","plainTextFormattedCitation":"(Agustini et al., 2020; D. Chaerani et al., 2021)","previouslyFormattedCitation":"(Agustini et al., 2020; D. Chaerani et al., 2021)"},"properties":{"noteIndex":0},"schema":"https://github.com/citation-style-language/schema/raw/master/csl-citation.json"}</w:instrText>
      </w:r>
      <w:r w:rsidR="00B343ED" w:rsidRPr="003E6B3B">
        <w:rPr>
          <w:rStyle w:val="longtext"/>
          <w:rFonts w:asciiTheme="majorHAnsi" w:hAnsiTheme="majorHAnsi"/>
          <w:shd w:val="clear" w:color="auto" w:fill="FFFFFF"/>
        </w:rPr>
        <w:fldChar w:fldCharType="separate"/>
      </w:r>
      <w:r w:rsidR="00B343ED" w:rsidRPr="003E6B3B">
        <w:rPr>
          <w:rStyle w:val="longtext"/>
          <w:rFonts w:asciiTheme="majorHAnsi" w:hAnsiTheme="majorHAnsi"/>
          <w:noProof/>
          <w:shd w:val="clear" w:color="auto" w:fill="FFFFFF"/>
        </w:rPr>
        <w:t>(Agustini et al., 2020; D. Chaerani et al., 2021)</w:t>
      </w:r>
      <w:r w:rsidR="00B343ED"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xml:space="preserve">. </w:t>
      </w:r>
    </w:p>
    <w:p w14:paraId="7793710D" w14:textId="4650113B" w:rsidR="00267F70" w:rsidRPr="003E6B3B" w:rsidRDefault="00267F70" w:rsidP="00267F70">
      <w:pPr>
        <w:pStyle w:val="IEEEParagraph"/>
        <w:spacing w:line="23" w:lineRule="atLeast"/>
        <w:ind w:firstLine="360"/>
        <w:rPr>
          <w:rStyle w:val="longtext"/>
          <w:rFonts w:asciiTheme="majorHAnsi" w:hAnsiTheme="majorHAnsi"/>
          <w:shd w:val="clear" w:color="auto" w:fill="FFFFFF"/>
        </w:rPr>
      </w:pPr>
      <w:r w:rsidRPr="003E6B3B">
        <w:rPr>
          <w:rStyle w:val="longtext"/>
          <w:rFonts w:asciiTheme="majorHAnsi" w:hAnsiTheme="majorHAnsi"/>
          <w:shd w:val="clear" w:color="auto" w:fill="FFFFFF"/>
        </w:rPr>
        <w:t>In some problems such as internet shopping online</w:t>
      </w:r>
      <w:r w:rsidR="00B343ED" w:rsidRPr="003E6B3B">
        <w:rPr>
          <w:rStyle w:val="longtext"/>
          <w:rFonts w:asciiTheme="majorHAnsi" w:hAnsiTheme="majorHAnsi"/>
          <w:shd w:val="clear" w:color="auto" w:fill="FFFFFF"/>
        </w:rPr>
        <w:t xml:space="preserve"> </w:t>
      </w:r>
      <w:r w:rsidR="00B343ED" w:rsidRPr="003E6B3B">
        <w:rPr>
          <w:rStyle w:val="longtext"/>
          <w:rFonts w:asciiTheme="majorHAnsi" w:hAnsiTheme="majorHAnsi"/>
          <w:shd w:val="clear" w:color="auto" w:fill="FFFFFF"/>
        </w:rPr>
        <w:fldChar w:fldCharType="begin" w:fldLock="1"/>
      </w:r>
      <w:r w:rsidR="00B343ED" w:rsidRPr="003E6B3B">
        <w:rPr>
          <w:rStyle w:val="longtext"/>
          <w:rFonts w:asciiTheme="majorHAnsi" w:hAnsiTheme="majorHAnsi"/>
          <w:shd w:val="clear" w:color="auto" w:fill="FFFFFF"/>
        </w:rPr>
        <w:instrText>ADDIN CSL_CITATION {"citationItems":[{"id":"ITEM-1","itemData":{"DOI":"10.1088/1742-6596/1722/1/012074","ISSN":"17426596","abstract":"In this paper, a discussion on deriving the Adjustable Robust Counterpart for Internet Shopping Online (ARC-ISO) is discussed. The problem on Internet Shopping Online is considered as an application of Robust Maximum Flow Problem (RMFP) with circular demand. The decision variables which considered as the adjustable variable is the maximum flow from a destination node in a flow network which back to the source node. In this paper, when the source nodes is multiple, then it is possible to add a dummy node as a single source node. For the multiple destinations, the same design is done. The main challenge is when and how we assume the data can be uncertain and assumed to be lies within a box, an ellipsoidal or polyhedral uncertainty set. In this paper, the uncertain delivering time is assumed to be lied in a polyhedral uncertainty set.","author":[{"dropping-particle":"","family":"Chaerani","given":"D.","non-dropping-particle":"","parse-names":false,"suffix":""},{"dropping-particle":"","family":"Rusyaman","given":"E.","non-dropping-particle":"","parse-names":false,"suffix":""},{"dropping-particle":"","family":"Mahrudinda","given":"","non-dropping-particle":"","parse-names":false,"suffix":""},{"dropping-particle":"","family":"Marcia","given":"A.","non-dropping-particle":"","parse-names":false,"suffix":""},{"dropping-particle":"","family":"Fridayana","given":"A.","non-dropping-particle":"","parse-names":false,"suffix":""}],"container-title":"Journal of Physics: Conference Series","id":"ITEM-1","issue":"1","issued":{"date-parts":[["2021"]]},"title":"Adjustable robust counterpart optimization model for internet shopping online problem","type":"article-journal","volume":"1722"},"uris":["http://www.mendeley.com/documents/?uuid=948d63dc-437a-4c6e-b055-21a00e4d6ab1"]}],"mendeley":{"formattedCitation":"(D. Chaerani et al., 2021)","plainTextFormattedCitation":"(D. Chaerani et al., 2021)","previouslyFormattedCitation":"(D. Chaerani et al., 2021)"},"properties":{"noteIndex":0},"schema":"https://github.com/citation-style-language/schema/raw/master/csl-citation.json"}</w:instrText>
      </w:r>
      <w:r w:rsidR="00B343ED" w:rsidRPr="003E6B3B">
        <w:rPr>
          <w:rStyle w:val="longtext"/>
          <w:rFonts w:asciiTheme="majorHAnsi" w:hAnsiTheme="majorHAnsi"/>
          <w:shd w:val="clear" w:color="auto" w:fill="FFFFFF"/>
        </w:rPr>
        <w:fldChar w:fldCharType="separate"/>
      </w:r>
      <w:r w:rsidR="00B343ED" w:rsidRPr="003E6B3B">
        <w:rPr>
          <w:rStyle w:val="longtext"/>
          <w:rFonts w:asciiTheme="majorHAnsi" w:hAnsiTheme="majorHAnsi"/>
          <w:noProof/>
          <w:shd w:val="clear" w:color="auto" w:fill="FFFFFF"/>
        </w:rPr>
        <w:t>(D. Chaerani et al., 2021)</w:t>
      </w:r>
      <w:r w:rsidR="00B343ED"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xml:space="preserve"> or Optimization Model for Agricultural Processed Products Supply Chain Problem</w:t>
      </w:r>
      <w:r w:rsidR="00B343ED" w:rsidRPr="003E6B3B">
        <w:rPr>
          <w:rStyle w:val="longtext"/>
          <w:rFonts w:asciiTheme="majorHAnsi" w:hAnsiTheme="majorHAnsi"/>
          <w:shd w:val="clear" w:color="auto" w:fill="FFFFFF"/>
        </w:rPr>
        <w:t xml:space="preserve"> </w:t>
      </w:r>
      <w:r w:rsidR="00B343ED" w:rsidRPr="003E6B3B">
        <w:rPr>
          <w:rStyle w:val="longtext"/>
          <w:rFonts w:asciiTheme="majorHAnsi" w:hAnsiTheme="majorHAnsi"/>
          <w:shd w:val="clear" w:color="auto" w:fill="FFFFFF"/>
        </w:rPr>
        <w:fldChar w:fldCharType="begin" w:fldLock="1"/>
      </w:r>
      <w:r w:rsidR="004A2B64" w:rsidRPr="003E6B3B">
        <w:rPr>
          <w:rStyle w:val="longtext"/>
          <w:rFonts w:asciiTheme="majorHAnsi" w:hAnsiTheme="majorHAnsi"/>
          <w:shd w:val="clear" w:color="auto" w:fill="FFFFFF"/>
        </w:rPr>
        <w:instrText>ADDIN CSL_CITATION {"citationItems":[{"id":"ITEM-1","itemData":{"DOI":"10.9744/jti.24.2","ISSN":"2087-7439","abstract":"Coronavirus disease, commonly called Covid-19, is a virus that causes a pandemic in almost every country globally. One of those countries is Indonesia, which has many big cities with dense populations. This study was conducted in Bandung, the capital of West Java, Indonesia. As a result of the Covid-19 pandemic, Bandung was seriously affected in various ways. One was the disruption in the distribution of the agricultural processed products supply chain, which changes producers and consumers' behaviour. Furthermore, as an effort by the government to break the spread of the virus, health protocols limit the distribution. The purpose of this study is to design an optimization model for the supply chain problem of agricultural processed products in Bandung during the Covid-19 period with the objective function is maximizing product suppliers so that all demands on consumers are fulfilled. The use of Local Food Hub (LFH) is a help in this research as a distribution centre point between the producer zone and the consumer zone. Finally, numerical experiments were carried out in two scenarios, namely Large-scale Social Distancing (LSD) and Partial Social Distancing (PSD). It was found that the optimal distribution solution was obtained if the PSD scenario was applied.","author":[{"dropping-particle":"","family":"Zahrani Irmansyah","given":"Athaya","non-dropping-particle":"","parse-names":false,"suffix":""},{"dropping-particle":"","family":"Chaerani","given":"Diah","non-dropping-particle":"","parse-names":false,"suffix":""},{"dropping-particle":"","family":"Rusyaman","given":"Endang","non-dropping-particle":"","parse-names":false,"suffix":""}],"container-title":"Jurnal Teknik Industri","id":"ITEM-1","issue":"2","issued":{"date-parts":[["2021"]]},"title":"Optimization Model for Agricultural Processed Products Supply Chain Problem in Bandung During Covid-19 Period","type":"article-journal","volume":"23"},"uris":["http://www.mendeley.com/documents/?uuid=36ce1b21-f98b-4d12-9d4f-114e4cdeeb82"]}],"mendeley":{"formattedCitation":"(Zahrani Irmansyah et al., 2021)","manualFormatting":"(Irmansyah et al., 2021)","plainTextFormattedCitation":"(Zahrani Irmansyah et al., 2021)","previouslyFormattedCitation":"(Zahrani Irmansyah et al., 2021)"},"properties":{"noteIndex":0},"schema":"https://github.com/citation-style-language/schema/raw/master/csl-citation.json"}</w:instrText>
      </w:r>
      <w:r w:rsidR="00B343ED" w:rsidRPr="003E6B3B">
        <w:rPr>
          <w:rStyle w:val="longtext"/>
          <w:rFonts w:asciiTheme="majorHAnsi" w:hAnsiTheme="majorHAnsi"/>
          <w:shd w:val="clear" w:color="auto" w:fill="FFFFFF"/>
        </w:rPr>
        <w:fldChar w:fldCharType="separate"/>
      </w:r>
      <w:r w:rsidR="00B343ED" w:rsidRPr="003E6B3B">
        <w:rPr>
          <w:rStyle w:val="longtext"/>
          <w:rFonts w:asciiTheme="majorHAnsi" w:hAnsiTheme="majorHAnsi"/>
          <w:noProof/>
          <w:shd w:val="clear" w:color="auto" w:fill="FFFFFF"/>
        </w:rPr>
        <w:t>(Irmansyah et al., 2021)</w:t>
      </w:r>
      <w:r w:rsidR="00B343ED"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xml:space="preserve">, the optimization problem involves integer variables and also has </w:t>
      </w:r>
      <w:proofErr w:type="spellStart"/>
      <w:r w:rsidRPr="003E6B3B">
        <w:rPr>
          <w:rStyle w:val="longtext"/>
          <w:rFonts w:asciiTheme="majorHAnsi" w:hAnsiTheme="majorHAnsi"/>
          <w:shd w:val="clear" w:color="auto" w:fill="FFFFFF"/>
        </w:rPr>
        <w:t>multiobjective</w:t>
      </w:r>
      <w:proofErr w:type="spellEnd"/>
      <w:r w:rsidRPr="003E6B3B">
        <w:rPr>
          <w:rStyle w:val="longtext"/>
          <w:rFonts w:asciiTheme="majorHAnsi" w:hAnsiTheme="majorHAnsi"/>
          <w:shd w:val="clear" w:color="auto" w:fill="FFFFFF"/>
        </w:rPr>
        <w:t xml:space="preserve"> function. These problems can be considered as two stages optimization problem and solved as ARC optimization problem. </w:t>
      </w:r>
    </w:p>
    <w:p w14:paraId="6E6509D0" w14:textId="3C7D2A11" w:rsidR="00267F70" w:rsidRPr="003E6B3B" w:rsidRDefault="00267F70" w:rsidP="00267F70">
      <w:pPr>
        <w:pStyle w:val="IEEEParagraph"/>
        <w:spacing w:line="23" w:lineRule="atLeast"/>
        <w:ind w:firstLine="360"/>
        <w:rPr>
          <w:rStyle w:val="longtext"/>
          <w:rFonts w:asciiTheme="majorHAnsi" w:hAnsiTheme="majorHAnsi"/>
          <w:shd w:val="clear" w:color="auto" w:fill="FFFFFF"/>
        </w:rPr>
      </w:pPr>
      <w:r w:rsidRPr="003E6B3B">
        <w:rPr>
          <w:rStyle w:val="longtext"/>
          <w:rFonts w:asciiTheme="majorHAnsi" w:hAnsiTheme="majorHAnsi"/>
          <w:shd w:val="clear" w:color="auto" w:fill="FFFFFF"/>
        </w:rPr>
        <w:t>The ARC Optimization problem can be approached by various methods such as Column-and-Constraint Generating Algorithm</w:t>
      </w:r>
      <w:r w:rsidR="004A2B64" w:rsidRPr="003E6B3B">
        <w:rPr>
          <w:rStyle w:val="longtext"/>
          <w:rFonts w:asciiTheme="majorHAnsi" w:hAnsiTheme="majorHAnsi"/>
          <w:shd w:val="clear" w:color="auto" w:fill="FFFFFF"/>
        </w:rPr>
        <w:t xml:space="preserve"> </w:t>
      </w:r>
      <w:r w:rsidR="004A2B64" w:rsidRPr="003E6B3B">
        <w:rPr>
          <w:rStyle w:val="longtext"/>
          <w:rFonts w:asciiTheme="majorHAnsi" w:hAnsiTheme="majorHAnsi"/>
          <w:shd w:val="clear" w:color="auto" w:fill="FFFFFF"/>
        </w:rPr>
        <w:fldChar w:fldCharType="begin" w:fldLock="1"/>
      </w:r>
      <w:r w:rsidR="004A2B64" w:rsidRPr="003E6B3B">
        <w:rPr>
          <w:rStyle w:val="longtext"/>
          <w:rFonts w:asciiTheme="majorHAnsi" w:hAnsiTheme="majorHAnsi"/>
          <w:shd w:val="clear" w:color="auto" w:fill="FFFFFF"/>
        </w:rPr>
        <w:instrText>ADDIN CSL_CITATION {"citationItems":[{"id":"ITEM-1","itemData":{"DOI":"10.1109/TSTE.2018.2833545","ISSN":"19493029","abstract":"Distributed generators including photovoltaic (PV) panels have been integrated dramatically in active distribution networks (ADNs). Due to the strong volatility and uncertainty, the high penetration of PV generation immensely exacerbates the conditions of voltage violation in ADNs. However, the emerging flexible interconnection technology based on soft open points (SOPs) provides increased controllability and flexibility to the system operation. For fully exploiting the regulation ability of SOPs to address the problems caused by PV, this paper proposes a robust optimization method to achieve the robust optimal operation of SOPs in ADNs. A two-stage adjustable robust optimization model is built to tackle the uncertainties of PV outputs, in which robust operation strategies of SOPs are generated to eliminate the voltage violations and reduce the power losses of ADNs. A column-and-constraint generation algorithm is developed to solve the proposed robust optimization model, which are formulated as second-order cone program to facilitate the accuracy and computation efficiency. Case studies on the modified IEEE 33-node system and comparisons with the deterministic optimization approach are conducted to verify the effectiveness and robustness of the proposed method.","author":[{"dropping-particle":"","family":"Ji","given":"Haoran","non-dropping-particle":"","parse-names":false,"suffix":""},{"dropping-particle":"","family":"Wang","given":"Chengshan","non-dropping-particle":"","parse-names":false,"suffix":""},{"dropping-particle":"","family":"Li","given":"Peng","non-dropping-particle":"","parse-names":false,"suffix":""},{"dropping-particle":"","family":"Ding","given":"Fei","non-dropping-particle":"","parse-names":false,"suffix":""},{"dropping-particle":"","family":"Wu","given":"Jianzhong","non-dropping-particle":"","parse-names":false,"suffix":""}],"container-title":"IEEE Transactions on Sustainable Energy","id":"ITEM-1","issue":"1","issued":{"date-parts":[["2019"]]},"page":"280-289","title":"Robust Operation of Soft Open Points in Active Distribution Networks With High Penetration of Photovoltaic Integration","type":"article-journal","volume":"10"},"uris":["http://www.mendeley.com/documents/?uuid=e3618a4d-b6f3-4c59-b2bd-5698048389c9"]}],"mendeley":{"formattedCitation":"(Ji et al., 2019)","plainTextFormattedCitation":"(Ji et al., 2019)","previouslyFormattedCitation":"(Ji et al., 2019)"},"properties":{"noteIndex":0},"schema":"https://github.com/citation-style-language/schema/raw/master/csl-citation.json"}</w:instrText>
      </w:r>
      <w:r w:rsidR="004A2B64" w:rsidRPr="003E6B3B">
        <w:rPr>
          <w:rStyle w:val="longtext"/>
          <w:rFonts w:asciiTheme="majorHAnsi" w:hAnsiTheme="majorHAnsi"/>
          <w:shd w:val="clear" w:color="auto" w:fill="FFFFFF"/>
        </w:rPr>
        <w:fldChar w:fldCharType="separate"/>
      </w:r>
      <w:r w:rsidR="004A2B64" w:rsidRPr="003E6B3B">
        <w:rPr>
          <w:rStyle w:val="longtext"/>
          <w:rFonts w:asciiTheme="majorHAnsi" w:hAnsiTheme="majorHAnsi"/>
          <w:noProof/>
          <w:shd w:val="clear" w:color="auto" w:fill="FFFFFF"/>
        </w:rPr>
        <w:t>(Ji et al., 2019)</w:t>
      </w:r>
      <w:r w:rsidR="004A2B64"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Cutting Plane Method</w:t>
      </w:r>
      <w:r w:rsidR="004A2B64" w:rsidRPr="003E6B3B">
        <w:rPr>
          <w:rStyle w:val="longtext"/>
          <w:rFonts w:asciiTheme="majorHAnsi" w:hAnsiTheme="majorHAnsi"/>
          <w:shd w:val="clear" w:color="auto" w:fill="FFFFFF"/>
        </w:rPr>
        <w:t xml:space="preserve"> </w:t>
      </w:r>
      <w:r w:rsidR="004A2B64" w:rsidRPr="003E6B3B">
        <w:rPr>
          <w:rStyle w:val="longtext"/>
          <w:rFonts w:asciiTheme="majorHAnsi" w:hAnsiTheme="majorHAnsi"/>
          <w:shd w:val="clear" w:color="auto" w:fill="FFFFFF"/>
        </w:rPr>
        <w:fldChar w:fldCharType="begin" w:fldLock="1"/>
      </w:r>
      <w:r w:rsidR="004A2B64" w:rsidRPr="003E6B3B">
        <w:rPr>
          <w:rStyle w:val="longtext"/>
          <w:rFonts w:asciiTheme="majorHAnsi" w:hAnsiTheme="majorHAnsi"/>
          <w:shd w:val="clear" w:color="auto" w:fill="FFFFFF"/>
        </w:rPr>
        <w:instrText>ADDIN CSL_CITATION {"citationItems":[{"id":"ITEM-1","itemData":{"DOI":"10.1049/iet-gtd.2012.0660","ISSN":"17518687","abstract":"A new adjustable robust optimisation formulation to solve unit commitment (UC) problems under uncertainty is proposed. Unlike the stochastic programming or chance-constrained approaches, the robust formulation does not require information on the exact probability distributions. This method protects power systems against all possible scenarios within a deterministic uncertainty set. The degree of conservatism can be conveniently controlled by the parameters of the uncertainty set. The formulation is divided into two stages, where here-and-now UC decisions are determined in the first stage, and the second stage makes wait-and-see dispatch decisions. The second-stage problems are reformulated into the equivalent form, so that a practical cutting-plane algorithm can be used to solve the proposed two-stage problems in an iterative manner. Numerical studies show that the robust formulation offers more consistent performance than the stochastic method when the underlying distribution of demand or generating unit reliability varies. © The Institution of Engineering and Technology 2014.","author":[{"dropping-particle":"","family":"Xiong","given":"Peng","non-dropping-particle":"","parse-names":false,"suffix":""},{"dropping-particle":"","family":"Jirutitijaroen","given":"Panida","non-dropping-particle":"","parse-names":false,"suffix":""}],"container-title":"IET Generation, Transmission and Distribution","id":"ITEM-1","issue":"3","issued":{"date-parts":[["2014"]]},"page":"573-582","title":"Two-stage adjustable robust optimisation for unit commitment under uncertainty","type":"article-journal","volume":"8"},"uris":["http://www.mendeley.com/documents/?uuid=45f5e857-3551-4621-a802-7472d0ac252b"]}],"mendeley":{"formattedCitation":"(Xiong &amp; Jirutitijaroen, 2014)","plainTextFormattedCitation":"(Xiong &amp; Jirutitijaroen, 2014)","previouslyFormattedCitation":"(Xiong &amp; Jirutitijaroen, 2014)"},"properties":{"noteIndex":0},"schema":"https://github.com/citation-style-language/schema/raw/master/csl-citation.json"}</w:instrText>
      </w:r>
      <w:r w:rsidR="004A2B64" w:rsidRPr="003E6B3B">
        <w:rPr>
          <w:rStyle w:val="longtext"/>
          <w:rFonts w:asciiTheme="majorHAnsi" w:hAnsiTheme="majorHAnsi"/>
          <w:shd w:val="clear" w:color="auto" w:fill="FFFFFF"/>
        </w:rPr>
        <w:fldChar w:fldCharType="separate"/>
      </w:r>
      <w:r w:rsidR="004A2B64" w:rsidRPr="003E6B3B">
        <w:rPr>
          <w:rStyle w:val="longtext"/>
          <w:rFonts w:asciiTheme="majorHAnsi" w:hAnsiTheme="majorHAnsi"/>
          <w:noProof/>
          <w:shd w:val="clear" w:color="auto" w:fill="FFFFFF"/>
        </w:rPr>
        <w:t>(Xiong &amp; Jirutitijaroen, 2014)</w:t>
      </w:r>
      <w:r w:rsidR="004A2B64"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Branch and Bound Method</w:t>
      </w:r>
      <w:r w:rsidR="004A2B64" w:rsidRPr="003E6B3B">
        <w:rPr>
          <w:rStyle w:val="longtext"/>
          <w:rFonts w:asciiTheme="majorHAnsi" w:hAnsiTheme="majorHAnsi"/>
          <w:shd w:val="clear" w:color="auto" w:fill="FFFFFF"/>
        </w:rPr>
        <w:t xml:space="preserve"> </w:t>
      </w:r>
      <w:r w:rsidR="004A2B64" w:rsidRPr="003E6B3B">
        <w:rPr>
          <w:rStyle w:val="longtext"/>
          <w:rFonts w:asciiTheme="majorHAnsi" w:hAnsiTheme="majorHAnsi"/>
          <w:shd w:val="clear" w:color="auto" w:fill="FFFFFF"/>
        </w:rPr>
        <w:fldChar w:fldCharType="begin" w:fldLock="1"/>
      </w:r>
      <w:r w:rsidR="004A2B64" w:rsidRPr="003E6B3B">
        <w:rPr>
          <w:rStyle w:val="longtext"/>
          <w:rFonts w:asciiTheme="majorHAnsi" w:hAnsiTheme="majorHAnsi"/>
          <w:shd w:val="clear" w:color="auto" w:fill="FFFFFF"/>
        </w:rPr>
        <w:instrText>ADDIN CSL_CITATION {"citationItems":[{"id":"ITEM-1","itemData":{"DOI":"10.1287/ijoc.2019.0934","abstract":"… ISSN 1091-9856 (print), ISSN 1526-5528 (online) Piecewise Constant Decision Rules via Branch-and-Bound Based Scenario Detection for Integer Adjustable Robust Optimization …","author":[{"dropping-particle":"","family":"Romeijnders","given":"W","non-dropping-particle":"","parse-names":false,"suffix":""},{"dropping-particle":"","family":"Postek","given":"K","non-dropping-particle":"","parse-names":false,"suffix":""}],"container-title":"INFORMS Journal on Computing","id":"ITEM-1","issued":{"date-parts":[["2021"]]},"note":"Query date: 2022-02-21 19:26:37","publisher":"pubsonline.informs.org","title":"Piecewise constant decision rules via branch-and-bound based scenario detection for integer adjustable robust optimization","type":"article-journal"},"uris":["http://www.mendeley.com/documents/?uuid=f78938c6-88eb-4edc-9c77-55542a5a89eb"]}],"mendeley":{"formattedCitation":"(Romeijnders &amp; Postek, 2021)","plainTextFormattedCitation":"(Romeijnders &amp; Postek, 2021)","previouslyFormattedCitation":"(Romeijnders &amp; Postek, 2021)"},"properties":{"noteIndex":0},"schema":"https://github.com/citation-style-language/schema/raw/master/csl-citation.json"}</w:instrText>
      </w:r>
      <w:r w:rsidR="004A2B64" w:rsidRPr="003E6B3B">
        <w:rPr>
          <w:rStyle w:val="longtext"/>
          <w:rFonts w:asciiTheme="majorHAnsi" w:hAnsiTheme="majorHAnsi"/>
          <w:shd w:val="clear" w:color="auto" w:fill="FFFFFF"/>
        </w:rPr>
        <w:fldChar w:fldCharType="separate"/>
      </w:r>
      <w:r w:rsidR="004A2B64" w:rsidRPr="003E6B3B">
        <w:rPr>
          <w:rStyle w:val="longtext"/>
          <w:rFonts w:asciiTheme="majorHAnsi" w:hAnsiTheme="majorHAnsi"/>
          <w:noProof/>
          <w:shd w:val="clear" w:color="auto" w:fill="FFFFFF"/>
        </w:rPr>
        <w:t>(Romeijnders &amp; Postek, 2021)</w:t>
      </w:r>
      <w:r w:rsidR="004A2B64"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and Benders Decomposition Method</w:t>
      </w:r>
      <w:r w:rsidR="004A2B64" w:rsidRPr="003E6B3B">
        <w:rPr>
          <w:rStyle w:val="longtext"/>
          <w:rFonts w:asciiTheme="majorHAnsi" w:hAnsiTheme="majorHAnsi"/>
          <w:shd w:val="clear" w:color="auto" w:fill="FFFFFF"/>
        </w:rPr>
        <w:t xml:space="preserve"> </w:t>
      </w:r>
      <w:r w:rsidR="004A2B64" w:rsidRPr="003E6B3B">
        <w:rPr>
          <w:rStyle w:val="longtext"/>
          <w:rFonts w:asciiTheme="majorHAnsi" w:hAnsiTheme="majorHAnsi"/>
          <w:shd w:val="clear" w:color="auto" w:fill="FFFFFF"/>
        </w:rPr>
        <w:fldChar w:fldCharType="begin" w:fldLock="1"/>
      </w:r>
      <w:r w:rsidR="004A2B64" w:rsidRPr="003E6B3B">
        <w:rPr>
          <w:rStyle w:val="longtext"/>
          <w:rFonts w:asciiTheme="majorHAnsi" w:hAnsiTheme="majorHAnsi"/>
          <w:shd w:val="clear" w:color="auto" w:fill="FFFFFF"/>
        </w:rPr>
        <w:instrText>ADDIN CSL_CITATION {"citationItems":[{"id":"ITEM-1","itemData":{"DOI":"10.1002/net.21486","ISSN":"00283045","abstract":"We consider a network design problem in which flow bifurcations are allowed. The demand data are assumed to be uncertain, and the uncertainties of demands are expressed by an uncertainty set. The goal is to install facilities on the edges at minimum cost. The solution should be able to deliver any of the demand requirements defined in the uncertainty set. We propose an exact solution algorithm based on a decomposition approach in which the problem is decomposed into two distinct problems: (1) designing edge capacities; and (2) checking the feasibility of the designed edge capacities with respect to the uncertain demand requirements. The algorithm is a special case of the Benders decomposition method. We show that the robust version of the Benders subproblem can be formulated as a linear program whose size is polynomially bounded. We also propose a simultaneous cut generation scheme to accelerate convergence of the Benders decomposition algorithm. Computational results on real-life telecommunication problems are reported, and these demonstrate that robust solutions with very small penalties in the objective values can be obtained. © 2012 Wiley Periodicals, Inc. Networks, 2013. Copyright © 2012 Wiley Periodicals, Inc.","author":[{"dropping-particle":"","family":"Lee","given":"Chungmok","non-dropping-particle":"","parse-names":false,"suffix":""},{"dropping-particle":"","family":"Lee","given":"Kyungsik","non-dropping-particle":"","parse-names":false,"suffix":""},{"dropping-particle":"","family":"Park","given":"Sungsoo","non-dropping-particle":"","parse-names":false,"suffix":""}],"container-title":"Networks","id":"ITEM-1","issue":"1","issued":{"date-parts":[["2013"]]},"page":"1-16","title":"Benders decomposition approach for the robust network design problem with flow bifurcations","type":"article-journal","volume":"62"},"uris":["http://www.mendeley.com/documents/?uuid=b1659cd2-8c6c-40b8-b51d-8c7f38266ac1"]}],"mendeley":{"formattedCitation":"(Lee et al., 2013)","plainTextFormattedCitation":"(Lee et al., 2013)","previouslyFormattedCitation":"(Lee et al., 2013)"},"properties":{"noteIndex":0},"schema":"https://github.com/citation-style-language/schema/raw/master/csl-citation.json"}</w:instrText>
      </w:r>
      <w:r w:rsidR="004A2B64" w:rsidRPr="003E6B3B">
        <w:rPr>
          <w:rStyle w:val="longtext"/>
          <w:rFonts w:asciiTheme="majorHAnsi" w:hAnsiTheme="majorHAnsi"/>
          <w:shd w:val="clear" w:color="auto" w:fill="FFFFFF"/>
        </w:rPr>
        <w:fldChar w:fldCharType="separate"/>
      </w:r>
      <w:r w:rsidR="004A2B64" w:rsidRPr="003E6B3B">
        <w:rPr>
          <w:rStyle w:val="longtext"/>
          <w:rFonts w:asciiTheme="majorHAnsi" w:hAnsiTheme="majorHAnsi"/>
          <w:noProof/>
          <w:shd w:val="clear" w:color="auto" w:fill="FFFFFF"/>
        </w:rPr>
        <w:t>(Lee et al., 2013)</w:t>
      </w:r>
      <w:r w:rsidR="004A2B64"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Based on various methods to solve ARC optimization problems, a general model formulation of ARC multi-objective integer optimization can be obtained with Polyhedral Uncertainty Set using the Benders Decomposition Method approach. The Benders Decomposition Method is the basis of a mathematical model required to partition or divide the problem into linear or continuous parts that are easy to solve and nonlinear or easy integer parts are difficult to solve</w:t>
      </w:r>
      <w:r w:rsidR="004A2B64" w:rsidRPr="003E6B3B">
        <w:rPr>
          <w:rStyle w:val="longtext"/>
          <w:rFonts w:asciiTheme="majorHAnsi" w:hAnsiTheme="majorHAnsi"/>
          <w:shd w:val="clear" w:color="auto" w:fill="FFFFFF"/>
        </w:rPr>
        <w:t xml:space="preserve"> </w:t>
      </w:r>
      <w:r w:rsidR="004A2B64" w:rsidRPr="003E6B3B">
        <w:rPr>
          <w:rStyle w:val="longtext"/>
          <w:rFonts w:asciiTheme="majorHAnsi" w:hAnsiTheme="majorHAnsi"/>
          <w:shd w:val="clear" w:color="auto" w:fill="FFFFFF"/>
        </w:rPr>
        <w:fldChar w:fldCharType="begin" w:fldLock="1"/>
      </w:r>
      <w:r w:rsidR="004A2B64" w:rsidRPr="003E6B3B">
        <w:rPr>
          <w:rStyle w:val="longtext"/>
          <w:rFonts w:asciiTheme="majorHAnsi" w:hAnsiTheme="majorHAnsi"/>
          <w:shd w:val="clear" w:color="auto" w:fill="FFFFFF"/>
        </w:rPr>
        <w:instrText>ADDIN CSL_CITATION {"citationItems":[{"id":"ITEM-1","itemData":{"DOI":"10.1002/net.21486","ISSN":"00283045","abstract":"We consider a network design problem in which flow bifurcations are allowed. The demand data are assumed to be uncertain, and the uncertainties of demands are expressed by an uncertainty set. The goal is to install facilities on the edges at minimum cost. The solution should be able to deliver any of the demand requirements defined in the uncertainty set. We propose an exact solution algorithm based on a decomposition approach in which the problem is decomposed into two distinct problems: (1) designing edge capacities; and (2) checking the feasibility of the designed edge capacities with respect to the uncertain demand requirements. The algorithm is a special case of the Benders decomposition method. We show that the robust version of the Benders subproblem can be formulated as a linear program whose size is polynomially bounded. We also propose a simultaneous cut generation scheme to accelerate convergence of the Benders decomposition algorithm. Computational results on real-life telecommunication problems are reported, and these demonstrate that robust solutions with very small penalties in the objective values can be obtained. © 2012 Wiley Periodicals, Inc. Networks, 2013. Copyright © 2012 Wiley Periodicals, Inc.","author":[{"dropping-particle":"","family":"Lee","given":"Chungmok","non-dropping-particle":"","parse-names":false,"suffix":""},{"dropping-particle":"","family":"Lee","given":"Kyungsik","non-dropping-particle":"","parse-names":false,"suffix":""},{"dropping-particle":"","family":"Park","given":"Sungsoo","non-dropping-particle":"","parse-names":false,"suffix":""}],"container-title":"Networks","id":"ITEM-1","issue":"1","issued":{"date-parts":[["2013"]]},"page":"1-16","title":"Benders decomposition approach for the robust network design problem with flow bifurcations","type":"article-journal","volume":"62"},"uris":["http://www.mendeley.com/documents/?uuid=b1659cd2-8c6c-40b8-b51d-8c7f38266ac1"]}],"mendeley":{"formattedCitation":"(Lee et al., 2013)","plainTextFormattedCitation":"(Lee et al., 2013)","previouslyFormattedCitation":"(Lee et al., 2013)"},"properties":{"noteIndex":0},"schema":"https://github.com/citation-style-language/schema/raw/master/csl-citation.json"}</w:instrText>
      </w:r>
      <w:r w:rsidR="004A2B64" w:rsidRPr="003E6B3B">
        <w:rPr>
          <w:rStyle w:val="longtext"/>
          <w:rFonts w:asciiTheme="majorHAnsi" w:hAnsiTheme="majorHAnsi"/>
          <w:shd w:val="clear" w:color="auto" w:fill="FFFFFF"/>
        </w:rPr>
        <w:fldChar w:fldCharType="separate"/>
      </w:r>
      <w:r w:rsidR="004A2B64" w:rsidRPr="003E6B3B">
        <w:rPr>
          <w:rStyle w:val="longtext"/>
          <w:rFonts w:asciiTheme="majorHAnsi" w:hAnsiTheme="majorHAnsi"/>
          <w:noProof/>
          <w:shd w:val="clear" w:color="auto" w:fill="FFFFFF"/>
        </w:rPr>
        <w:t>(Lee et al., 2013)</w:t>
      </w:r>
      <w:r w:rsidR="004A2B64"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xml:space="preserve">. This method is an optimization method for solving problems that have feasible subproblems. Previous studies examining very little has been done regarding the ARC multi-objective integer optimization model using the Benders Decomposition Method approach. These studies include </w:t>
      </w:r>
      <w:r w:rsidR="004A2B64" w:rsidRPr="003E6B3B">
        <w:rPr>
          <w:rStyle w:val="longtext"/>
          <w:rFonts w:asciiTheme="majorHAnsi" w:hAnsiTheme="majorHAnsi"/>
          <w:shd w:val="clear" w:color="auto" w:fill="FFFFFF"/>
        </w:rPr>
        <w:fldChar w:fldCharType="begin" w:fldLock="1"/>
      </w:r>
      <w:r w:rsidR="004A2B64" w:rsidRPr="003E6B3B">
        <w:rPr>
          <w:rStyle w:val="longtext"/>
          <w:rFonts w:asciiTheme="majorHAnsi" w:hAnsiTheme="majorHAnsi"/>
          <w:shd w:val="clear" w:color="auto" w:fill="FFFFFF"/>
        </w:rPr>
        <w:instrText>ADDIN CSL_CITATION {"citationItems":[{"id":"ITEM-1","itemData":{"DOI":"10.1002/net.21486","ISSN":"00283045","abstract":"We consider a network design problem in which flow bifurcations are allowed. The demand data are assumed to be uncertain, and the uncertainties of demands are expressed by an uncertainty set. The goal is to install facilities on the edges at minimum cost. The solution should be able to deliver any of the demand requirements defined in the uncertainty set. We propose an exact solution algorithm based on a decomposition approach in which the problem is decomposed into two distinct problems: (1) designing edge capacities; and (2) checking the feasibility of the designed edge capacities with respect to the uncertain demand requirements. The algorithm is a special case of the Benders decomposition method. We show that the robust version of the Benders subproblem can be formulated as a linear program whose size is polynomially bounded. We also propose a simultaneous cut generation scheme to accelerate convergence of the Benders decomposition algorithm. Computational results on real-life telecommunication problems are reported, and these demonstrate that robust solutions with very small penalties in the objective values can be obtained. © 2012 Wiley Periodicals, Inc. Networks, 2013. Copyright © 2012 Wiley Periodicals, Inc.","author":[{"dropping-particle":"","family":"Lee","given":"Chungmok","non-dropping-particle":"","parse-names":false,"suffix":""},{"dropping-particle":"","family":"Lee","given":"Kyungsik","non-dropping-particle":"","parse-names":false,"suffix":""},{"dropping-particle":"","family":"Park","given":"Sungsoo","non-dropping-particle":"","parse-names":false,"suffix":""}],"container-title":"Networks","id":"ITEM-1","issue":"1","issued":{"date-parts":[["2013"]]},"page":"1-16","title":"Benders decomposition approach for the robust network design problem with flow bifurcations","type":"article-journal","volume":"62"},"uris":["http://www.mendeley.com/documents/?uuid=b1659cd2-8c6c-40b8-b51d-8c7f38266ac1"]}],"mendeley":{"formattedCitation":"(Lee et al., 2013)","manualFormatting":"Lee et al., 2013","plainTextFormattedCitation":"(Lee et al., 2013)","previouslyFormattedCitation":"(Lee et al., 2013)"},"properties":{"noteIndex":0},"schema":"https://github.com/citation-style-language/schema/raw/master/csl-citation.json"}</w:instrText>
      </w:r>
      <w:r w:rsidR="004A2B64" w:rsidRPr="003E6B3B">
        <w:rPr>
          <w:rStyle w:val="longtext"/>
          <w:rFonts w:asciiTheme="majorHAnsi" w:hAnsiTheme="majorHAnsi"/>
          <w:shd w:val="clear" w:color="auto" w:fill="FFFFFF"/>
        </w:rPr>
        <w:fldChar w:fldCharType="separate"/>
      </w:r>
      <w:r w:rsidR="004A2B64" w:rsidRPr="003E6B3B">
        <w:rPr>
          <w:rStyle w:val="longtext"/>
          <w:rFonts w:asciiTheme="majorHAnsi" w:hAnsiTheme="majorHAnsi"/>
          <w:noProof/>
          <w:shd w:val="clear" w:color="auto" w:fill="FFFFFF"/>
        </w:rPr>
        <w:t>Lee et al., 2013</w:t>
      </w:r>
      <w:r w:rsidR="004A2B64"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xml:space="preserve"> who used the benders decomposition method approach for the Mixed-integer Linear Programming (MILP) optimization model, and </w:t>
      </w:r>
      <w:r w:rsidR="004A2B64" w:rsidRPr="003E6B3B">
        <w:rPr>
          <w:rStyle w:val="longtext"/>
          <w:rFonts w:asciiTheme="majorHAnsi" w:hAnsiTheme="majorHAnsi"/>
          <w:shd w:val="clear" w:color="auto" w:fill="FFFFFF"/>
        </w:rPr>
        <w:fldChar w:fldCharType="begin" w:fldLock="1"/>
      </w:r>
      <w:r w:rsidR="004A2B64" w:rsidRPr="003E6B3B">
        <w:rPr>
          <w:rStyle w:val="longtext"/>
          <w:rFonts w:asciiTheme="majorHAnsi" w:hAnsiTheme="majorHAnsi"/>
          <w:shd w:val="clear" w:color="auto" w:fill="FFFFFF"/>
        </w:rPr>
        <w:instrText>ADDIN CSL_CITATION {"citationItems":[{"id":"ITEM-1","itemData":{"DOI":"10.1109/TPWRS.2012.2205021","ISSN":"08858950","abstract":"Unit commitment, one of the most critical tasks in electric power system operations, faces new challenges as the supply and demand uncertainty increases dramatically due to the integration of variable generation resources such as wind power and price responsive demand. To meet these challenges, we propose a two-stage adaptive robust unit commitment model for the security constrained unit commitment problem in the presence of nodal net injection uncertainty. Compared to the conventional stochastic programming approach, the proposed model is more practical in that it only requires a deterministic uncertainty set, rather than a hard-to-obtain probability distribution on the uncertain data. The unit commitment solutions of the proposed model are robust against all possible realizations of the modeled uncertainty. We develop a practical solution methodology based on a combination of Benders decomposition type algorithm and the outer approximation technique. We present an extensive numerical study on the real-world large scale power system operated by the ISO New England. Computational results demonstrate the economic and operational advantages of our model over the traditional reserve adjustment approach. © 2012 IEEE.","author":[{"dropping-particle":"","family":"Bertsimas","given":"Dimitris","non-dropping-particle":"","parse-names":false,"suffix":""},{"dropping-particle":"","family":"Litvinov","given":"Eugene","non-dropping-particle":"","parse-names":false,"suffix":""},{"dropping-particle":"","family":"Sun","given":"Xu Andy","non-dropping-particle":"","parse-names":false,"suffix":""},{"dropping-particle":"","family":"Zhao","given":"Jinye","non-dropping-particle":"","parse-names":false,"suffix":""},{"dropping-particle":"","family":"Zheng","given":"Tongxin","non-dropping-particle":"","parse-names":false,"suffix":""}],"container-title":"IEEE Transactions on Power Systems","id":"ITEM-1","issue":"1","issued":{"date-parts":[["2013"]]},"page":"52-63","title":"Adaptive robust optimization for the security constrained unit commitment problem","type":"article-journal","volume":"28"},"uris":["http://www.mendeley.com/documents/?uuid=885a79e2-74cb-49a7-9575-fbc37422c1ab"]}],"mendeley":{"formattedCitation":"(Bertsimas et al., 2013)","manualFormatting":"Bertsimas et al., 2013","plainTextFormattedCitation":"(Bertsimas et al., 2013)","previouslyFormattedCitation":"(Bertsimas et al., 2013)"},"properties":{"noteIndex":0},"schema":"https://github.com/citation-style-language/schema/raw/master/csl-citation.json"}</w:instrText>
      </w:r>
      <w:r w:rsidR="004A2B64" w:rsidRPr="003E6B3B">
        <w:rPr>
          <w:rStyle w:val="longtext"/>
          <w:rFonts w:asciiTheme="majorHAnsi" w:hAnsiTheme="majorHAnsi"/>
          <w:shd w:val="clear" w:color="auto" w:fill="FFFFFF"/>
        </w:rPr>
        <w:fldChar w:fldCharType="separate"/>
      </w:r>
      <w:r w:rsidR="004A2B64" w:rsidRPr="003E6B3B">
        <w:rPr>
          <w:rStyle w:val="longtext"/>
          <w:rFonts w:asciiTheme="majorHAnsi" w:hAnsiTheme="majorHAnsi"/>
          <w:noProof/>
          <w:shd w:val="clear" w:color="auto" w:fill="FFFFFF"/>
        </w:rPr>
        <w:t>Bertsimas et al., 2013</w:t>
      </w:r>
      <w:r w:rsidR="004A2B64" w:rsidRPr="003E6B3B">
        <w:rPr>
          <w:rStyle w:val="longtext"/>
          <w:rFonts w:asciiTheme="majorHAnsi" w:hAnsiTheme="majorHAnsi"/>
          <w:shd w:val="clear" w:color="auto" w:fill="FFFFFF"/>
        </w:rPr>
        <w:fldChar w:fldCharType="end"/>
      </w:r>
      <w:r w:rsidR="004A2B64" w:rsidRPr="003E6B3B">
        <w:rPr>
          <w:rStyle w:val="longtext"/>
          <w:rFonts w:asciiTheme="majorHAnsi" w:hAnsiTheme="majorHAnsi"/>
          <w:shd w:val="clear" w:color="auto" w:fill="FFFFFF"/>
        </w:rPr>
        <w:t xml:space="preserve"> </w:t>
      </w:r>
      <w:r w:rsidRPr="003E6B3B">
        <w:rPr>
          <w:rStyle w:val="longtext"/>
          <w:rFonts w:asciiTheme="majorHAnsi" w:hAnsiTheme="majorHAnsi"/>
          <w:shd w:val="clear" w:color="auto" w:fill="FFFFFF"/>
        </w:rPr>
        <w:t xml:space="preserve">used the two-stage MILP optimization model. </w:t>
      </w:r>
    </w:p>
    <w:p w14:paraId="353667C6" w14:textId="6A56B913" w:rsidR="00267F70" w:rsidRPr="003E6B3B" w:rsidRDefault="00267F70" w:rsidP="00267F70">
      <w:pPr>
        <w:pStyle w:val="IEEEParagraph"/>
        <w:spacing w:line="23" w:lineRule="atLeast"/>
        <w:ind w:firstLine="360"/>
        <w:rPr>
          <w:rStyle w:val="longtext"/>
          <w:rFonts w:asciiTheme="majorHAnsi" w:hAnsiTheme="majorHAnsi"/>
          <w:shd w:val="clear" w:color="auto" w:fill="FFFFFF"/>
        </w:rPr>
      </w:pPr>
      <w:r w:rsidRPr="003E6B3B">
        <w:rPr>
          <w:rStyle w:val="longtext"/>
          <w:rFonts w:asciiTheme="majorHAnsi" w:hAnsiTheme="majorHAnsi"/>
          <w:shd w:val="clear" w:color="auto" w:fill="FFFFFF"/>
        </w:rPr>
        <w:t>This article discusses a Systematic Literature Review (SLR) that uses an integer multi-objective optimization model where optimization is viewed from more than one point of view</w:t>
      </w:r>
      <w:r w:rsidR="004A2B64" w:rsidRPr="003E6B3B">
        <w:rPr>
          <w:rStyle w:val="longtext"/>
          <w:rFonts w:asciiTheme="majorHAnsi" w:hAnsiTheme="majorHAnsi"/>
          <w:shd w:val="clear" w:color="auto" w:fill="FFFFFF"/>
        </w:rPr>
        <w:t xml:space="preserve"> </w:t>
      </w:r>
      <w:r w:rsidR="004A2B64" w:rsidRPr="003E6B3B">
        <w:rPr>
          <w:rStyle w:val="longtext"/>
          <w:rFonts w:asciiTheme="majorHAnsi" w:hAnsiTheme="majorHAnsi"/>
          <w:shd w:val="clear" w:color="auto" w:fill="FFFFFF"/>
        </w:rPr>
        <w:fldChar w:fldCharType="begin" w:fldLock="1"/>
      </w:r>
      <w:r w:rsidR="004A2B64" w:rsidRPr="003E6B3B">
        <w:rPr>
          <w:rStyle w:val="longtext"/>
          <w:rFonts w:asciiTheme="majorHAnsi" w:hAnsiTheme="majorHAnsi"/>
          <w:shd w:val="clear" w:color="auto" w:fill="FFFFFF"/>
        </w:rPr>
        <w:instrText>ADDIN CSL_CITATION {"citationItems":[{"id":"ITEM-1","itemData":{"id":"ITEM-1","issued":{"date-parts":[["0"]]},"page":"31-39","title":"OPTIMISASI MULTIOBJEKTIF UNTUK PEMBENTUKAN PORTOFOLIO 1 Abdul Hoyyi 1 , Dwi Ispriyanti 1 Staf Pengajar Jurusan Statistika FSM UNDIP","type":"article-journal"},"uris":["http://www.mendeley.com/documents/?uuid=9c9c24c5-509d-422e-ae73-042dbb8cac32"]}],"mendeley":{"formattedCitation":"(&lt;i&gt;OPTIMISASI MULTIOBJEKTIF UNTUK PEMBENTUKAN PORTOFOLIO 1 Abdul Hoyyi 1 , Dwi Ispriyanti 1 Staf Pengajar Jurusan Statistika FSM UNDIP&lt;/i&gt;, n.d.)","manualFormatting":" (Hoyyi &amp; Ispriyanti, 2015)","plainTextFormattedCitation":"(OPTIMISASI MULTIOBJEKTIF UNTUK PEMBENTUKAN PORTOFOLIO 1 Abdul Hoyyi 1 , Dwi Ispriyanti 1 Staf Pengajar Jurusan Statistika FSM UNDIP, n.d.)","previouslyFormattedCitation":"(&lt;i&gt;OPTIMISASI MULTIOBJEKTIF UNTUK PEMBENTUKAN PORTOFOLIO 1 Abdul Hoyyi 1 , Dwi Ispriyanti 1 Staf Pengajar Jurusan Statistika FSM UNDIP&lt;/i&gt;, n.d.)"},"properties":{"noteIndex":0},"schema":"https://github.com/citation-style-language/schema/raw/master/csl-citation.json"}</w:instrText>
      </w:r>
      <w:r w:rsidR="004A2B64" w:rsidRPr="003E6B3B">
        <w:rPr>
          <w:rStyle w:val="longtext"/>
          <w:rFonts w:asciiTheme="majorHAnsi" w:hAnsiTheme="majorHAnsi"/>
          <w:shd w:val="clear" w:color="auto" w:fill="FFFFFF"/>
        </w:rPr>
        <w:fldChar w:fldCharType="separate"/>
      </w:r>
      <w:r w:rsidR="004A2B64" w:rsidRPr="003E6B3B">
        <w:rPr>
          <w:rStyle w:val="longtext"/>
          <w:rFonts w:asciiTheme="majorHAnsi" w:hAnsiTheme="majorHAnsi"/>
          <w:noProof/>
          <w:shd w:val="clear" w:color="auto" w:fill="FFFFFF"/>
        </w:rPr>
        <w:t xml:space="preserve"> (Hoyyi &amp; Ispriyanti, 2015)</w:t>
      </w:r>
      <w:r w:rsidR="004A2B64"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xml:space="preserve"> or is said to have more than one objective function. The purpose of the SLR is to obtain an objective and comprehensive summary and the results of a critical analysis of previous research relevant to the topic being studied</w:t>
      </w:r>
      <w:r w:rsidR="004A2B64" w:rsidRPr="003E6B3B">
        <w:rPr>
          <w:rStyle w:val="longtext"/>
          <w:rFonts w:asciiTheme="majorHAnsi" w:hAnsiTheme="majorHAnsi"/>
          <w:shd w:val="clear" w:color="auto" w:fill="FFFFFF"/>
        </w:rPr>
        <w:t xml:space="preserve"> </w:t>
      </w:r>
      <w:r w:rsidR="004A2B64" w:rsidRPr="003E6B3B">
        <w:rPr>
          <w:rStyle w:val="longtext"/>
          <w:rFonts w:asciiTheme="majorHAnsi" w:hAnsiTheme="majorHAnsi"/>
          <w:shd w:val="clear" w:color="auto" w:fill="FFFFFF"/>
        </w:rPr>
        <w:fldChar w:fldCharType="begin" w:fldLock="1"/>
      </w:r>
      <w:r w:rsidR="004A2B64" w:rsidRPr="003E6B3B">
        <w:rPr>
          <w:rStyle w:val="longtext"/>
          <w:rFonts w:asciiTheme="majorHAnsi" w:hAnsiTheme="majorHAnsi"/>
          <w:shd w:val="clear" w:color="auto" w:fill="FFFFFF"/>
        </w:rPr>
        <w:instrText>ADDIN CSL_CITATION {"citationItems":[{"id":"ITEM-1","itemData":{"DOI":"10.3934/mbe.2019102","ISSN":"15471063","abstract":"The harmony search (HS) algorithm is one of the most popular meta-heuristic algorithms. The basic idea of HS was inspired by the music improvisation process in which the musicians continuously adjust the pitch of their instruments to generate wonderful harmony. Since its inception in 2001, HS has attracted the attention of many researchers from all over the world, resulting in a lot of improved variants and successful applications. Even for today, the research on improved HS variants design and innovative applications are still hot topics. This paper provides a detailed review of the basic concept of HS and a survey of its latest variants for function optimization. It also provides a survey of the innovative applications of HS in the field of intelligent manufacturing based on about 40 recently published articles. Some potential future research directions for both HS and its applications to intelligent manufacturing are also analyzed and summarized in this paper. © 2019 the Author(s).","author":[{"dropping-particle":"","family":"Yi","given":"J","non-dropping-particle":"","parse-names":false,"suffix":""},{"dropping-particle":"","family":"Lu","given":"C","non-dropping-particle":"","parse-names":false,"suffix":""},{"dropping-particle":"","family":"Li","given":"G","non-dropping-particle":"","parse-names":false,"suffix":""}],"container-title":"Mathematical Biosciences and Engineering","id":"ITEM-1","issue":"4","issued":{"date-parts":[["2019"]]},"note":"cited By 14","page":"2086-2117","publisher":"American Institute of Mathematical Sciences","title":"A literature review on latest developments of Harmony Search and its applications to intelligent manufacturing","type":"article-journal","volume":"16"},"uris":["http://www.mendeley.com/documents/?uuid=be963a8e-47b8-474d-9acd-e689743d759d"]}],"mendeley":{"formattedCitation":"(Yi et al., 2019)","plainTextFormattedCitation":"(Yi et al., 2019)","previouslyFormattedCitation":"(Yi et al., 2019)"},"properties":{"noteIndex":0},"schema":"https://github.com/citation-style-language/schema/raw/master/csl-citation.json"}</w:instrText>
      </w:r>
      <w:r w:rsidR="004A2B64" w:rsidRPr="003E6B3B">
        <w:rPr>
          <w:rStyle w:val="longtext"/>
          <w:rFonts w:asciiTheme="majorHAnsi" w:hAnsiTheme="majorHAnsi"/>
          <w:shd w:val="clear" w:color="auto" w:fill="FFFFFF"/>
        </w:rPr>
        <w:fldChar w:fldCharType="separate"/>
      </w:r>
      <w:r w:rsidR="004A2B64" w:rsidRPr="003E6B3B">
        <w:rPr>
          <w:rStyle w:val="longtext"/>
          <w:rFonts w:asciiTheme="majorHAnsi" w:hAnsiTheme="majorHAnsi"/>
          <w:noProof/>
          <w:shd w:val="clear" w:color="auto" w:fill="FFFFFF"/>
        </w:rPr>
        <w:t>(Yi et al., 2019)</w:t>
      </w:r>
      <w:r w:rsidR="004A2B64"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xml:space="preserve">. The lack of research on the ARC multi-objective integer optimization model with Polyhedral Uncertainty Set using the Benders Decomposition Method approach supports the SLR on this topic. The research in this article applies the SLR using the Preferred Reporting Items for Systematic Reviews and Meta-Analysis (PRISMA) Method. The PRISMA Method presents algorithms and procedures for selecting articles ready for review, bibliometric map analysis based on specific </w:t>
      </w:r>
      <w:r w:rsidRPr="003E6B3B">
        <w:rPr>
          <w:rStyle w:val="longtext"/>
          <w:rFonts w:asciiTheme="majorHAnsi" w:hAnsiTheme="majorHAnsi"/>
          <w:shd w:val="clear" w:color="auto" w:fill="FFFFFF"/>
        </w:rPr>
        <w:lastRenderedPageBreak/>
        <w:t xml:space="preserve">linkages, theme evolution approach, and determination of research gaps and recommendations for further research. </w:t>
      </w:r>
    </w:p>
    <w:p w14:paraId="5DC0676F" w14:textId="6C525E49" w:rsidR="009B0A53" w:rsidRPr="003E6B3B" w:rsidRDefault="00267F70" w:rsidP="00267F70">
      <w:pPr>
        <w:pStyle w:val="IEEEParagraph"/>
        <w:spacing w:line="23" w:lineRule="atLeast"/>
        <w:ind w:firstLine="360"/>
        <w:rPr>
          <w:rStyle w:val="longtext"/>
          <w:rFonts w:asciiTheme="majorHAnsi" w:hAnsiTheme="majorHAnsi"/>
          <w:shd w:val="clear" w:color="auto" w:fill="FFFFFF"/>
        </w:rPr>
      </w:pPr>
      <w:r w:rsidRPr="003E6B3B">
        <w:rPr>
          <w:rStyle w:val="longtext"/>
          <w:rFonts w:asciiTheme="majorHAnsi" w:hAnsiTheme="majorHAnsi"/>
          <w:shd w:val="clear" w:color="auto" w:fill="FFFFFF"/>
        </w:rPr>
        <w:t>Furthermore, our review complements the existing reviews on this topic (see Table 1). Table 1 summarizes the differences between our article and the existing review articles. Four relevant literature review articles are used as references compared to review articles submitted in this study. The categorization is based on content analysis that is integer variables, multi-objective function, Robust Optimization, and Benders Decomposition Method.</w:t>
      </w:r>
    </w:p>
    <w:p w14:paraId="2EF81945" w14:textId="77777777" w:rsidR="00267F70" w:rsidRPr="003E6B3B" w:rsidRDefault="00267F70" w:rsidP="00267F70">
      <w:pPr>
        <w:pStyle w:val="IEEEParagraph"/>
        <w:spacing w:line="23" w:lineRule="atLeast"/>
        <w:ind w:firstLine="360"/>
        <w:rPr>
          <w:rStyle w:val="longtext"/>
          <w:rFonts w:asciiTheme="majorHAnsi" w:hAnsiTheme="majorHAnsi"/>
          <w:shd w:val="clear" w:color="auto" w:fill="FFFFFF"/>
        </w:rPr>
      </w:pPr>
    </w:p>
    <w:p w14:paraId="04AD50F8" w14:textId="3A4C357B" w:rsidR="00267F70" w:rsidRPr="003E6B3B" w:rsidRDefault="00267F70" w:rsidP="00267F70">
      <w:pPr>
        <w:ind w:firstLine="280"/>
        <w:jc w:val="center"/>
        <w:rPr>
          <w:rFonts w:asciiTheme="majorHAnsi" w:eastAsia="Times New Roman" w:hAnsiTheme="majorHAnsi"/>
          <w:color w:val="000000"/>
          <w:sz w:val="22"/>
          <w:szCs w:val="22"/>
          <w:lang w:eastAsia="en-ID"/>
        </w:rPr>
      </w:pPr>
      <w:r w:rsidRPr="003E6B3B">
        <w:rPr>
          <w:rFonts w:asciiTheme="majorHAnsi" w:eastAsia="Times New Roman" w:hAnsiTheme="majorHAnsi"/>
          <w:b/>
          <w:bCs/>
          <w:color w:val="000000"/>
          <w:sz w:val="22"/>
          <w:szCs w:val="22"/>
          <w:lang w:eastAsia="en-ID"/>
        </w:rPr>
        <w:t>Table 1</w:t>
      </w:r>
      <w:r w:rsidRPr="003E6B3B">
        <w:rPr>
          <w:rFonts w:asciiTheme="majorHAnsi" w:eastAsia="Times New Roman" w:hAnsiTheme="majorHAnsi"/>
          <w:color w:val="000000"/>
          <w:sz w:val="22"/>
          <w:szCs w:val="22"/>
          <w:lang w:eastAsia="en-ID"/>
        </w:rPr>
        <w:t>. Related Previous SLR Article</w:t>
      </w:r>
    </w:p>
    <w:tbl>
      <w:tblPr>
        <w:tblW w:w="10330" w:type="dxa"/>
        <w:jc w:val="center"/>
        <w:tblLayout w:type="fixed"/>
        <w:tblLook w:val="04A0" w:firstRow="1" w:lastRow="0" w:firstColumn="1" w:lastColumn="0" w:noHBand="0" w:noVBand="1"/>
      </w:tblPr>
      <w:tblGrid>
        <w:gridCol w:w="565"/>
        <w:gridCol w:w="1429"/>
        <w:gridCol w:w="2551"/>
        <w:gridCol w:w="1157"/>
        <w:gridCol w:w="1226"/>
        <w:gridCol w:w="1559"/>
        <w:gridCol w:w="1843"/>
      </w:tblGrid>
      <w:tr w:rsidR="00267F70" w:rsidRPr="003E6B3B" w14:paraId="552B7A8A" w14:textId="77777777" w:rsidTr="00DC7269">
        <w:trPr>
          <w:jc w:val="center"/>
        </w:trPr>
        <w:tc>
          <w:tcPr>
            <w:tcW w:w="565" w:type="dxa"/>
            <w:vMerge w:val="restart"/>
            <w:tcBorders>
              <w:top w:val="single" w:sz="4" w:space="0" w:color="auto"/>
              <w:bottom w:val="single" w:sz="4" w:space="0" w:color="auto"/>
            </w:tcBorders>
            <w:shd w:val="clear" w:color="auto" w:fill="auto"/>
            <w:vAlign w:val="center"/>
          </w:tcPr>
          <w:p w14:paraId="0807E8A1" w14:textId="77777777" w:rsidR="00267F70" w:rsidRPr="003E6B3B" w:rsidRDefault="00267F70" w:rsidP="00DC7269">
            <w:pPr>
              <w:jc w:val="center"/>
              <w:rPr>
                <w:rFonts w:asciiTheme="majorHAnsi" w:hAnsiTheme="majorHAnsi"/>
                <w:b/>
                <w:bCs/>
                <w:sz w:val="22"/>
                <w:szCs w:val="22"/>
              </w:rPr>
            </w:pPr>
            <w:r w:rsidRPr="003E6B3B">
              <w:rPr>
                <w:rFonts w:asciiTheme="majorHAnsi" w:hAnsiTheme="majorHAnsi"/>
                <w:b/>
                <w:bCs/>
                <w:sz w:val="22"/>
                <w:szCs w:val="22"/>
              </w:rPr>
              <w:t>No</w:t>
            </w:r>
          </w:p>
        </w:tc>
        <w:tc>
          <w:tcPr>
            <w:tcW w:w="1429" w:type="dxa"/>
            <w:vMerge w:val="restart"/>
            <w:tcBorders>
              <w:top w:val="single" w:sz="4" w:space="0" w:color="auto"/>
              <w:bottom w:val="single" w:sz="4" w:space="0" w:color="auto"/>
            </w:tcBorders>
            <w:shd w:val="clear" w:color="auto" w:fill="auto"/>
            <w:vAlign w:val="center"/>
          </w:tcPr>
          <w:p w14:paraId="3274143F" w14:textId="77777777" w:rsidR="00267F70" w:rsidRPr="003E6B3B" w:rsidRDefault="00267F70" w:rsidP="00DC7269">
            <w:pPr>
              <w:jc w:val="center"/>
              <w:rPr>
                <w:rFonts w:asciiTheme="majorHAnsi" w:hAnsiTheme="majorHAnsi"/>
                <w:b/>
                <w:bCs/>
                <w:sz w:val="22"/>
                <w:szCs w:val="22"/>
              </w:rPr>
            </w:pPr>
            <w:r w:rsidRPr="003E6B3B">
              <w:rPr>
                <w:rFonts w:asciiTheme="majorHAnsi" w:hAnsiTheme="majorHAnsi"/>
                <w:b/>
                <w:bCs/>
                <w:sz w:val="22"/>
                <w:szCs w:val="22"/>
              </w:rPr>
              <w:t>Author</w:t>
            </w:r>
          </w:p>
        </w:tc>
        <w:tc>
          <w:tcPr>
            <w:tcW w:w="2551" w:type="dxa"/>
            <w:vMerge w:val="restart"/>
            <w:tcBorders>
              <w:top w:val="single" w:sz="4" w:space="0" w:color="auto"/>
              <w:bottom w:val="single" w:sz="4" w:space="0" w:color="auto"/>
            </w:tcBorders>
            <w:shd w:val="clear" w:color="auto" w:fill="auto"/>
            <w:vAlign w:val="center"/>
          </w:tcPr>
          <w:p w14:paraId="2A3991B9" w14:textId="77777777" w:rsidR="00267F70" w:rsidRPr="003E6B3B" w:rsidRDefault="00267F70" w:rsidP="00DC7269">
            <w:pPr>
              <w:jc w:val="center"/>
              <w:rPr>
                <w:rFonts w:asciiTheme="majorHAnsi" w:hAnsiTheme="majorHAnsi"/>
                <w:b/>
                <w:bCs/>
                <w:sz w:val="22"/>
                <w:szCs w:val="22"/>
              </w:rPr>
            </w:pPr>
            <w:r w:rsidRPr="003E6B3B">
              <w:rPr>
                <w:rFonts w:asciiTheme="majorHAnsi" w:hAnsiTheme="majorHAnsi"/>
                <w:b/>
                <w:bCs/>
                <w:sz w:val="22"/>
                <w:szCs w:val="22"/>
              </w:rPr>
              <w:t>Paper</w:t>
            </w:r>
          </w:p>
        </w:tc>
        <w:tc>
          <w:tcPr>
            <w:tcW w:w="5785" w:type="dxa"/>
            <w:gridSpan w:val="4"/>
            <w:tcBorders>
              <w:top w:val="single" w:sz="4" w:space="0" w:color="auto"/>
              <w:bottom w:val="single" w:sz="4" w:space="0" w:color="auto"/>
            </w:tcBorders>
            <w:shd w:val="clear" w:color="auto" w:fill="auto"/>
            <w:vAlign w:val="center"/>
          </w:tcPr>
          <w:p w14:paraId="7D984211" w14:textId="77777777" w:rsidR="00267F70" w:rsidRPr="003E6B3B" w:rsidRDefault="00267F70" w:rsidP="00DC7269">
            <w:pPr>
              <w:jc w:val="center"/>
              <w:rPr>
                <w:rFonts w:asciiTheme="majorHAnsi" w:hAnsiTheme="majorHAnsi"/>
                <w:b/>
                <w:bCs/>
                <w:sz w:val="22"/>
                <w:szCs w:val="22"/>
              </w:rPr>
            </w:pPr>
            <w:r w:rsidRPr="003E6B3B">
              <w:rPr>
                <w:rFonts w:asciiTheme="majorHAnsi" w:hAnsiTheme="majorHAnsi"/>
                <w:b/>
                <w:bCs/>
                <w:sz w:val="22"/>
                <w:szCs w:val="22"/>
              </w:rPr>
              <w:t>Content Analysis</w:t>
            </w:r>
          </w:p>
        </w:tc>
      </w:tr>
      <w:tr w:rsidR="00267F70" w:rsidRPr="003E6B3B" w14:paraId="2D3BCCB1" w14:textId="77777777" w:rsidTr="00DC7269">
        <w:trPr>
          <w:jc w:val="center"/>
        </w:trPr>
        <w:tc>
          <w:tcPr>
            <w:tcW w:w="565" w:type="dxa"/>
            <w:vMerge/>
            <w:tcBorders>
              <w:bottom w:val="single" w:sz="4" w:space="0" w:color="auto"/>
            </w:tcBorders>
            <w:shd w:val="clear" w:color="auto" w:fill="auto"/>
            <w:vAlign w:val="center"/>
          </w:tcPr>
          <w:p w14:paraId="0008DD6C" w14:textId="77777777" w:rsidR="00267F70" w:rsidRPr="003E6B3B" w:rsidRDefault="00267F70" w:rsidP="00DC7269">
            <w:pPr>
              <w:jc w:val="center"/>
              <w:rPr>
                <w:rFonts w:asciiTheme="majorHAnsi" w:hAnsiTheme="majorHAnsi"/>
                <w:b/>
                <w:bCs/>
                <w:sz w:val="22"/>
                <w:szCs w:val="22"/>
              </w:rPr>
            </w:pPr>
          </w:p>
        </w:tc>
        <w:tc>
          <w:tcPr>
            <w:tcW w:w="1429" w:type="dxa"/>
            <w:vMerge/>
            <w:tcBorders>
              <w:bottom w:val="single" w:sz="4" w:space="0" w:color="auto"/>
            </w:tcBorders>
            <w:shd w:val="clear" w:color="auto" w:fill="auto"/>
            <w:vAlign w:val="center"/>
          </w:tcPr>
          <w:p w14:paraId="6F23312D" w14:textId="77777777" w:rsidR="00267F70" w:rsidRPr="003E6B3B" w:rsidRDefault="00267F70" w:rsidP="00DC7269">
            <w:pPr>
              <w:jc w:val="center"/>
              <w:rPr>
                <w:rFonts w:asciiTheme="majorHAnsi" w:hAnsiTheme="majorHAnsi"/>
                <w:b/>
                <w:bCs/>
                <w:sz w:val="22"/>
                <w:szCs w:val="22"/>
              </w:rPr>
            </w:pPr>
          </w:p>
        </w:tc>
        <w:tc>
          <w:tcPr>
            <w:tcW w:w="2551" w:type="dxa"/>
            <w:vMerge/>
            <w:tcBorders>
              <w:bottom w:val="single" w:sz="4" w:space="0" w:color="auto"/>
            </w:tcBorders>
            <w:shd w:val="clear" w:color="auto" w:fill="auto"/>
            <w:vAlign w:val="center"/>
          </w:tcPr>
          <w:p w14:paraId="34228D5A" w14:textId="77777777" w:rsidR="00267F70" w:rsidRPr="003E6B3B" w:rsidRDefault="00267F70" w:rsidP="00DC7269">
            <w:pPr>
              <w:jc w:val="center"/>
              <w:rPr>
                <w:rFonts w:asciiTheme="majorHAnsi" w:hAnsiTheme="majorHAnsi"/>
                <w:b/>
                <w:bCs/>
                <w:sz w:val="22"/>
                <w:szCs w:val="22"/>
              </w:rPr>
            </w:pPr>
          </w:p>
        </w:tc>
        <w:tc>
          <w:tcPr>
            <w:tcW w:w="1157" w:type="dxa"/>
            <w:tcBorders>
              <w:top w:val="single" w:sz="4" w:space="0" w:color="auto"/>
              <w:bottom w:val="single" w:sz="4" w:space="0" w:color="auto"/>
            </w:tcBorders>
            <w:shd w:val="clear" w:color="auto" w:fill="auto"/>
            <w:vAlign w:val="center"/>
          </w:tcPr>
          <w:p w14:paraId="2C957C81" w14:textId="77777777" w:rsidR="00267F70" w:rsidRPr="003E6B3B" w:rsidRDefault="00267F70" w:rsidP="00DC7269">
            <w:pPr>
              <w:jc w:val="center"/>
              <w:rPr>
                <w:rFonts w:asciiTheme="majorHAnsi" w:hAnsiTheme="majorHAnsi"/>
                <w:b/>
                <w:bCs/>
                <w:sz w:val="22"/>
                <w:szCs w:val="22"/>
              </w:rPr>
            </w:pPr>
            <w:r w:rsidRPr="003E6B3B">
              <w:rPr>
                <w:rFonts w:asciiTheme="majorHAnsi" w:hAnsiTheme="majorHAnsi"/>
                <w:b/>
                <w:bCs/>
                <w:sz w:val="22"/>
                <w:szCs w:val="22"/>
              </w:rPr>
              <w:t>Integer variables</w:t>
            </w:r>
          </w:p>
        </w:tc>
        <w:tc>
          <w:tcPr>
            <w:tcW w:w="1226" w:type="dxa"/>
            <w:tcBorders>
              <w:top w:val="single" w:sz="4" w:space="0" w:color="auto"/>
              <w:bottom w:val="single" w:sz="4" w:space="0" w:color="auto"/>
            </w:tcBorders>
            <w:shd w:val="clear" w:color="auto" w:fill="auto"/>
            <w:vAlign w:val="center"/>
          </w:tcPr>
          <w:p w14:paraId="7DD62D49" w14:textId="77777777" w:rsidR="00267F70" w:rsidRPr="003E6B3B" w:rsidRDefault="00267F70" w:rsidP="00DC7269">
            <w:pPr>
              <w:jc w:val="center"/>
              <w:rPr>
                <w:rFonts w:asciiTheme="majorHAnsi" w:hAnsiTheme="majorHAnsi"/>
                <w:b/>
                <w:bCs/>
                <w:sz w:val="22"/>
                <w:szCs w:val="22"/>
              </w:rPr>
            </w:pPr>
            <w:r w:rsidRPr="003E6B3B">
              <w:rPr>
                <w:rFonts w:asciiTheme="majorHAnsi" w:hAnsiTheme="majorHAnsi"/>
                <w:b/>
                <w:bCs/>
                <w:sz w:val="22"/>
                <w:szCs w:val="22"/>
              </w:rPr>
              <w:t>Multi-objective</w:t>
            </w:r>
          </w:p>
        </w:tc>
        <w:tc>
          <w:tcPr>
            <w:tcW w:w="1559" w:type="dxa"/>
            <w:tcBorders>
              <w:top w:val="single" w:sz="4" w:space="0" w:color="auto"/>
              <w:bottom w:val="single" w:sz="4" w:space="0" w:color="auto"/>
            </w:tcBorders>
            <w:shd w:val="clear" w:color="auto" w:fill="auto"/>
            <w:vAlign w:val="center"/>
          </w:tcPr>
          <w:p w14:paraId="1C945437" w14:textId="77777777" w:rsidR="00267F70" w:rsidRPr="003E6B3B" w:rsidRDefault="00267F70" w:rsidP="00DC7269">
            <w:pPr>
              <w:jc w:val="center"/>
              <w:rPr>
                <w:rFonts w:asciiTheme="majorHAnsi" w:hAnsiTheme="majorHAnsi"/>
                <w:b/>
                <w:bCs/>
                <w:sz w:val="22"/>
                <w:szCs w:val="22"/>
              </w:rPr>
            </w:pPr>
            <w:r w:rsidRPr="003E6B3B">
              <w:rPr>
                <w:rFonts w:asciiTheme="majorHAnsi" w:hAnsiTheme="majorHAnsi"/>
                <w:b/>
                <w:bCs/>
                <w:sz w:val="22"/>
                <w:szCs w:val="22"/>
              </w:rPr>
              <w:t>Robust Optimization</w:t>
            </w:r>
          </w:p>
        </w:tc>
        <w:tc>
          <w:tcPr>
            <w:tcW w:w="1843" w:type="dxa"/>
            <w:tcBorders>
              <w:top w:val="single" w:sz="4" w:space="0" w:color="auto"/>
              <w:bottom w:val="single" w:sz="4" w:space="0" w:color="auto"/>
            </w:tcBorders>
            <w:shd w:val="clear" w:color="auto" w:fill="auto"/>
            <w:vAlign w:val="center"/>
          </w:tcPr>
          <w:p w14:paraId="016F7DDA" w14:textId="77777777" w:rsidR="00267F70" w:rsidRPr="003E6B3B" w:rsidRDefault="00267F70" w:rsidP="00DC7269">
            <w:pPr>
              <w:jc w:val="center"/>
              <w:rPr>
                <w:rFonts w:asciiTheme="majorHAnsi" w:hAnsiTheme="majorHAnsi"/>
                <w:b/>
                <w:bCs/>
                <w:sz w:val="22"/>
                <w:szCs w:val="22"/>
              </w:rPr>
            </w:pPr>
            <w:r w:rsidRPr="003E6B3B">
              <w:rPr>
                <w:rFonts w:asciiTheme="majorHAnsi" w:hAnsiTheme="majorHAnsi"/>
                <w:b/>
                <w:bCs/>
                <w:sz w:val="22"/>
                <w:szCs w:val="22"/>
              </w:rPr>
              <w:t>Benders Decomposition</w:t>
            </w:r>
          </w:p>
        </w:tc>
      </w:tr>
      <w:tr w:rsidR="00267F70" w:rsidRPr="003E6B3B" w14:paraId="7CB763C7" w14:textId="77777777" w:rsidTr="00DC7269">
        <w:trPr>
          <w:jc w:val="center"/>
        </w:trPr>
        <w:tc>
          <w:tcPr>
            <w:tcW w:w="565" w:type="dxa"/>
            <w:tcBorders>
              <w:top w:val="single" w:sz="4" w:space="0" w:color="auto"/>
              <w:bottom w:val="single" w:sz="4" w:space="0" w:color="auto"/>
            </w:tcBorders>
            <w:shd w:val="clear" w:color="auto" w:fill="auto"/>
            <w:vAlign w:val="center"/>
          </w:tcPr>
          <w:p w14:paraId="6BD2F634" w14:textId="288BFFBD" w:rsidR="00267F70" w:rsidRPr="003E6B3B" w:rsidRDefault="00DC7269" w:rsidP="00DC7269">
            <w:pPr>
              <w:jc w:val="center"/>
              <w:rPr>
                <w:rFonts w:asciiTheme="majorHAnsi" w:hAnsiTheme="majorHAnsi"/>
                <w:sz w:val="22"/>
                <w:szCs w:val="22"/>
              </w:rPr>
            </w:pPr>
            <w:r w:rsidRPr="003E6B3B">
              <w:rPr>
                <w:rFonts w:asciiTheme="majorHAnsi" w:hAnsiTheme="majorHAnsi"/>
                <w:sz w:val="22"/>
                <w:szCs w:val="22"/>
              </w:rPr>
              <w:t>1</w:t>
            </w:r>
          </w:p>
        </w:tc>
        <w:tc>
          <w:tcPr>
            <w:tcW w:w="1429" w:type="dxa"/>
            <w:tcBorders>
              <w:top w:val="single" w:sz="4" w:space="0" w:color="auto"/>
              <w:bottom w:val="single" w:sz="4" w:space="0" w:color="auto"/>
            </w:tcBorders>
            <w:shd w:val="clear" w:color="auto" w:fill="auto"/>
            <w:vAlign w:val="center"/>
          </w:tcPr>
          <w:p w14:paraId="173C23B3" w14:textId="6096F9B4" w:rsidR="00267F70" w:rsidRPr="003E6B3B" w:rsidRDefault="004A2B64" w:rsidP="00DC7269">
            <w:pPr>
              <w:jc w:val="center"/>
              <w:rPr>
                <w:rFonts w:asciiTheme="majorHAnsi" w:hAnsiTheme="majorHAnsi"/>
                <w:sz w:val="22"/>
                <w:szCs w:val="22"/>
                <w:vertAlign w:val="superscript"/>
              </w:rPr>
            </w:pPr>
            <w:r w:rsidRPr="003E6B3B">
              <w:rPr>
                <w:rFonts w:asciiTheme="majorHAnsi" w:hAnsiTheme="majorHAnsi"/>
                <w:sz w:val="22"/>
                <w:szCs w:val="22"/>
                <w:vertAlign w:val="superscript"/>
              </w:rPr>
              <w:fldChar w:fldCharType="begin" w:fldLock="1"/>
            </w:r>
            <w:r w:rsidR="002F192A" w:rsidRPr="003E6B3B">
              <w:rPr>
                <w:rFonts w:asciiTheme="majorHAnsi" w:hAnsiTheme="majorHAnsi"/>
                <w:sz w:val="22"/>
                <w:szCs w:val="22"/>
                <w:vertAlign w:val="superscript"/>
              </w:rPr>
              <w:instrText>ADDIN CSL_CITATION {"citationItems":[{"id":"ITEM-1","itemData":{"DOI":"10.1016/j.ejor.2018.08.031","ISSN":"03772217","abstract":"Static robust optimization (RO) is a methodology to solve mathematical optimization problems with uncertain data. The objective of static RO is to find solutions that are immune to all perturbations of the data in a so-called uncertainty set. RO is popular because it is a computationally tractable methodology and has a wide range of applications in practice. Adjustable robust optimization (ARO), on the other hand, is a branch of RO where some of the decision variables can be adjusted after some portion of the uncertain data reveals itself. ARO generally yields a better objective function value than that in static robust optimization because it gives rise to more flexible adjustable (or wait-and-see) decisions. Additionally, ARO also has many real life applications and is a computationally tractable methodology for many parameterized adjustable decision variables and uncertainty sets. This paper surveys the state-of-the-art literature on applications and theoretical/methodological aspects of ARO. Moreover, it provides a tutorial and a road map to guide researchers and practitioners on how to apply ARO methods, as well as, the advantages and limitations of the associated methods.","author":[{"dropping-particle":"","family":"Yanıkoğlu","given":"İhsan","non-dropping-particle":"","parse-names":false,"suffix":""},{"dropping-particle":"","family":"Gorissen","given":"Bram L.","non-dropping-particle":"","parse-names":false,"suffix":""},{"dropping-particle":"","family":"Hertog","given":"Dick","non-dropping-particle":"den","parse-names":false,"suffix":""}],"container-title":"European Journal of Operational Research","id":"ITEM-1","issue":"3","issued":{"date-parts":[["2019"]]},"page":"799-813","title":"A survey of adjustable robust optimization","type":"article-journal","volume":"277"},"uris":["http://www.mendeley.com/documents/?uuid=d632d7bc-d437-4102-ba5c-da8aa286fb11"]}],"mendeley":{"formattedCitation":"(İhsan Yanıkoğlu et al., 2019)","manualFormatting":"Yanıkoğlu et al., 2019","plainTextFormattedCitation":"(İhsan Yanıkoğlu et al., 2019)","previouslyFormattedCitation":"(İhsan Yanıkoğlu et al., 2019)"},"properties":{"noteIndex":0},"schema":"https://github.com/citation-style-language/schema/raw/master/csl-citation.json"}</w:instrText>
            </w:r>
            <w:r w:rsidRPr="003E6B3B">
              <w:rPr>
                <w:rFonts w:asciiTheme="majorHAnsi" w:hAnsiTheme="majorHAnsi"/>
                <w:sz w:val="22"/>
                <w:szCs w:val="22"/>
                <w:vertAlign w:val="superscript"/>
              </w:rPr>
              <w:fldChar w:fldCharType="separate"/>
            </w:r>
            <w:r w:rsidRPr="003E6B3B">
              <w:rPr>
                <w:rFonts w:asciiTheme="majorHAnsi" w:hAnsiTheme="majorHAnsi"/>
                <w:noProof/>
                <w:sz w:val="22"/>
                <w:szCs w:val="22"/>
              </w:rPr>
              <w:t>Yanıkoğlu et al., 2019</w:t>
            </w:r>
            <w:r w:rsidRPr="003E6B3B">
              <w:rPr>
                <w:rFonts w:asciiTheme="majorHAnsi" w:hAnsiTheme="majorHAnsi"/>
                <w:sz w:val="22"/>
                <w:szCs w:val="22"/>
                <w:vertAlign w:val="superscript"/>
              </w:rPr>
              <w:fldChar w:fldCharType="end"/>
            </w:r>
          </w:p>
        </w:tc>
        <w:tc>
          <w:tcPr>
            <w:tcW w:w="2551" w:type="dxa"/>
            <w:tcBorders>
              <w:top w:val="single" w:sz="4" w:space="0" w:color="auto"/>
              <w:bottom w:val="single" w:sz="4" w:space="0" w:color="auto"/>
            </w:tcBorders>
            <w:shd w:val="clear" w:color="auto" w:fill="auto"/>
            <w:vAlign w:val="center"/>
          </w:tcPr>
          <w:p w14:paraId="793258C6" w14:textId="77777777" w:rsidR="00267F70" w:rsidRPr="003E6B3B" w:rsidRDefault="00267F70" w:rsidP="00DC7269">
            <w:pPr>
              <w:jc w:val="center"/>
              <w:rPr>
                <w:rFonts w:asciiTheme="majorHAnsi" w:hAnsiTheme="majorHAnsi"/>
                <w:sz w:val="22"/>
                <w:szCs w:val="22"/>
              </w:rPr>
            </w:pPr>
            <w:r w:rsidRPr="003E6B3B">
              <w:rPr>
                <w:rFonts w:asciiTheme="majorHAnsi" w:hAnsiTheme="majorHAnsi"/>
                <w:sz w:val="22"/>
                <w:szCs w:val="22"/>
              </w:rPr>
              <w:t>A survey of adjustable robust optimization</w:t>
            </w:r>
          </w:p>
        </w:tc>
        <w:tc>
          <w:tcPr>
            <w:tcW w:w="1157" w:type="dxa"/>
            <w:tcBorders>
              <w:top w:val="single" w:sz="4" w:space="0" w:color="auto"/>
              <w:bottom w:val="single" w:sz="4" w:space="0" w:color="auto"/>
            </w:tcBorders>
            <w:shd w:val="clear" w:color="auto" w:fill="auto"/>
            <w:vAlign w:val="center"/>
          </w:tcPr>
          <w:p w14:paraId="1B84A077" w14:textId="77777777" w:rsidR="00267F70" w:rsidRPr="003E6B3B" w:rsidRDefault="00267F70" w:rsidP="00DC7269">
            <w:pPr>
              <w:jc w:val="center"/>
              <w:rPr>
                <w:rFonts w:asciiTheme="majorHAnsi" w:hAnsiTheme="majorHAnsi"/>
                <w:sz w:val="22"/>
                <w:szCs w:val="22"/>
              </w:rPr>
            </w:pPr>
            <w:r w:rsidRPr="003E6B3B">
              <w:rPr>
                <w:rFonts w:asciiTheme="majorHAnsi" w:hAnsiTheme="majorHAnsi"/>
                <w:sz w:val="22"/>
                <w:szCs w:val="22"/>
              </w:rPr>
              <w:t>-</w:t>
            </w:r>
          </w:p>
        </w:tc>
        <w:tc>
          <w:tcPr>
            <w:tcW w:w="1226" w:type="dxa"/>
            <w:tcBorders>
              <w:top w:val="single" w:sz="4" w:space="0" w:color="auto"/>
              <w:bottom w:val="single" w:sz="4" w:space="0" w:color="auto"/>
            </w:tcBorders>
            <w:shd w:val="clear" w:color="auto" w:fill="auto"/>
            <w:vAlign w:val="center"/>
          </w:tcPr>
          <w:p w14:paraId="4A0CA483" w14:textId="77777777" w:rsidR="00267F70" w:rsidRPr="003E6B3B" w:rsidRDefault="00267F70" w:rsidP="00DC7269">
            <w:pPr>
              <w:jc w:val="center"/>
              <w:rPr>
                <w:rFonts w:asciiTheme="majorHAnsi" w:hAnsiTheme="majorHAnsi"/>
                <w:sz w:val="22"/>
                <w:szCs w:val="22"/>
              </w:rPr>
            </w:pPr>
            <w:r w:rsidRPr="003E6B3B">
              <w:rPr>
                <w:rFonts w:asciiTheme="majorHAnsi" w:hAnsiTheme="majorHAnsi"/>
                <w:sz w:val="22"/>
                <w:szCs w:val="22"/>
              </w:rPr>
              <w:t>-</w:t>
            </w:r>
          </w:p>
        </w:tc>
        <w:tc>
          <w:tcPr>
            <w:tcW w:w="1559" w:type="dxa"/>
            <w:tcBorders>
              <w:top w:val="single" w:sz="4" w:space="0" w:color="auto"/>
              <w:bottom w:val="single" w:sz="4" w:space="0" w:color="auto"/>
            </w:tcBorders>
            <w:shd w:val="clear" w:color="auto" w:fill="auto"/>
            <w:vAlign w:val="center"/>
          </w:tcPr>
          <w:p w14:paraId="621000AB" w14:textId="040EEA82" w:rsidR="00267F70" w:rsidRPr="003E6B3B" w:rsidRDefault="00267F70" w:rsidP="00DC7269">
            <w:pPr>
              <w:jc w:val="center"/>
              <w:rPr>
                <w:rFonts w:asciiTheme="majorHAnsi" w:hAnsiTheme="majorHAnsi"/>
                <w:sz w:val="22"/>
                <w:szCs w:val="22"/>
              </w:rPr>
            </w:pPr>
            <w:r w:rsidRPr="003E6B3B">
              <w:rPr>
                <w:rFonts w:asciiTheme="majorHAnsi" w:hAnsiTheme="majorHAnsi"/>
                <w:noProof/>
                <w:sz w:val="22"/>
                <w:szCs w:val="22"/>
              </w:rPr>
              <w:drawing>
                <wp:inline distT="0" distB="0" distL="0" distR="0" wp14:anchorId="1A6E8B7D" wp14:editId="400467CD">
                  <wp:extent cx="171450"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843" w:type="dxa"/>
            <w:tcBorders>
              <w:top w:val="single" w:sz="4" w:space="0" w:color="auto"/>
              <w:bottom w:val="single" w:sz="4" w:space="0" w:color="auto"/>
            </w:tcBorders>
            <w:shd w:val="clear" w:color="auto" w:fill="auto"/>
            <w:vAlign w:val="center"/>
          </w:tcPr>
          <w:p w14:paraId="1AF67A1D" w14:textId="77777777" w:rsidR="00267F70" w:rsidRPr="003E6B3B" w:rsidRDefault="00267F70" w:rsidP="00DC7269">
            <w:pPr>
              <w:jc w:val="center"/>
              <w:rPr>
                <w:rFonts w:asciiTheme="majorHAnsi" w:hAnsiTheme="majorHAnsi"/>
                <w:sz w:val="22"/>
                <w:szCs w:val="22"/>
              </w:rPr>
            </w:pPr>
            <w:r w:rsidRPr="003E6B3B">
              <w:rPr>
                <w:rFonts w:asciiTheme="majorHAnsi" w:hAnsiTheme="majorHAnsi"/>
                <w:sz w:val="22"/>
                <w:szCs w:val="22"/>
              </w:rPr>
              <w:t>-</w:t>
            </w:r>
          </w:p>
        </w:tc>
      </w:tr>
      <w:tr w:rsidR="00267F70" w:rsidRPr="003E6B3B" w14:paraId="2A06B1D5" w14:textId="77777777" w:rsidTr="00DC7269">
        <w:trPr>
          <w:jc w:val="center"/>
        </w:trPr>
        <w:tc>
          <w:tcPr>
            <w:tcW w:w="565" w:type="dxa"/>
            <w:tcBorders>
              <w:top w:val="single" w:sz="4" w:space="0" w:color="auto"/>
              <w:bottom w:val="single" w:sz="4" w:space="0" w:color="auto"/>
            </w:tcBorders>
            <w:shd w:val="clear" w:color="auto" w:fill="auto"/>
            <w:vAlign w:val="center"/>
          </w:tcPr>
          <w:p w14:paraId="227BC0CE" w14:textId="07247AAD" w:rsidR="00267F70" w:rsidRPr="003E6B3B" w:rsidRDefault="00DC7269" w:rsidP="00DC7269">
            <w:pPr>
              <w:jc w:val="center"/>
              <w:rPr>
                <w:rFonts w:asciiTheme="majorHAnsi" w:hAnsiTheme="majorHAnsi"/>
                <w:sz w:val="22"/>
                <w:szCs w:val="22"/>
              </w:rPr>
            </w:pPr>
            <w:r w:rsidRPr="003E6B3B">
              <w:rPr>
                <w:rFonts w:asciiTheme="majorHAnsi" w:hAnsiTheme="majorHAnsi"/>
                <w:sz w:val="22"/>
                <w:szCs w:val="22"/>
              </w:rPr>
              <w:t>2</w:t>
            </w:r>
          </w:p>
        </w:tc>
        <w:tc>
          <w:tcPr>
            <w:tcW w:w="1429" w:type="dxa"/>
            <w:tcBorders>
              <w:top w:val="single" w:sz="4" w:space="0" w:color="auto"/>
              <w:bottom w:val="single" w:sz="4" w:space="0" w:color="auto"/>
            </w:tcBorders>
            <w:shd w:val="clear" w:color="auto" w:fill="auto"/>
            <w:vAlign w:val="center"/>
          </w:tcPr>
          <w:p w14:paraId="00A06DE4" w14:textId="70FD7EC3" w:rsidR="00267F70" w:rsidRPr="003E6B3B" w:rsidRDefault="002F192A" w:rsidP="00DC7269">
            <w:pPr>
              <w:jc w:val="center"/>
              <w:rPr>
                <w:rFonts w:asciiTheme="majorHAnsi" w:hAnsiTheme="majorHAnsi"/>
                <w:sz w:val="22"/>
                <w:szCs w:val="22"/>
                <w:vertAlign w:val="superscript"/>
              </w:rPr>
            </w:pPr>
            <w:r w:rsidRPr="003E6B3B">
              <w:rPr>
                <w:rFonts w:asciiTheme="majorHAnsi" w:hAnsiTheme="majorHAnsi"/>
                <w:sz w:val="22"/>
                <w:szCs w:val="22"/>
                <w:vertAlign w:val="superscript"/>
              </w:rPr>
              <w:fldChar w:fldCharType="begin" w:fldLock="1"/>
            </w:r>
            <w:r w:rsidRPr="003E6B3B">
              <w:rPr>
                <w:rFonts w:asciiTheme="majorHAnsi" w:hAnsiTheme="majorHAnsi"/>
                <w:sz w:val="22"/>
                <w:szCs w:val="22"/>
                <w:vertAlign w:val="superscript"/>
              </w:rPr>
              <w:instrText>ADDIN CSL_CITATION {"citationItems":[{"id":"ITEM-1","itemData":{"DOI":"10.1016/j.ejor.2021.04.035","ISSN":"03772217","abstract":"The radius of robust feasibility provides a numerical value for the largest possible uncertainty set that guarantees feasibility of a robust counterpart of a mathematical program with uncertain constraints. The objective of this review of the state-of-the-art in this field is to present this useful tool of robust optimization to its potential users and to avoid undesirable overlapping of research works on the topic as those we have recently detected. In this paper we overview the existing literature on the radius of robust feasibility in continuous and mixed-integer linearly constrained programs, linearly constrained semi-infinite programs, convexly constrained programs, and conic linearly constrained programs. We also analyze the connection between the radius of robust feasibility and the distance to ill-posedness for different types of uncertain mathematical programs.","author":[{"dropping-particle":"","family":"Goberna","given":"M. A.","non-dropping-particle":"","parse-names":false,"suffix":""},{"dropping-particle":"","family":"Jeyakumar","given":"V.","non-dropping-particle":"","parse-names":false,"suffix":""},{"dropping-particle":"","family":"Li","given":"G.","non-dropping-particle":"","parse-names":false,"suffix":""},{"dropping-particle":"","family":"Vicente-Pérez","given":"J.","non-dropping-particle":"","parse-names":false,"suffix":""}],"container-title":"European Journal of Operational Research","id":"ITEM-1","issue":"3","issued":{"date-parts":[["2022"]]},"page":"749-763","title":"The radius of robust feasibility of uncertain mathematical programs: A Survey and recent developments","type":"article-journal","volume":"296"},"uris":["http://www.mendeley.com/documents/?uuid=7848a6da-bda8-4221-83bf-b6829e7a619c"]}],"mendeley":{"formattedCitation":"(Goberna et al., 2022)","manualFormatting":"Goberna et al., 2022","plainTextFormattedCitation":"(Goberna et al., 2022)","previouslyFormattedCitation":"(Goberna et al., 2022)"},"properties":{"noteIndex":0},"schema":"https://github.com/citation-style-language/schema/raw/master/csl-citation.json"}</w:instrText>
            </w:r>
            <w:r w:rsidRPr="003E6B3B">
              <w:rPr>
                <w:rFonts w:asciiTheme="majorHAnsi" w:hAnsiTheme="majorHAnsi"/>
                <w:sz w:val="22"/>
                <w:szCs w:val="22"/>
                <w:vertAlign w:val="superscript"/>
              </w:rPr>
              <w:fldChar w:fldCharType="separate"/>
            </w:r>
            <w:r w:rsidRPr="003E6B3B">
              <w:rPr>
                <w:rFonts w:asciiTheme="majorHAnsi" w:hAnsiTheme="majorHAnsi"/>
                <w:noProof/>
                <w:sz w:val="22"/>
                <w:szCs w:val="22"/>
              </w:rPr>
              <w:t>Goberna et al., 2022</w:t>
            </w:r>
            <w:r w:rsidRPr="003E6B3B">
              <w:rPr>
                <w:rFonts w:asciiTheme="majorHAnsi" w:hAnsiTheme="majorHAnsi"/>
                <w:sz w:val="22"/>
                <w:szCs w:val="22"/>
                <w:vertAlign w:val="superscript"/>
              </w:rPr>
              <w:fldChar w:fldCharType="end"/>
            </w:r>
          </w:p>
        </w:tc>
        <w:tc>
          <w:tcPr>
            <w:tcW w:w="2551" w:type="dxa"/>
            <w:tcBorders>
              <w:top w:val="single" w:sz="4" w:space="0" w:color="auto"/>
              <w:bottom w:val="single" w:sz="4" w:space="0" w:color="auto"/>
            </w:tcBorders>
            <w:shd w:val="clear" w:color="auto" w:fill="auto"/>
            <w:vAlign w:val="center"/>
          </w:tcPr>
          <w:p w14:paraId="25A46925" w14:textId="77777777" w:rsidR="00267F70" w:rsidRPr="003E6B3B" w:rsidRDefault="00267F70" w:rsidP="00DC7269">
            <w:pPr>
              <w:jc w:val="center"/>
              <w:rPr>
                <w:rFonts w:asciiTheme="majorHAnsi" w:hAnsiTheme="majorHAnsi"/>
                <w:sz w:val="22"/>
                <w:szCs w:val="22"/>
              </w:rPr>
            </w:pPr>
            <w:r w:rsidRPr="003E6B3B">
              <w:rPr>
                <w:rFonts w:asciiTheme="majorHAnsi" w:hAnsiTheme="majorHAnsi"/>
                <w:sz w:val="22"/>
                <w:szCs w:val="22"/>
              </w:rPr>
              <w:t>The radius of robust feasibility of uncertain mathematical programs: A Survey and recent developments</w:t>
            </w:r>
          </w:p>
        </w:tc>
        <w:tc>
          <w:tcPr>
            <w:tcW w:w="1157" w:type="dxa"/>
            <w:tcBorders>
              <w:top w:val="single" w:sz="4" w:space="0" w:color="auto"/>
              <w:bottom w:val="single" w:sz="4" w:space="0" w:color="auto"/>
            </w:tcBorders>
            <w:shd w:val="clear" w:color="auto" w:fill="auto"/>
            <w:vAlign w:val="center"/>
          </w:tcPr>
          <w:p w14:paraId="2F627574" w14:textId="34D29A83" w:rsidR="00267F70" w:rsidRPr="003E6B3B" w:rsidRDefault="00267F70" w:rsidP="00DC7269">
            <w:pPr>
              <w:jc w:val="center"/>
              <w:rPr>
                <w:rFonts w:asciiTheme="majorHAnsi" w:hAnsiTheme="majorHAnsi"/>
                <w:sz w:val="22"/>
                <w:szCs w:val="22"/>
              </w:rPr>
            </w:pPr>
            <w:r w:rsidRPr="003E6B3B">
              <w:rPr>
                <w:rFonts w:asciiTheme="majorHAnsi" w:hAnsiTheme="majorHAnsi"/>
                <w:noProof/>
                <w:sz w:val="22"/>
                <w:szCs w:val="22"/>
              </w:rPr>
              <w:drawing>
                <wp:inline distT="0" distB="0" distL="0" distR="0" wp14:anchorId="1DE9F1B6" wp14:editId="3C376962">
                  <wp:extent cx="171450" cy="17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226" w:type="dxa"/>
            <w:tcBorders>
              <w:top w:val="single" w:sz="4" w:space="0" w:color="auto"/>
              <w:bottom w:val="single" w:sz="4" w:space="0" w:color="auto"/>
            </w:tcBorders>
            <w:shd w:val="clear" w:color="auto" w:fill="auto"/>
            <w:vAlign w:val="center"/>
          </w:tcPr>
          <w:p w14:paraId="6F40AD48" w14:textId="77777777" w:rsidR="00267F70" w:rsidRPr="003E6B3B" w:rsidRDefault="00267F70" w:rsidP="00DC7269">
            <w:pPr>
              <w:jc w:val="center"/>
              <w:rPr>
                <w:rFonts w:asciiTheme="majorHAnsi" w:hAnsiTheme="majorHAnsi"/>
                <w:sz w:val="22"/>
                <w:szCs w:val="22"/>
              </w:rPr>
            </w:pPr>
            <w:r w:rsidRPr="003E6B3B">
              <w:rPr>
                <w:rFonts w:asciiTheme="majorHAnsi" w:hAnsiTheme="majorHAnsi"/>
                <w:sz w:val="22"/>
                <w:szCs w:val="22"/>
              </w:rPr>
              <w:t>-</w:t>
            </w:r>
          </w:p>
        </w:tc>
        <w:tc>
          <w:tcPr>
            <w:tcW w:w="1559" w:type="dxa"/>
            <w:tcBorders>
              <w:top w:val="single" w:sz="4" w:space="0" w:color="auto"/>
              <w:bottom w:val="single" w:sz="4" w:space="0" w:color="auto"/>
            </w:tcBorders>
            <w:shd w:val="clear" w:color="auto" w:fill="auto"/>
            <w:vAlign w:val="center"/>
          </w:tcPr>
          <w:p w14:paraId="1F4485F4" w14:textId="5C4D7426" w:rsidR="00267F70" w:rsidRPr="003E6B3B" w:rsidRDefault="00267F70" w:rsidP="00DC7269">
            <w:pPr>
              <w:jc w:val="center"/>
              <w:rPr>
                <w:rFonts w:asciiTheme="majorHAnsi" w:hAnsiTheme="majorHAnsi"/>
                <w:sz w:val="22"/>
                <w:szCs w:val="22"/>
              </w:rPr>
            </w:pPr>
            <w:r w:rsidRPr="003E6B3B">
              <w:rPr>
                <w:rFonts w:asciiTheme="majorHAnsi" w:hAnsiTheme="majorHAnsi"/>
                <w:noProof/>
                <w:sz w:val="22"/>
                <w:szCs w:val="22"/>
              </w:rPr>
              <w:drawing>
                <wp:inline distT="0" distB="0" distL="0" distR="0" wp14:anchorId="32EA888B" wp14:editId="6D0E6534">
                  <wp:extent cx="171450" cy="171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843" w:type="dxa"/>
            <w:tcBorders>
              <w:top w:val="single" w:sz="4" w:space="0" w:color="auto"/>
              <w:bottom w:val="single" w:sz="4" w:space="0" w:color="auto"/>
            </w:tcBorders>
            <w:shd w:val="clear" w:color="auto" w:fill="auto"/>
            <w:vAlign w:val="center"/>
          </w:tcPr>
          <w:p w14:paraId="22D394F8" w14:textId="77777777" w:rsidR="00267F70" w:rsidRPr="003E6B3B" w:rsidRDefault="00267F70" w:rsidP="00DC7269">
            <w:pPr>
              <w:jc w:val="center"/>
              <w:rPr>
                <w:rFonts w:asciiTheme="majorHAnsi" w:hAnsiTheme="majorHAnsi"/>
                <w:sz w:val="22"/>
                <w:szCs w:val="22"/>
              </w:rPr>
            </w:pPr>
            <w:r w:rsidRPr="003E6B3B">
              <w:rPr>
                <w:rFonts w:asciiTheme="majorHAnsi" w:hAnsiTheme="majorHAnsi"/>
                <w:sz w:val="22"/>
                <w:szCs w:val="22"/>
              </w:rPr>
              <w:t>-</w:t>
            </w:r>
          </w:p>
        </w:tc>
      </w:tr>
      <w:tr w:rsidR="00267F70" w:rsidRPr="003E6B3B" w14:paraId="750A5B5F" w14:textId="77777777" w:rsidTr="00DC7269">
        <w:trPr>
          <w:jc w:val="center"/>
        </w:trPr>
        <w:tc>
          <w:tcPr>
            <w:tcW w:w="565" w:type="dxa"/>
            <w:tcBorders>
              <w:top w:val="single" w:sz="4" w:space="0" w:color="auto"/>
              <w:bottom w:val="single" w:sz="4" w:space="0" w:color="auto"/>
            </w:tcBorders>
            <w:shd w:val="clear" w:color="auto" w:fill="auto"/>
            <w:vAlign w:val="center"/>
          </w:tcPr>
          <w:p w14:paraId="5DE0F3A5" w14:textId="44D91D57" w:rsidR="00267F70" w:rsidRPr="003E6B3B" w:rsidRDefault="00DC7269" w:rsidP="00DC7269">
            <w:pPr>
              <w:jc w:val="center"/>
              <w:rPr>
                <w:rFonts w:asciiTheme="majorHAnsi" w:hAnsiTheme="majorHAnsi"/>
                <w:sz w:val="22"/>
                <w:szCs w:val="22"/>
              </w:rPr>
            </w:pPr>
            <w:r w:rsidRPr="003E6B3B">
              <w:rPr>
                <w:rFonts w:asciiTheme="majorHAnsi" w:hAnsiTheme="majorHAnsi"/>
                <w:sz w:val="22"/>
                <w:szCs w:val="22"/>
              </w:rPr>
              <w:t>3</w:t>
            </w:r>
          </w:p>
        </w:tc>
        <w:tc>
          <w:tcPr>
            <w:tcW w:w="1429" w:type="dxa"/>
            <w:tcBorders>
              <w:top w:val="single" w:sz="4" w:space="0" w:color="auto"/>
              <w:bottom w:val="single" w:sz="4" w:space="0" w:color="auto"/>
            </w:tcBorders>
            <w:shd w:val="clear" w:color="auto" w:fill="auto"/>
            <w:vAlign w:val="center"/>
          </w:tcPr>
          <w:p w14:paraId="19EFF4C8" w14:textId="3ACC6FD9" w:rsidR="00267F70" w:rsidRPr="003E6B3B" w:rsidRDefault="002F192A" w:rsidP="00DC7269">
            <w:pPr>
              <w:jc w:val="center"/>
              <w:rPr>
                <w:rFonts w:asciiTheme="majorHAnsi" w:hAnsiTheme="majorHAnsi"/>
                <w:sz w:val="22"/>
                <w:szCs w:val="22"/>
                <w:vertAlign w:val="superscript"/>
              </w:rPr>
            </w:pPr>
            <w:r w:rsidRPr="003E6B3B">
              <w:rPr>
                <w:rFonts w:asciiTheme="majorHAnsi" w:hAnsiTheme="majorHAnsi"/>
                <w:sz w:val="22"/>
                <w:szCs w:val="22"/>
                <w:vertAlign w:val="superscript"/>
              </w:rPr>
              <w:fldChar w:fldCharType="begin" w:fldLock="1"/>
            </w:r>
            <w:r w:rsidR="00DC7269" w:rsidRPr="003E6B3B">
              <w:rPr>
                <w:rFonts w:asciiTheme="majorHAnsi" w:hAnsiTheme="majorHAnsi"/>
                <w:sz w:val="22"/>
                <w:szCs w:val="22"/>
                <w:vertAlign w:val="superscript"/>
              </w:rPr>
              <w:instrText>ADDIN CSL_CITATION {"citationItems":[{"id":"ITEM-1","itemData":{"abstract":"… Systematic literature review on adjustable robust counterpart for internet shopping optimization problem … 2.2 Adjustable Robust Counterpart Methodology …","author":[{"dropping-particle":"","family":"Mahrudinda","given":"M","non-dropping-particle":"","parse-names":false,"suffix":""},{"dropping-particle":"","family":"Chaerani","given":"D","non-dropping-particle":"","parse-names":false,"suffix":""},{"dropping-particle":"","family":"...","given":"","non-dropping-particle":"","parse-names":false,"suffix":""}],"container-title":"International Journal of …","id":"ITEM-1","issued":{"date-parts":[["2022"]]},"note":"Query date: 2022-02-21 19:26:37","publisher":"m.growingscience.com","title":"Systematic literature review on adjustable robust counterpart for internet shopping optimization problem","type":"article-journal"},"uris":["http://www.mendeley.com/documents/?uuid=b774f033-2979-4425-9cea-e8924dfaa78c"]}],"mendeley":{"formattedCitation":"(Mahrudinda et al., 2022)","manualFormatting":"Mahrudinda et al., 2022","plainTextFormattedCitation":"(Mahrudinda et al., 2022)","previouslyFormattedCitation":"(Mahrudinda et al., 2022)"},"properties":{"noteIndex":0},"schema":"https://github.com/citation-style-language/schema/raw/master/csl-citation.json"}</w:instrText>
            </w:r>
            <w:r w:rsidRPr="003E6B3B">
              <w:rPr>
                <w:rFonts w:asciiTheme="majorHAnsi" w:hAnsiTheme="majorHAnsi"/>
                <w:sz w:val="22"/>
                <w:szCs w:val="22"/>
                <w:vertAlign w:val="superscript"/>
              </w:rPr>
              <w:fldChar w:fldCharType="separate"/>
            </w:r>
            <w:r w:rsidRPr="003E6B3B">
              <w:rPr>
                <w:rFonts w:asciiTheme="majorHAnsi" w:hAnsiTheme="majorHAnsi"/>
                <w:noProof/>
                <w:sz w:val="22"/>
                <w:szCs w:val="22"/>
              </w:rPr>
              <w:t>Mahrudinda et al., 2022</w:t>
            </w:r>
            <w:r w:rsidRPr="003E6B3B">
              <w:rPr>
                <w:rFonts w:asciiTheme="majorHAnsi" w:hAnsiTheme="majorHAnsi"/>
                <w:sz w:val="22"/>
                <w:szCs w:val="22"/>
                <w:vertAlign w:val="superscript"/>
              </w:rPr>
              <w:fldChar w:fldCharType="end"/>
            </w:r>
          </w:p>
        </w:tc>
        <w:tc>
          <w:tcPr>
            <w:tcW w:w="2551" w:type="dxa"/>
            <w:tcBorders>
              <w:top w:val="single" w:sz="4" w:space="0" w:color="auto"/>
              <w:bottom w:val="single" w:sz="4" w:space="0" w:color="auto"/>
            </w:tcBorders>
            <w:shd w:val="clear" w:color="auto" w:fill="auto"/>
            <w:vAlign w:val="center"/>
          </w:tcPr>
          <w:p w14:paraId="258E6F74" w14:textId="77777777" w:rsidR="00267F70" w:rsidRPr="003E6B3B" w:rsidRDefault="00267F70" w:rsidP="00DC7269">
            <w:pPr>
              <w:jc w:val="center"/>
              <w:rPr>
                <w:rFonts w:asciiTheme="majorHAnsi" w:hAnsiTheme="majorHAnsi"/>
                <w:sz w:val="22"/>
                <w:szCs w:val="22"/>
              </w:rPr>
            </w:pPr>
            <w:r w:rsidRPr="003E6B3B">
              <w:rPr>
                <w:rFonts w:asciiTheme="majorHAnsi" w:hAnsiTheme="majorHAnsi"/>
                <w:sz w:val="22"/>
                <w:szCs w:val="22"/>
              </w:rPr>
              <w:t>Systematic literature review on adjustable robust counterpart for internet shopping optimization problem</w:t>
            </w:r>
          </w:p>
        </w:tc>
        <w:tc>
          <w:tcPr>
            <w:tcW w:w="1157" w:type="dxa"/>
            <w:tcBorders>
              <w:top w:val="single" w:sz="4" w:space="0" w:color="auto"/>
              <w:bottom w:val="single" w:sz="4" w:space="0" w:color="auto"/>
            </w:tcBorders>
            <w:shd w:val="clear" w:color="auto" w:fill="auto"/>
            <w:vAlign w:val="center"/>
          </w:tcPr>
          <w:p w14:paraId="645683F7" w14:textId="51EB73E9" w:rsidR="00267F70" w:rsidRPr="003E6B3B" w:rsidRDefault="00267F70" w:rsidP="00DC7269">
            <w:pPr>
              <w:jc w:val="center"/>
              <w:rPr>
                <w:rFonts w:asciiTheme="majorHAnsi" w:hAnsiTheme="majorHAnsi"/>
                <w:sz w:val="22"/>
                <w:szCs w:val="22"/>
              </w:rPr>
            </w:pPr>
            <w:r w:rsidRPr="003E6B3B">
              <w:rPr>
                <w:rFonts w:asciiTheme="majorHAnsi" w:hAnsiTheme="majorHAnsi"/>
                <w:noProof/>
                <w:sz w:val="22"/>
                <w:szCs w:val="22"/>
              </w:rPr>
              <w:drawing>
                <wp:inline distT="0" distB="0" distL="0" distR="0" wp14:anchorId="6A850387" wp14:editId="2FF12A2B">
                  <wp:extent cx="171450"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226" w:type="dxa"/>
            <w:tcBorders>
              <w:top w:val="single" w:sz="4" w:space="0" w:color="auto"/>
              <w:bottom w:val="single" w:sz="4" w:space="0" w:color="auto"/>
            </w:tcBorders>
            <w:shd w:val="clear" w:color="auto" w:fill="auto"/>
            <w:vAlign w:val="center"/>
          </w:tcPr>
          <w:p w14:paraId="661177DD" w14:textId="0A8FF73C" w:rsidR="00267F70" w:rsidRPr="003E6B3B" w:rsidRDefault="00267F70" w:rsidP="00DC7269">
            <w:pPr>
              <w:jc w:val="center"/>
              <w:rPr>
                <w:rFonts w:asciiTheme="majorHAnsi" w:hAnsiTheme="majorHAnsi"/>
                <w:sz w:val="22"/>
                <w:szCs w:val="22"/>
              </w:rPr>
            </w:pPr>
            <w:r w:rsidRPr="003E6B3B">
              <w:rPr>
                <w:rFonts w:asciiTheme="majorHAnsi" w:hAnsiTheme="majorHAnsi"/>
                <w:noProof/>
                <w:sz w:val="22"/>
                <w:szCs w:val="22"/>
              </w:rPr>
              <w:drawing>
                <wp:inline distT="0" distB="0" distL="0" distR="0" wp14:anchorId="0BE53361" wp14:editId="1BA45650">
                  <wp:extent cx="17145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559" w:type="dxa"/>
            <w:tcBorders>
              <w:top w:val="single" w:sz="4" w:space="0" w:color="auto"/>
              <w:bottom w:val="single" w:sz="4" w:space="0" w:color="auto"/>
            </w:tcBorders>
            <w:shd w:val="clear" w:color="auto" w:fill="auto"/>
            <w:vAlign w:val="center"/>
          </w:tcPr>
          <w:p w14:paraId="47305105" w14:textId="32A64417" w:rsidR="00267F70" w:rsidRPr="003E6B3B" w:rsidRDefault="00267F70" w:rsidP="00DC7269">
            <w:pPr>
              <w:jc w:val="center"/>
              <w:rPr>
                <w:rFonts w:asciiTheme="majorHAnsi" w:hAnsiTheme="majorHAnsi"/>
                <w:sz w:val="22"/>
                <w:szCs w:val="22"/>
              </w:rPr>
            </w:pPr>
            <w:r w:rsidRPr="003E6B3B">
              <w:rPr>
                <w:rFonts w:asciiTheme="majorHAnsi" w:hAnsiTheme="majorHAnsi"/>
                <w:noProof/>
                <w:sz w:val="22"/>
                <w:szCs w:val="22"/>
              </w:rPr>
              <w:drawing>
                <wp:inline distT="0" distB="0" distL="0" distR="0" wp14:anchorId="72F0C1D7" wp14:editId="7330CFF1">
                  <wp:extent cx="171450" cy="17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843" w:type="dxa"/>
            <w:tcBorders>
              <w:top w:val="single" w:sz="4" w:space="0" w:color="auto"/>
              <w:bottom w:val="single" w:sz="4" w:space="0" w:color="auto"/>
            </w:tcBorders>
            <w:shd w:val="clear" w:color="auto" w:fill="auto"/>
            <w:vAlign w:val="center"/>
          </w:tcPr>
          <w:p w14:paraId="23A110B3" w14:textId="77777777" w:rsidR="00267F70" w:rsidRPr="003E6B3B" w:rsidRDefault="00267F70" w:rsidP="00DC7269">
            <w:pPr>
              <w:jc w:val="center"/>
              <w:rPr>
                <w:rFonts w:asciiTheme="majorHAnsi" w:hAnsiTheme="majorHAnsi"/>
                <w:sz w:val="22"/>
                <w:szCs w:val="22"/>
              </w:rPr>
            </w:pPr>
            <w:r w:rsidRPr="003E6B3B">
              <w:rPr>
                <w:rFonts w:asciiTheme="majorHAnsi" w:hAnsiTheme="majorHAnsi"/>
                <w:sz w:val="22"/>
                <w:szCs w:val="22"/>
              </w:rPr>
              <w:t>-</w:t>
            </w:r>
          </w:p>
        </w:tc>
      </w:tr>
      <w:tr w:rsidR="00267F70" w:rsidRPr="003E6B3B" w14:paraId="6095C008" w14:textId="77777777" w:rsidTr="00DC7269">
        <w:trPr>
          <w:jc w:val="center"/>
        </w:trPr>
        <w:tc>
          <w:tcPr>
            <w:tcW w:w="4545" w:type="dxa"/>
            <w:gridSpan w:val="3"/>
            <w:tcBorders>
              <w:top w:val="single" w:sz="4" w:space="0" w:color="auto"/>
              <w:bottom w:val="single" w:sz="4" w:space="0" w:color="auto"/>
            </w:tcBorders>
            <w:shd w:val="clear" w:color="auto" w:fill="auto"/>
            <w:vAlign w:val="center"/>
          </w:tcPr>
          <w:p w14:paraId="29603C21" w14:textId="77777777" w:rsidR="00267F70" w:rsidRPr="003E6B3B" w:rsidRDefault="00267F70" w:rsidP="00DC7269">
            <w:pPr>
              <w:jc w:val="center"/>
              <w:rPr>
                <w:rFonts w:asciiTheme="majorHAnsi" w:hAnsiTheme="majorHAnsi"/>
                <w:sz w:val="22"/>
                <w:szCs w:val="22"/>
              </w:rPr>
            </w:pPr>
            <w:r w:rsidRPr="003E6B3B">
              <w:rPr>
                <w:rFonts w:asciiTheme="majorHAnsi" w:hAnsiTheme="majorHAnsi"/>
                <w:sz w:val="22"/>
                <w:szCs w:val="22"/>
              </w:rPr>
              <w:t>Our paper</w:t>
            </w:r>
          </w:p>
        </w:tc>
        <w:tc>
          <w:tcPr>
            <w:tcW w:w="1157" w:type="dxa"/>
            <w:tcBorders>
              <w:top w:val="single" w:sz="4" w:space="0" w:color="auto"/>
              <w:bottom w:val="single" w:sz="4" w:space="0" w:color="auto"/>
            </w:tcBorders>
            <w:shd w:val="clear" w:color="auto" w:fill="auto"/>
            <w:vAlign w:val="center"/>
          </w:tcPr>
          <w:p w14:paraId="6BEF9820" w14:textId="2BDEC699" w:rsidR="00267F70" w:rsidRPr="003E6B3B" w:rsidRDefault="00267F70" w:rsidP="00DC7269">
            <w:pPr>
              <w:jc w:val="center"/>
              <w:rPr>
                <w:rFonts w:asciiTheme="majorHAnsi" w:hAnsiTheme="majorHAnsi"/>
                <w:sz w:val="22"/>
                <w:szCs w:val="22"/>
              </w:rPr>
            </w:pPr>
            <w:r w:rsidRPr="003E6B3B">
              <w:rPr>
                <w:rFonts w:asciiTheme="majorHAnsi" w:hAnsiTheme="majorHAnsi"/>
                <w:noProof/>
                <w:sz w:val="22"/>
                <w:szCs w:val="22"/>
              </w:rPr>
              <w:drawing>
                <wp:inline distT="0" distB="0" distL="0" distR="0" wp14:anchorId="19493863" wp14:editId="577B2F9F">
                  <wp:extent cx="171450" cy="171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226" w:type="dxa"/>
            <w:tcBorders>
              <w:top w:val="single" w:sz="4" w:space="0" w:color="auto"/>
              <w:bottom w:val="single" w:sz="4" w:space="0" w:color="auto"/>
            </w:tcBorders>
            <w:shd w:val="clear" w:color="auto" w:fill="auto"/>
            <w:vAlign w:val="center"/>
          </w:tcPr>
          <w:p w14:paraId="61ABF12B" w14:textId="3B65F0B2" w:rsidR="00267F70" w:rsidRPr="003E6B3B" w:rsidRDefault="00267F70" w:rsidP="00DC7269">
            <w:pPr>
              <w:jc w:val="center"/>
              <w:rPr>
                <w:rFonts w:asciiTheme="majorHAnsi" w:hAnsiTheme="majorHAnsi"/>
                <w:sz w:val="22"/>
                <w:szCs w:val="22"/>
              </w:rPr>
            </w:pPr>
            <w:r w:rsidRPr="003E6B3B">
              <w:rPr>
                <w:rFonts w:asciiTheme="majorHAnsi" w:hAnsiTheme="majorHAnsi"/>
                <w:noProof/>
                <w:sz w:val="22"/>
                <w:szCs w:val="22"/>
              </w:rPr>
              <w:drawing>
                <wp:inline distT="0" distB="0" distL="0" distR="0" wp14:anchorId="2904FB5E" wp14:editId="34D71C50">
                  <wp:extent cx="180975" cy="180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559" w:type="dxa"/>
            <w:tcBorders>
              <w:top w:val="single" w:sz="4" w:space="0" w:color="auto"/>
              <w:bottom w:val="single" w:sz="4" w:space="0" w:color="auto"/>
            </w:tcBorders>
            <w:shd w:val="clear" w:color="auto" w:fill="auto"/>
            <w:vAlign w:val="center"/>
          </w:tcPr>
          <w:p w14:paraId="1C4FEE0B" w14:textId="40D1A7DA" w:rsidR="00267F70" w:rsidRPr="003E6B3B" w:rsidRDefault="00267F70" w:rsidP="00DC7269">
            <w:pPr>
              <w:jc w:val="center"/>
              <w:rPr>
                <w:rFonts w:asciiTheme="majorHAnsi" w:hAnsiTheme="majorHAnsi"/>
                <w:sz w:val="22"/>
                <w:szCs w:val="22"/>
              </w:rPr>
            </w:pPr>
            <w:r w:rsidRPr="003E6B3B">
              <w:rPr>
                <w:rFonts w:asciiTheme="majorHAnsi" w:hAnsiTheme="majorHAnsi"/>
                <w:noProof/>
                <w:sz w:val="22"/>
                <w:szCs w:val="22"/>
              </w:rPr>
              <w:drawing>
                <wp:inline distT="0" distB="0" distL="0" distR="0" wp14:anchorId="3F2C10FA" wp14:editId="2C833694">
                  <wp:extent cx="171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843" w:type="dxa"/>
            <w:tcBorders>
              <w:top w:val="single" w:sz="4" w:space="0" w:color="auto"/>
              <w:bottom w:val="single" w:sz="4" w:space="0" w:color="auto"/>
            </w:tcBorders>
            <w:shd w:val="clear" w:color="auto" w:fill="auto"/>
            <w:vAlign w:val="center"/>
          </w:tcPr>
          <w:p w14:paraId="416BD34B" w14:textId="3319F695" w:rsidR="00267F70" w:rsidRPr="003E6B3B" w:rsidRDefault="00267F70" w:rsidP="00DC7269">
            <w:pPr>
              <w:jc w:val="center"/>
              <w:rPr>
                <w:rFonts w:asciiTheme="majorHAnsi" w:hAnsiTheme="majorHAnsi"/>
                <w:sz w:val="22"/>
                <w:szCs w:val="22"/>
              </w:rPr>
            </w:pPr>
            <w:r w:rsidRPr="003E6B3B">
              <w:rPr>
                <w:rFonts w:asciiTheme="majorHAnsi" w:hAnsiTheme="majorHAnsi"/>
                <w:noProof/>
                <w:sz w:val="22"/>
                <w:szCs w:val="22"/>
              </w:rPr>
              <w:drawing>
                <wp:inline distT="0" distB="0" distL="0" distR="0" wp14:anchorId="189419C5" wp14:editId="11BA4C9E">
                  <wp:extent cx="171450" cy="17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048951C9" w14:textId="2313359B" w:rsidR="00267F70" w:rsidRPr="003E6B3B" w:rsidRDefault="00267F70" w:rsidP="00E77E85">
      <w:pPr>
        <w:pStyle w:val="IEEEParagraph"/>
        <w:spacing w:line="23" w:lineRule="atLeast"/>
        <w:ind w:firstLine="360"/>
        <w:rPr>
          <w:rStyle w:val="longtext"/>
          <w:rFonts w:asciiTheme="majorHAnsi" w:hAnsiTheme="majorHAnsi"/>
          <w:shd w:val="clear" w:color="auto" w:fill="FFFFFF"/>
        </w:rPr>
      </w:pPr>
    </w:p>
    <w:p w14:paraId="2835D5A9" w14:textId="1DDAAFF2" w:rsidR="00267F70" w:rsidRPr="003E6B3B" w:rsidRDefault="00267F70" w:rsidP="00267F70">
      <w:pPr>
        <w:pStyle w:val="IEEEParagraph"/>
        <w:spacing w:line="23" w:lineRule="atLeast"/>
        <w:ind w:firstLine="360"/>
        <w:rPr>
          <w:rStyle w:val="longtext"/>
          <w:rFonts w:asciiTheme="majorHAnsi" w:hAnsiTheme="majorHAnsi"/>
          <w:shd w:val="clear" w:color="auto" w:fill="FFFFFF"/>
        </w:rPr>
      </w:pPr>
      <w:r w:rsidRPr="003E6B3B">
        <w:rPr>
          <w:rStyle w:val="longtext"/>
          <w:rFonts w:asciiTheme="majorHAnsi" w:hAnsiTheme="majorHAnsi"/>
          <w:shd w:val="clear" w:color="auto" w:fill="FFFFFF"/>
        </w:rPr>
        <w:t xml:space="preserve">Based on Table 1, all </w:t>
      </w:r>
      <w:r w:rsidR="00DC7269" w:rsidRPr="003E6B3B">
        <w:rPr>
          <w:rStyle w:val="longtext"/>
          <w:rFonts w:asciiTheme="majorHAnsi" w:hAnsiTheme="majorHAnsi"/>
          <w:shd w:val="clear" w:color="auto" w:fill="FFFFFF"/>
        </w:rPr>
        <w:t>three</w:t>
      </w:r>
      <w:r w:rsidRPr="003E6B3B">
        <w:rPr>
          <w:rStyle w:val="longtext"/>
          <w:rFonts w:asciiTheme="majorHAnsi" w:hAnsiTheme="majorHAnsi"/>
          <w:shd w:val="clear" w:color="auto" w:fill="FFFFFF"/>
        </w:rPr>
        <w:t xml:space="preserve"> articles have content analysis in the form of checking whether they discuss SLR regarding optimization models that use integer variables, have a multi-objective function, use a Robust Optimization approach to handle the uncertainty, and use the Benders Decomposition Method approach to solve the problem. We get the results that the SLR paper that discusses the multi-objective optimization model is </w:t>
      </w:r>
      <w:r w:rsidR="00DC7269" w:rsidRPr="003E6B3B">
        <w:rPr>
          <w:rFonts w:asciiTheme="majorHAnsi" w:hAnsiTheme="majorHAnsi"/>
          <w:vertAlign w:val="superscript"/>
        </w:rPr>
        <w:fldChar w:fldCharType="begin" w:fldLock="1"/>
      </w:r>
      <w:r w:rsidR="00DC7269" w:rsidRPr="003E6B3B">
        <w:rPr>
          <w:rFonts w:asciiTheme="majorHAnsi" w:hAnsiTheme="majorHAnsi"/>
          <w:vertAlign w:val="superscript"/>
        </w:rPr>
        <w:instrText>ADDIN CSL_CITATION {"citationItems":[{"id":"ITEM-1","itemData":{"abstract":"… Systematic literature review on adjustable robust counterpart for internet shopping optimization problem … 2.2 Adjustable Robust Counterpart Methodology …","author":[{"dropping-particle":"","family":"Mahrudinda","given":"M","non-dropping-particle":"","parse-names":false,"suffix":""},{"dropping-particle":"","family":"Chaerani","given":"D","non-dropping-particle":"","parse-names":false,"suffix":""},{"dropping-particle":"","family":"...","given":"","non-dropping-particle":"","parse-names":false,"suffix":""}],"container-title":"International Journal of …","id":"ITEM-1","issued":{"date-parts":[["2022"]]},"note":"Query date: 2022-02-21 19:26:37","publisher":"m.growingscience.com","title":"Systematic literature review on adjustable robust counterpart for internet shopping optimization problem","type":"article-journal"},"uris":["http://www.mendeley.com/documents/?uuid=b774f033-2979-4425-9cea-e8924dfaa78c"]}],"mendeley":{"formattedCitation":"(Mahrudinda et al., 2022)","manualFormatting":"Mahrudinda et al., 2022","plainTextFormattedCitation":"(Mahrudinda et al., 2022)","previouslyFormattedCitation":"(Mahrudinda et al., 2022)"},"properties":{"noteIndex":0},"schema":"https://github.com/citation-style-language/schema/raw/master/csl-citation.json"}</w:instrText>
      </w:r>
      <w:r w:rsidR="00DC7269" w:rsidRPr="003E6B3B">
        <w:rPr>
          <w:rFonts w:asciiTheme="majorHAnsi" w:hAnsiTheme="majorHAnsi"/>
          <w:vertAlign w:val="superscript"/>
        </w:rPr>
        <w:fldChar w:fldCharType="separate"/>
      </w:r>
      <w:r w:rsidR="00DC7269" w:rsidRPr="003E6B3B">
        <w:rPr>
          <w:rFonts w:asciiTheme="majorHAnsi" w:hAnsiTheme="majorHAnsi"/>
          <w:noProof/>
        </w:rPr>
        <w:t>Mahrudinda et al., 2022</w:t>
      </w:r>
      <w:r w:rsidR="00DC7269" w:rsidRPr="003E6B3B">
        <w:rPr>
          <w:rFonts w:asciiTheme="majorHAnsi" w:hAnsiTheme="majorHAnsi"/>
          <w:vertAlign w:val="superscript"/>
        </w:rPr>
        <w:fldChar w:fldCharType="end"/>
      </w:r>
      <w:r w:rsidRPr="003E6B3B">
        <w:rPr>
          <w:rStyle w:val="longtext"/>
          <w:rFonts w:asciiTheme="majorHAnsi" w:hAnsiTheme="majorHAnsi"/>
          <w:shd w:val="clear" w:color="auto" w:fill="FFFFFF"/>
        </w:rPr>
        <w:t xml:space="preserve"> which discusses the same thing but uses integer variables and ARC Optimization. Next, </w:t>
      </w:r>
      <w:r w:rsidR="00DC7269" w:rsidRPr="003E6B3B">
        <w:rPr>
          <w:rFonts w:asciiTheme="majorHAnsi" w:hAnsiTheme="majorHAnsi"/>
          <w:vertAlign w:val="superscript"/>
        </w:rPr>
        <w:fldChar w:fldCharType="begin" w:fldLock="1"/>
      </w:r>
      <w:r w:rsidR="00DC7269" w:rsidRPr="003E6B3B">
        <w:rPr>
          <w:rFonts w:asciiTheme="majorHAnsi" w:hAnsiTheme="majorHAnsi"/>
          <w:vertAlign w:val="superscript"/>
        </w:rPr>
        <w:instrText>ADDIN CSL_CITATION {"citationItems":[{"id":"ITEM-1","itemData":{"DOI":"10.1016/j.ejor.2018.08.031","ISSN":"03772217","abstract":"Static robust optimization (RO) is a methodology to solve mathematical optimization problems with uncertain data. The objective of static RO is to find solutions that are immune to all perturbations of the data in a so-called uncertainty set. RO is popular because it is a computationally tractable methodology and has a wide range of applications in practice. Adjustable robust optimization (ARO), on the other hand, is a branch of RO where some of the decision variables can be adjusted after some portion of the uncertain data reveals itself. ARO generally yields a better objective function value than that in static robust optimization because it gives rise to more flexible adjustable (or wait-and-see) decisions. Additionally, ARO also has many real life applications and is a computationally tractable methodology for many parameterized adjustable decision variables and uncertainty sets. This paper surveys the state-of-the-art literature on applications and theoretical/methodological aspects of ARO. Moreover, it provides a tutorial and a road map to guide researchers and practitioners on how to apply ARO methods, as well as, the advantages and limitations of the associated methods.","author":[{"dropping-particle":"","family":"Yanıkoğlu","given":"İhsan","non-dropping-particle":"","parse-names":false,"suffix":""},{"dropping-particle":"","family":"Gorissen","given":"Bram L.","non-dropping-particle":"","parse-names":false,"suffix":""},{"dropping-particle":"","family":"Hertog","given":"Dick","non-dropping-particle":"den","parse-names":false,"suffix":""}],"container-title":"European Journal of Operational Research","id":"ITEM-1","issue":"3","issued":{"date-parts":[["2019"]]},"page":"799-813","title":"A survey of adjustable robust optimization","type":"article-journal","volume":"277"},"uris":["http://www.mendeley.com/documents/?uuid=d632d7bc-d437-4102-ba5c-da8aa286fb11"]}],"mendeley":{"formattedCitation":"(İhsan Yanıkoğlu et al., 2019)","manualFormatting":"Yanıkoğlu et al., 2019","plainTextFormattedCitation":"(İhsan Yanıkoğlu et al., 2019)","previouslyFormattedCitation":"(İhsan Yanıkoğlu et al., 2019)"},"properties":{"noteIndex":0},"schema":"https://github.com/citation-style-language/schema/raw/master/csl-citation.json"}</w:instrText>
      </w:r>
      <w:r w:rsidR="00DC7269" w:rsidRPr="003E6B3B">
        <w:rPr>
          <w:rFonts w:asciiTheme="majorHAnsi" w:hAnsiTheme="majorHAnsi"/>
          <w:vertAlign w:val="superscript"/>
        </w:rPr>
        <w:fldChar w:fldCharType="separate"/>
      </w:r>
      <w:r w:rsidR="00DC7269" w:rsidRPr="003E6B3B">
        <w:rPr>
          <w:rFonts w:asciiTheme="majorHAnsi" w:hAnsiTheme="majorHAnsi"/>
          <w:noProof/>
        </w:rPr>
        <w:t>Yanıkoğlu et al., 2019</w:t>
      </w:r>
      <w:r w:rsidR="00DC7269" w:rsidRPr="003E6B3B">
        <w:rPr>
          <w:rFonts w:asciiTheme="majorHAnsi" w:hAnsiTheme="majorHAnsi"/>
          <w:vertAlign w:val="superscript"/>
        </w:rPr>
        <w:fldChar w:fldCharType="end"/>
      </w:r>
      <w:r w:rsidRPr="003E6B3B">
        <w:rPr>
          <w:rStyle w:val="longtext"/>
          <w:rFonts w:asciiTheme="majorHAnsi" w:hAnsiTheme="majorHAnsi"/>
          <w:shd w:val="clear" w:color="auto" w:fill="FFFFFF"/>
        </w:rPr>
        <w:t xml:space="preserve"> is an SLR paper that discusses Robust Optimization, followed by </w:t>
      </w:r>
      <w:r w:rsidR="00DC7269" w:rsidRPr="003E6B3B">
        <w:rPr>
          <w:rFonts w:asciiTheme="majorHAnsi" w:hAnsiTheme="majorHAnsi"/>
          <w:vertAlign w:val="superscript"/>
        </w:rPr>
        <w:fldChar w:fldCharType="begin" w:fldLock="1"/>
      </w:r>
      <w:r w:rsidR="00DC7269" w:rsidRPr="003E6B3B">
        <w:rPr>
          <w:rFonts w:asciiTheme="majorHAnsi" w:hAnsiTheme="majorHAnsi"/>
          <w:vertAlign w:val="superscript"/>
        </w:rPr>
        <w:instrText>ADDIN CSL_CITATION {"citationItems":[{"id":"ITEM-1","itemData":{"DOI":"10.1016/j.ejor.2021.04.035","ISSN":"03772217","abstract":"The radius of robust feasibility provides a numerical value for the largest possible uncertainty set that guarantees feasibility of a robust counterpart of a mathematical program with uncertain constraints. The objective of this review of the state-of-the-art in this field is to present this useful tool of robust optimization to its potential users and to avoid undesirable overlapping of research works on the topic as those we have recently detected. In this paper we overview the existing literature on the radius of robust feasibility in continuous and mixed-integer linearly constrained programs, linearly constrained semi-infinite programs, convexly constrained programs, and conic linearly constrained programs. We also analyze the connection between the radius of robust feasibility and the distance to ill-posedness for different types of uncertain mathematical programs.","author":[{"dropping-particle":"","family":"Goberna","given":"M. A.","non-dropping-particle":"","parse-names":false,"suffix":""},{"dropping-particle":"","family":"Jeyakumar","given":"V.","non-dropping-particle":"","parse-names":false,"suffix":""},{"dropping-particle":"","family":"Li","given":"G.","non-dropping-particle":"","parse-names":false,"suffix":""},{"dropping-particle":"","family":"Vicente-Pérez","given":"J.","non-dropping-particle":"","parse-names":false,"suffix":""}],"container-title":"European Journal of Operational Research","id":"ITEM-1","issue":"3","issued":{"date-parts":[["2022"]]},"page":"749-763","title":"The radius of robust feasibility of uncertain mathematical programs: A Survey and recent developments","type":"article-journal","volume":"296"},"uris":["http://www.mendeley.com/documents/?uuid=7848a6da-bda8-4221-83bf-b6829e7a619c"]}],"mendeley":{"formattedCitation":"(Goberna et al., 2022)","manualFormatting":"Goberna et al., 2022","plainTextFormattedCitation":"(Goberna et al., 2022)","previouslyFormattedCitation":"(Goberna et al., 2022)"},"properties":{"noteIndex":0},"schema":"https://github.com/citation-style-language/schema/raw/master/csl-citation.json"}</w:instrText>
      </w:r>
      <w:r w:rsidR="00DC7269" w:rsidRPr="003E6B3B">
        <w:rPr>
          <w:rFonts w:asciiTheme="majorHAnsi" w:hAnsiTheme="majorHAnsi"/>
          <w:vertAlign w:val="superscript"/>
        </w:rPr>
        <w:fldChar w:fldCharType="separate"/>
      </w:r>
      <w:r w:rsidR="00DC7269" w:rsidRPr="003E6B3B">
        <w:rPr>
          <w:rFonts w:asciiTheme="majorHAnsi" w:hAnsiTheme="majorHAnsi"/>
          <w:noProof/>
        </w:rPr>
        <w:t>Goberna et al., 2022</w:t>
      </w:r>
      <w:r w:rsidR="00DC7269" w:rsidRPr="003E6B3B">
        <w:rPr>
          <w:rFonts w:asciiTheme="majorHAnsi" w:hAnsiTheme="majorHAnsi"/>
          <w:vertAlign w:val="superscript"/>
        </w:rPr>
        <w:fldChar w:fldCharType="end"/>
      </w:r>
      <w:r w:rsidR="00DC7269" w:rsidRPr="003E6B3B">
        <w:rPr>
          <w:rStyle w:val="longtext"/>
          <w:rFonts w:asciiTheme="majorHAnsi" w:hAnsiTheme="majorHAnsi"/>
          <w:shd w:val="clear" w:color="auto" w:fill="FFFFFF"/>
        </w:rPr>
        <w:t xml:space="preserve"> </w:t>
      </w:r>
      <w:r w:rsidRPr="003E6B3B">
        <w:rPr>
          <w:rStyle w:val="longtext"/>
          <w:rFonts w:asciiTheme="majorHAnsi" w:hAnsiTheme="majorHAnsi"/>
          <w:shd w:val="clear" w:color="auto" w:fill="FFFFFF"/>
        </w:rPr>
        <w:t>which discusses the same thing using integer variables. Based on Table 1, it can be concluded that our SLR paper has a solid discussion, namely the SLR paper which discusses all the analysis contents.</w:t>
      </w:r>
    </w:p>
    <w:p w14:paraId="34526DCA" w14:textId="7C475C04" w:rsidR="00267F70" w:rsidRPr="003E6B3B" w:rsidRDefault="00267F70" w:rsidP="00267F70">
      <w:pPr>
        <w:pStyle w:val="IEEEParagraph"/>
        <w:spacing w:line="23" w:lineRule="atLeast"/>
        <w:ind w:firstLine="360"/>
        <w:rPr>
          <w:rStyle w:val="longtext"/>
          <w:rFonts w:asciiTheme="majorHAnsi" w:hAnsiTheme="majorHAnsi"/>
          <w:shd w:val="clear" w:color="auto" w:fill="FFFFFF"/>
        </w:rPr>
      </w:pPr>
      <w:r w:rsidRPr="003E6B3B">
        <w:rPr>
          <w:rStyle w:val="longtext"/>
          <w:rFonts w:asciiTheme="majorHAnsi" w:hAnsiTheme="majorHAnsi"/>
          <w:shd w:val="clear" w:color="auto" w:fill="FFFFFF"/>
        </w:rPr>
        <w:t>To be precise, the PRISMA Method in this article refers mainly to</w:t>
      </w:r>
      <w:r w:rsidR="00DC7269" w:rsidRPr="003E6B3B">
        <w:rPr>
          <w:rStyle w:val="longtext"/>
          <w:rFonts w:asciiTheme="majorHAnsi" w:hAnsiTheme="majorHAnsi"/>
          <w:shd w:val="clear" w:color="auto" w:fill="FFFFFF"/>
        </w:rPr>
        <w:t xml:space="preserve"> </w:t>
      </w:r>
      <w:r w:rsidR="00DC7269" w:rsidRPr="003E6B3B">
        <w:rPr>
          <w:rStyle w:val="longtext"/>
          <w:rFonts w:asciiTheme="majorHAnsi" w:hAnsiTheme="majorHAnsi"/>
          <w:shd w:val="clear" w:color="auto" w:fill="FFFFFF"/>
        </w:rPr>
        <w:fldChar w:fldCharType="begin" w:fldLock="1"/>
      </w:r>
      <w:r w:rsidR="00DC7269" w:rsidRPr="003E6B3B">
        <w:rPr>
          <w:rStyle w:val="longtext"/>
          <w:rFonts w:asciiTheme="majorHAnsi" w:hAnsiTheme="majorHAnsi"/>
          <w:shd w:val="clear" w:color="auto" w:fill="FFFFFF"/>
        </w:rPr>
        <w:instrText>ADDIN CSL_CITATION {"citationItems":[{"id":"ITEM-1","itemData":{"DOI":"10.1016/j.ejor.2017.10.041","ISSN":"03772217","abstract":"Agri-food supply chains (ASC) are an important application domain for Operational Research/Management Science. In particular, the use of agent-based simulation (ABS) has increased in ASC research in recent years. This paper reviews existing ASC research that use ABS. The review begins by analysing the characteristics of the models and modelling reported in the literature. It illustrates that existing modelling research features extensive use of: single echelon supply chains; cases from high and middle income countries; unprocessed food products, empirical (as opposed to hypothetical) data; decision-making related to production planning and investment; and the use of black box validation. The second part of the review uses bibliographic mapping to analyse areas in ASC research which are yet to be addressed using ABS. We find that areas such as collaboration and competition, buyer–seller relationships, and service are under-researched. In addition, key actors in ASC such as food processors, supermarkets and retailers have not been included in the ABS models reported. Furthermore, these models have yet to incorporate important supply chain management theories such as Transaction Cost Economics and Resource-Based View as part of their design.","author":[{"dropping-particle":"","family":"Utomo","given":"Dhanan Sarwo","non-dropping-particle":"","parse-names":false,"suffix":""},{"dropping-particle":"","family":"Onggo","given":"Bhakti Stephan","non-dropping-particle":"","parse-names":false,"suffix":""},{"dropping-particle":"","family":"Eldridge","given":"Stephen","non-dropping-particle":"","parse-names":false,"suffix":""}],"container-title":"European Journal of Operational Research","id":"ITEM-1","issue":"3","issued":{"date-parts":[["2018"]]},"page":"794-805","publisher":"Elsevier B.V.","title":"Applications of agent-based modelling and simulation in the agri-food supply chains","type":"article-journal","volume":"269"},"uris":["http://www.mendeley.com/documents/?uuid=f87c27b3-99d0-4893-8b08-c5853f3fc84e"]}],"mendeley":{"formattedCitation":"(Utomo et al., 2018)","manualFormatting":"Utomo et al., 2018","plainTextFormattedCitation":"(Utomo et al., 2018)","previouslyFormattedCitation":"(Utomo et al., 2018)"},"properties":{"noteIndex":0},"schema":"https://github.com/citation-style-language/schema/raw/master/csl-citation.json"}</w:instrText>
      </w:r>
      <w:r w:rsidR="00DC7269" w:rsidRPr="003E6B3B">
        <w:rPr>
          <w:rStyle w:val="longtext"/>
          <w:rFonts w:asciiTheme="majorHAnsi" w:hAnsiTheme="majorHAnsi"/>
          <w:shd w:val="clear" w:color="auto" w:fill="FFFFFF"/>
        </w:rPr>
        <w:fldChar w:fldCharType="separate"/>
      </w:r>
      <w:r w:rsidR="00DC7269" w:rsidRPr="003E6B3B">
        <w:rPr>
          <w:rStyle w:val="longtext"/>
          <w:rFonts w:asciiTheme="majorHAnsi" w:hAnsiTheme="majorHAnsi"/>
          <w:noProof/>
          <w:shd w:val="clear" w:color="auto" w:fill="FFFFFF"/>
        </w:rPr>
        <w:t>Utomo et al., 2018</w:t>
      </w:r>
      <w:r w:rsidR="00DC7269"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PRISMA Method provides an accurate standard methodology as a protocol for describing article selection criteria, search strategies, data extraction, and data analysis procedures</w:t>
      </w:r>
      <w:r w:rsidR="00DC7269" w:rsidRPr="003E6B3B">
        <w:rPr>
          <w:rStyle w:val="longtext"/>
          <w:rFonts w:asciiTheme="majorHAnsi" w:hAnsiTheme="majorHAnsi"/>
          <w:shd w:val="clear" w:color="auto" w:fill="FFFFFF"/>
        </w:rPr>
        <w:t xml:space="preserve"> </w:t>
      </w:r>
      <w:r w:rsidR="00DC7269" w:rsidRPr="003E6B3B">
        <w:rPr>
          <w:rStyle w:val="longtext"/>
          <w:rFonts w:asciiTheme="majorHAnsi" w:hAnsiTheme="majorHAnsi"/>
          <w:shd w:val="clear" w:color="auto" w:fill="FFFFFF"/>
        </w:rPr>
        <w:fldChar w:fldCharType="begin" w:fldLock="1"/>
      </w:r>
      <w:r w:rsidR="00DC7269" w:rsidRPr="003E6B3B">
        <w:rPr>
          <w:rStyle w:val="longtext"/>
          <w:rFonts w:asciiTheme="majorHAnsi" w:hAnsiTheme="majorHAnsi"/>
          <w:shd w:val="clear" w:color="auto" w:fill="FFFFFF"/>
        </w:rPr>
        <w:instrText>ADDIN CSL_CITATION {"citationItems":[{"id":"ITEM-1","itemData":{"DOI":"10.3390/SU12155900","ISSN":"20711050","abstract":"This paper aims to develop a systematic review on graduate employability and competence development, intending to present an international perspective on the matter. It analyses the role of higher education institutions in promoting the development of competences for employability. The Preferred Reporting Items for Systematic Reviews (PRISMA) statement was used as a formal systematic review guideline for data collection. Data was obtained from research studies over the period 2009-2019. The analysis included a total of 69 papers from Web of Science (WoS) and Scopus databases. Results show that Europe leads the number of publications on these topics during the past decade. One of the main issues associated with competence development and graduate employability found in the review is related to the (mis)match between university graduates' competences and employers' needs. Findings indicate that higher education institutions are concerned with using strategies to enhance the development of competences for graduate employability. Graduate employability and competence development around the world depend on a strong sense of innovation and collaboration practices implemented in higher education.","author":[{"dropping-particle":"","family":"Abelha","given":"Marta","non-dropping-particle":"","parse-names":false,"suffix":""},{"dropping-particle":"","family":"Fernandes","given":"Sandra","non-dropping-particle":"","parse-names":false,"suffix":""},{"dropping-particle":"","family":"Mesquita","given":"Diana","non-dropping-particle":"","parse-names":false,"suffix":""},{"dropping-particle":"","family":"Seabra","given":"Filipa","non-dropping-particle":"","parse-names":false,"suffix":""},{"dropping-particle":"","family":"Ferreira-Oliveira","given":"Ana Teresa","non-dropping-particle":"","parse-names":false,"suffix":""}],"container-title":"Sustainability (Switzerland)","id":"ITEM-1","issue":"15","issued":{"date-parts":[["2020"]]},"title":"Graduate employability and competence development in higher education-A systematic literature review using PRISMA","type":"article-journal","volume":"12"},"uris":["http://www.mendeley.com/documents/?uuid=6176c723-d38e-4696-8b86-7f4af60c966b"]}],"mendeley":{"formattedCitation":"(Abelha et al., 2020)","plainTextFormattedCitation":"(Abelha et al., 2020)","previouslyFormattedCitation":"(Abelha et al., 2020)"},"properties":{"noteIndex":0},"schema":"https://github.com/citation-style-language/schema/raw/master/csl-citation.json"}</w:instrText>
      </w:r>
      <w:r w:rsidR="00DC7269" w:rsidRPr="003E6B3B">
        <w:rPr>
          <w:rStyle w:val="longtext"/>
          <w:rFonts w:asciiTheme="majorHAnsi" w:hAnsiTheme="majorHAnsi"/>
          <w:shd w:val="clear" w:color="auto" w:fill="FFFFFF"/>
        </w:rPr>
        <w:fldChar w:fldCharType="separate"/>
      </w:r>
      <w:r w:rsidR="00DC7269" w:rsidRPr="003E6B3B">
        <w:rPr>
          <w:rStyle w:val="longtext"/>
          <w:rFonts w:asciiTheme="majorHAnsi" w:hAnsiTheme="majorHAnsi"/>
          <w:noProof/>
          <w:shd w:val="clear" w:color="auto" w:fill="FFFFFF"/>
        </w:rPr>
        <w:t>(Abelha et al., 2020)</w:t>
      </w:r>
      <w:r w:rsidR="00DC7269"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Furthermore, the determination of Research Questions (RQs) was obtained based on the research objectives. Thus, in this article, we focus on the ARC multi-objective integer optimization model with Polyhedral Uncertainty Set using the Benders Decomposition Method approach and answer the following RQs:</w:t>
      </w:r>
    </w:p>
    <w:p w14:paraId="594ABD77" w14:textId="77777777" w:rsidR="00267F70" w:rsidRPr="003E6B3B" w:rsidRDefault="00267F70" w:rsidP="00267F70">
      <w:pPr>
        <w:pStyle w:val="IEEEParagraph"/>
        <w:spacing w:line="23" w:lineRule="atLeast"/>
        <w:ind w:firstLine="360"/>
        <w:rPr>
          <w:rStyle w:val="longtext"/>
          <w:rFonts w:asciiTheme="majorHAnsi" w:hAnsiTheme="majorHAnsi"/>
          <w:shd w:val="clear" w:color="auto" w:fill="FFFFFF"/>
        </w:rPr>
      </w:pPr>
      <w:r w:rsidRPr="003E6B3B">
        <w:rPr>
          <w:rStyle w:val="longtext"/>
          <w:rFonts w:asciiTheme="majorHAnsi" w:hAnsiTheme="majorHAnsi"/>
          <w:shd w:val="clear" w:color="auto" w:fill="FFFFFF"/>
        </w:rPr>
        <w:t>1.</w:t>
      </w:r>
      <w:r w:rsidRPr="003E6B3B">
        <w:rPr>
          <w:rStyle w:val="longtext"/>
          <w:rFonts w:asciiTheme="majorHAnsi" w:hAnsiTheme="majorHAnsi"/>
          <w:shd w:val="clear" w:color="auto" w:fill="FFFFFF"/>
        </w:rPr>
        <w:tab/>
        <w:t xml:space="preserve">What methods have been used by previous researchers in dealing with the ARC multi-objective integer optimization model with a Polyhedral Uncertainty Set? </w:t>
      </w:r>
    </w:p>
    <w:p w14:paraId="23536B54" w14:textId="77777777" w:rsidR="00267F70" w:rsidRPr="003E6B3B" w:rsidRDefault="00267F70" w:rsidP="00267F70">
      <w:pPr>
        <w:pStyle w:val="IEEEParagraph"/>
        <w:spacing w:line="23" w:lineRule="atLeast"/>
        <w:ind w:firstLine="360"/>
        <w:rPr>
          <w:rStyle w:val="longtext"/>
          <w:rFonts w:asciiTheme="majorHAnsi" w:hAnsiTheme="majorHAnsi"/>
          <w:shd w:val="clear" w:color="auto" w:fill="FFFFFF"/>
        </w:rPr>
      </w:pPr>
      <w:r w:rsidRPr="003E6B3B">
        <w:rPr>
          <w:rStyle w:val="longtext"/>
          <w:rFonts w:asciiTheme="majorHAnsi" w:hAnsiTheme="majorHAnsi"/>
          <w:shd w:val="clear" w:color="auto" w:fill="FFFFFF"/>
        </w:rPr>
        <w:t>2.</w:t>
      </w:r>
      <w:r w:rsidRPr="003E6B3B">
        <w:rPr>
          <w:rStyle w:val="longtext"/>
          <w:rFonts w:asciiTheme="majorHAnsi" w:hAnsiTheme="majorHAnsi"/>
          <w:shd w:val="clear" w:color="auto" w:fill="FFFFFF"/>
        </w:rPr>
        <w:tab/>
        <w:t>How are the research gaps between the multi-objective integer optimization model, ARC, Polyhedral Uncertainty Sets, and the Benders Decomposition Method?</w:t>
      </w:r>
    </w:p>
    <w:p w14:paraId="32FC4DE1" w14:textId="5E684AE8" w:rsidR="00267F70" w:rsidRPr="003E6B3B" w:rsidRDefault="00267F70" w:rsidP="00267F70">
      <w:pPr>
        <w:pStyle w:val="IEEEParagraph"/>
        <w:spacing w:line="23" w:lineRule="atLeast"/>
        <w:ind w:firstLine="360"/>
        <w:rPr>
          <w:rStyle w:val="longtext"/>
          <w:rFonts w:asciiTheme="majorHAnsi" w:hAnsiTheme="majorHAnsi"/>
          <w:shd w:val="clear" w:color="auto" w:fill="FFFFFF"/>
        </w:rPr>
      </w:pPr>
      <w:r w:rsidRPr="003E6B3B">
        <w:rPr>
          <w:rStyle w:val="longtext"/>
          <w:rFonts w:asciiTheme="majorHAnsi" w:hAnsiTheme="majorHAnsi"/>
          <w:shd w:val="clear" w:color="auto" w:fill="FFFFFF"/>
        </w:rPr>
        <w:t>To conduct this article, we apply PRISMA Method in which there is a determination of bibliometric map analysis using RStudio software with the command “R-</w:t>
      </w:r>
      <w:proofErr w:type="spellStart"/>
      <w:r w:rsidRPr="003E6B3B">
        <w:rPr>
          <w:rStyle w:val="longtext"/>
          <w:rFonts w:asciiTheme="majorHAnsi" w:hAnsiTheme="majorHAnsi"/>
          <w:shd w:val="clear" w:color="auto" w:fill="FFFFFF"/>
        </w:rPr>
        <w:t>bibliometrix</w:t>
      </w:r>
      <w:proofErr w:type="spellEnd"/>
      <w:r w:rsidRPr="003E6B3B">
        <w:rPr>
          <w:rStyle w:val="longtext"/>
          <w:rFonts w:asciiTheme="majorHAnsi" w:hAnsiTheme="majorHAnsi"/>
          <w:shd w:val="clear" w:color="auto" w:fill="FFFFFF"/>
        </w:rPr>
        <w:t xml:space="preserve">”, which will be explained in more detail later. This article is structured as follows: Section 2 presents a brief discussion of a materials and the steps of the method used, namely the PRISMA Method. </w:t>
      </w:r>
      <w:r w:rsidRPr="003E6B3B">
        <w:rPr>
          <w:rStyle w:val="longtext"/>
          <w:rFonts w:asciiTheme="majorHAnsi" w:hAnsiTheme="majorHAnsi"/>
          <w:shd w:val="clear" w:color="auto" w:fill="FFFFFF"/>
        </w:rPr>
        <w:lastRenderedPageBreak/>
        <w:t>Section 3 presents research results and discussion in bibliometric map results, visualization of relationships using RStudio software, thematic evolution, SLR analysis, answers from RQs, state-of-the-art explanations, and determination of research gaps, novelties, and recommendations for research that will be carried out. Finally, Section 4 presents the conclusions from the explanations in the previous sections.</w:t>
      </w:r>
    </w:p>
    <w:p w14:paraId="758C393F" w14:textId="77777777" w:rsidR="00310DCB" w:rsidRPr="003E6B3B" w:rsidRDefault="00310DCB" w:rsidP="00E77E85">
      <w:pPr>
        <w:pStyle w:val="IEEEParagraph"/>
        <w:spacing w:line="23" w:lineRule="atLeast"/>
        <w:ind w:firstLine="0"/>
        <w:rPr>
          <w:rFonts w:asciiTheme="majorHAnsi" w:hAnsiTheme="majorHAnsi"/>
          <w:lang w:val="en-US"/>
        </w:rPr>
      </w:pPr>
    </w:p>
    <w:p w14:paraId="1F7D147C" w14:textId="546A541A" w:rsidR="001218D3" w:rsidRPr="003E6B3B" w:rsidRDefault="00267F70" w:rsidP="00E77E85">
      <w:pPr>
        <w:pStyle w:val="IEEEHeading1"/>
        <w:numPr>
          <w:ilvl w:val="0"/>
          <w:numId w:val="11"/>
        </w:numPr>
        <w:spacing w:before="0" w:after="0" w:line="23" w:lineRule="atLeast"/>
        <w:jc w:val="left"/>
        <w:rPr>
          <w:rFonts w:asciiTheme="majorHAnsi" w:hAnsiTheme="majorHAnsi"/>
          <w:b/>
          <w:sz w:val="24"/>
          <w:lang w:val="id-ID"/>
        </w:rPr>
      </w:pPr>
      <w:r w:rsidRPr="003E6B3B">
        <w:rPr>
          <w:rFonts w:asciiTheme="majorHAnsi" w:hAnsiTheme="majorHAnsi"/>
          <w:b/>
          <w:iCs/>
          <w:sz w:val="24"/>
          <w:lang w:val="en-US"/>
        </w:rPr>
        <w:t xml:space="preserve">MATERIALS AND </w:t>
      </w:r>
      <w:r w:rsidR="009B0A53" w:rsidRPr="003E6B3B">
        <w:rPr>
          <w:rFonts w:asciiTheme="majorHAnsi" w:hAnsiTheme="majorHAnsi"/>
          <w:b/>
          <w:iCs/>
          <w:sz w:val="24"/>
          <w:lang w:val="en-US"/>
        </w:rPr>
        <w:t>METHODS</w:t>
      </w:r>
    </w:p>
    <w:p w14:paraId="1C87906C" w14:textId="289B40C9" w:rsidR="0076604D" w:rsidRPr="003E6B3B" w:rsidRDefault="00267F70" w:rsidP="00E77E85">
      <w:pPr>
        <w:pStyle w:val="IEEEParagraph"/>
        <w:spacing w:line="23" w:lineRule="atLeast"/>
        <w:ind w:firstLine="360"/>
        <w:rPr>
          <w:rStyle w:val="longtext"/>
          <w:rFonts w:asciiTheme="majorHAnsi" w:hAnsiTheme="majorHAnsi"/>
          <w:shd w:val="clear" w:color="auto" w:fill="FFFFFF"/>
        </w:rPr>
      </w:pPr>
      <w:r w:rsidRPr="003E6B3B">
        <w:rPr>
          <w:rStyle w:val="longtext"/>
          <w:rFonts w:asciiTheme="majorHAnsi" w:hAnsiTheme="majorHAnsi"/>
          <w:shd w:val="clear" w:color="auto" w:fill="FFFFFF"/>
        </w:rPr>
        <w:t>In this section, a brief discussion of materials which is the general formulation of integer programming based on</w:t>
      </w:r>
      <w:r w:rsidR="00DC7269" w:rsidRPr="003E6B3B">
        <w:rPr>
          <w:rStyle w:val="longtext"/>
          <w:rFonts w:asciiTheme="majorHAnsi" w:hAnsiTheme="majorHAnsi"/>
          <w:shd w:val="clear" w:color="auto" w:fill="FFFFFF"/>
        </w:rPr>
        <w:t xml:space="preserve"> </w:t>
      </w:r>
      <w:r w:rsidR="00DC7269" w:rsidRPr="003E6B3B">
        <w:rPr>
          <w:rStyle w:val="longtext"/>
          <w:rFonts w:asciiTheme="majorHAnsi" w:hAnsiTheme="majorHAnsi"/>
          <w:shd w:val="clear" w:color="auto" w:fill="FFFFFF"/>
        </w:rPr>
        <w:fldChar w:fldCharType="begin" w:fldLock="1"/>
      </w:r>
      <w:r w:rsidR="00DC7269" w:rsidRPr="003E6B3B">
        <w:rPr>
          <w:rStyle w:val="longtext"/>
          <w:rFonts w:asciiTheme="majorHAnsi" w:hAnsiTheme="majorHAnsi"/>
          <w:shd w:val="clear" w:color="auto" w:fill="FFFFFF"/>
        </w:rPr>
        <w:instrText>ADDIN CSL_CITATION {"citationItems":[{"id":"ITEM-1","itemData":{"DOI":"10.1016/j.dam.2014.01.017","ISSN":"0166218X","abstract":"We solve a linear robust problem with mixed-integer first-stage variables and continuous second stage variables. We consider column wise uncertainty. We first focus on a problem with right hand-side uncertainty which satisfies a \"full recourse property\" and a specific definition of the uncertainty. We propose a solution based on a generation constraint algorithm. Then we give some generalizations of the approach: for left-hand side uncertainty and for uncertainty sets defined by a polytope. Finally we solve the problem when the \"full recourse property\" is not satisfied. © 2014 Elsevier B.V. All rights reserved.","author":[{"dropping-particle":"","family":"Billionnet","given":"Alain","non-dropping-particle":"","parse-names":false,"suffix":""},{"dropping-particle":"","family":"Costa","given":"Marie Christine","non-dropping-particle":"","parse-names":false,"suffix":""},{"dropping-particle":"","family":"Poirion","given":"Pierre Louis","non-dropping-particle":"","parse-names":false,"suffix":""}],"container-title":"Discrete Applied Mathematics","id":"ITEM-1","issued":{"date-parts":[["2014"]]},"page":"21-32","publisher":"Elsevier B.V.","title":"2-stage robust MILP with continuous recourse variables","type":"article-journal","volume":"170"},"uris":["http://www.mendeley.com/documents/?uuid=361ccac8-83fd-40cf-9095-3ee135f9741b"]}],"mendeley":{"formattedCitation":"(Billionnet et al., 2014)","manualFormatting":"Billionnet et al., 2014","plainTextFormattedCitation":"(Billionnet et al., 2014)","previouslyFormattedCitation":"(Billionnet et al., 2014)"},"properties":{"noteIndex":0},"schema":"https://github.com/citation-style-language/schema/raw/master/csl-citation.json"}</w:instrText>
      </w:r>
      <w:r w:rsidR="00DC7269" w:rsidRPr="003E6B3B">
        <w:rPr>
          <w:rStyle w:val="longtext"/>
          <w:rFonts w:asciiTheme="majorHAnsi" w:hAnsiTheme="majorHAnsi"/>
          <w:shd w:val="clear" w:color="auto" w:fill="FFFFFF"/>
        </w:rPr>
        <w:fldChar w:fldCharType="separate"/>
      </w:r>
      <w:r w:rsidR="00DC7269" w:rsidRPr="003E6B3B">
        <w:rPr>
          <w:rStyle w:val="longtext"/>
          <w:rFonts w:asciiTheme="majorHAnsi" w:hAnsiTheme="majorHAnsi"/>
          <w:noProof/>
          <w:shd w:val="clear" w:color="auto" w:fill="FFFFFF"/>
        </w:rPr>
        <w:t>Billionnet et al., 2014</w:t>
      </w:r>
      <w:r w:rsidR="00DC7269"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Adjustable Robust Counterpart Optimization based on</w:t>
      </w:r>
      <w:r w:rsidR="00DC7269" w:rsidRPr="003E6B3B">
        <w:rPr>
          <w:rStyle w:val="longtext"/>
          <w:rFonts w:asciiTheme="majorHAnsi" w:hAnsiTheme="majorHAnsi"/>
          <w:shd w:val="clear" w:color="auto" w:fill="FFFFFF"/>
        </w:rPr>
        <w:t xml:space="preserve"> </w:t>
      </w:r>
      <w:r w:rsidR="00DC7269" w:rsidRPr="003E6B3B">
        <w:rPr>
          <w:rStyle w:val="longtext"/>
          <w:rFonts w:asciiTheme="majorHAnsi" w:hAnsiTheme="majorHAnsi"/>
          <w:shd w:val="clear" w:color="auto" w:fill="FFFFFF"/>
        </w:rPr>
        <w:fldChar w:fldCharType="begin" w:fldLock="1"/>
      </w:r>
      <w:r w:rsidR="00DC7269" w:rsidRPr="003E6B3B">
        <w:rPr>
          <w:rStyle w:val="longtext"/>
          <w:rFonts w:asciiTheme="majorHAnsi" w:hAnsiTheme="majorHAnsi"/>
          <w:shd w:val="clear" w:color="auto" w:fill="FFFFFF"/>
        </w:rPr>
        <w:instrText>ADDIN CSL_CITATION {"citationItems":[{"id":"ITEM-1","itemData":{"ISSN":"0305-0483","author":[{"dropping-particle":"","family":"Gorissen","given":"Bram L","non-dropping-particle":"","parse-names":false,"suffix":""},{"dropping-particle":"","family":"Yanıkoğlu","given":"İhsan","non-dropping-particle":"","parse-names":false,"suffix":""},{"dropping-particle":"","family":"Hertog","given":"Dick","non-dropping-particle":"den","parse-names":false,"suffix":""}],"container-title":"Omega","id":"ITEM-1","issued":{"date-parts":[["2015"]]},"page":"124-137","publisher":"Elsevier","title":"A practical guide to robust optimization","type":"article-journal","volume":"53"},"uris":["http://www.mendeley.com/documents/?uuid=2af3e300-bfc8-4555-947c-bbceea5f6009"]}],"mendeley":{"formattedCitation":"(Gorissen et al., 2015)","manualFormatting":"Gorissen et al., 2015","plainTextFormattedCitation":"(Gorissen et al., 2015)","previouslyFormattedCitation":"(Gorissen et al., 2015)"},"properties":{"noteIndex":0},"schema":"https://github.com/citation-style-language/schema/raw/master/csl-citation.json"}</w:instrText>
      </w:r>
      <w:r w:rsidR="00DC7269" w:rsidRPr="003E6B3B">
        <w:rPr>
          <w:rStyle w:val="longtext"/>
          <w:rFonts w:asciiTheme="majorHAnsi" w:hAnsiTheme="majorHAnsi"/>
          <w:shd w:val="clear" w:color="auto" w:fill="FFFFFF"/>
        </w:rPr>
        <w:fldChar w:fldCharType="separate"/>
      </w:r>
      <w:r w:rsidR="00DC7269" w:rsidRPr="003E6B3B">
        <w:rPr>
          <w:rStyle w:val="longtext"/>
          <w:rFonts w:asciiTheme="majorHAnsi" w:hAnsiTheme="majorHAnsi"/>
          <w:noProof/>
          <w:shd w:val="clear" w:color="auto" w:fill="FFFFFF"/>
        </w:rPr>
        <w:t>Gorissen et al., 2015</w:t>
      </w:r>
      <w:r w:rsidR="00DC7269" w:rsidRPr="003E6B3B">
        <w:rPr>
          <w:rStyle w:val="longtext"/>
          <w:rFonts w:asciiTheme="majorHAnsi" w:hAnsiTheme="majorHAnsi"/>
          <w:shd w:val="clear" w:color="auto" w:fill="FFFFFF"/>
        </w:rPr>
        <w:fldChar w:fldCharType="end"/>
      </w:r>
      <w:r w:rsidRPr="003E6B3B">
        <w:rPr>
          <w:rStyle w:val="longtext"/>
          <w:rFonts w:asciiTheme="majorHAnsi" w:hAnsiTheme="majorHAnsi"/>
          <w:shd w:val="clear" w:color="auto" w:fill="FFFFFF"/>
        </w:rPr>
        <w:t xml:space="preserve">, and Benders Decomposition Method based on </w:t>
      </w:r>
      <w:r w:rsidR="00AF47A1" w:rsidRPr="003E6B3B">
        <w:rPr>
          <w:rStyle w:val="longtext"/>
          <w:rFonts w:asciiTheme="majorHAnsi" w:hAnsiTheme="majorHAnsi"/>
          <w:shd w:val="clear" w:color="auto" w:fill="FFFFFF"/>
        </w:rPr>
        <w:fldChar w:fldCharType="begin" w:fldLock="1"/>
      </w:r>
      <w:r w:rsidR="00AF47A1" w:rsidRPr="003E6B3B">
        <w:rPr>
          <w:rStyle w:val="longtext"/>
          <w:rFonts w:asciiTheme="majorHAnsi" w:hAnsiTheme="majorHAnsi"/>
          <w:shd w:val="clear" w:color="auto" w:fill="FFFFFF"/>
        </w:rPr>
        <w:instrText>ADDIN CSL_CITATION {"citationItems":[{"id":"ITEM-1","itemData":{"DOI":"10.3390/en14206503","ISSN":"19961073","abstract":"The paper presents the Generalized Benders Decomposition (GBD) method, which is now one of the basic approaches to solve big mixed-integer nonlinear optimization problems. It concentrates on the basic formulation with convex objectives and constraints functions. Apart from the classical projection and representation theorems, a unified formulation of the master problem with nonlinear and linear cuts will be given. For the latter case the most effective and, at the same time, easy to implement computational algorithms will be pointed out. © 2021 by the author. Licensee MDPI, Basel, Switzerland.","author":[{"dropping-particle":"","family":"Karbowski","given":"A","non-dropping-particle":"","parse-names":false,"suffix":""}],"container-title":"Energies","id":"ITEM-1","issue":"20","issued":{"date-parts":[["2021"]]},"note":"cited By 0","publisher":"MDPI","title":"Generalized benders decomposition method to solve big mixed-integer nonlinear optimization problems with convex objective and constraints functions","type":"article-journal","volume":"14"},"uris":["http://www.mendeley.com/documents/?uuid=6a66f2c4-1a87-4b4b-9200-24f4b01acdaf"]}],"mendeley":{"formattedCitation":"(Karbowski, 2021)","manualFormatting":"Karbowski, 2021","plainTextFormattedCitation":"(Karbowski, 2021)","previouslyFormattedCitation":"(Karbowski, 2021)"},"properties":{"noteIndex":0},"schema":"https://github.com/citation-style-language/schema/raw/master/csl-citation.json"}</w:instrText>
      </w:r>
      <w:r w:rsidR="00AF47A1" w:rsidRPr="003E6B3B">
        <w:rPr>
          <w:rStyle w:val="longtext"/>
          <w:rFonts w:asciiTheme="majorHAnsi" w:hAnsiTheme="majorHAnsi"/>
          <w:shd w:val="clear" w:color="auto" w:fill="FFFFFF"/>
        </w:rPr>
        <w:fldChar w:fldCharType="separate"/>
      </w:r>
      <w:r w:rsidR="00AF47A1" w:rsidRPr="003E6B3B">
        <w:rPr>
          <w:rStyle w:val="longtext"/>
          <w:rFonts w:asciiTheme="majorHAnsi" w:hAnsiTheme="majorHAnsi"/>
          <w:noProof/>
          <w:shd w:val="clear" w:color="auto" w:fill="FFFFFF"/>
        </w:rPr>
        <w:t>Karbowski, 2021</w:t>
      </w:r>
      <w:r w:rsidR="00AF47A1" w:rsidRPr="003E6B3B">
        <w:rPr>
          <w:rStyle w:val="longtext"/>
          <w:rFonts w:asciiTheme="majorHAnsi" w:hAnsiTheme="majorHAnsi"/>
          <w:shd w:val="clear" w:color="auto" w:fill="FFFFFF"/>
        </w:rPr>
        <w:fldChar w:fldCharType="end"/>
      </w:r>
      <w:r w:rsidR="00DC7269" w:rsidRPr="003E6B3B">
        <w:rPr>
          <w:rStyle w:val="longtext"/>
          <w:rFonts w:asciiTheme="majorHAnsi" w:hAnsiTheme="majorHAnsi"/>
          <w:shd w:val="clear" w:color="auto" w:fill="FFFFFF"/>
        </w:rPr>
        <w:t xml:space="preserve"> </w:t>
      </w:r>
      <w:r w:rsidRPr="003E6B3B">
        <w:rPr>
          <w:rStyle w:val="longtext"/>
          <w:rFonts w:asciiTheme="majorHAnsi" w:hAnsiTheme="majorHAnsi"/>
          <w:shd w:val="clear" w:color="auto" w:fill="FFFFFF"/>
        </w:rPr>
        <w:t>are presented</w:t>
      </w:r>
      <w:r w:rsidR="009B0A53" w:rsidRPr="003E6B3B">
        <w:rPr>
          <w:rStyle w:val="longtext"/>
          <w:rFonts w:asciiTheme="majorHAnsi" w:hAnsiTheme="majorHAnsi"/>
          <w:shd w:val="clear" w:color="auto" w:fill="FFFFFF"/>
        </w:rPr>
        <w:t>.</w:t>
      </w:r>
    </w:p>
    <w:p w14:paraId="00162B4C" w14:textId="2CF88B34" w:rsidR="00267F70" w:rsidRPr="003E6B3B" w:rsidRDefault="00267F70" w:rsidP="00267F70">
      <w:pPr>
        <w:pStyle w:val="IEEEParagraph"/>
        <w:numPr>
          <w:ilvl w:val="0"/>
          <w:numId w:val="15"/>
        </w:numPr>
        <w:spacing w:line="23" w:lineRule="atLeast"/>
        <w:ind w:left="284" w:hanging="284"/>
        <w:rPr>
          <w:rStyle w:val="longtext"/>
          <w:rFonts w:asciiTheme="majorHAnsi" w:hAnsiTheme="majorHAnsi"/>
          <w:b/>
          <w:bCs/>
          <w:shd w:val="clear" w:color="auto" w:fill="FFFFFF"/>
        </w:rPr>
      </w:pPr>
      <w:r w:rsidRPr="003E6B3B">
        <w:rPr>
          <w:rStyle w:val="longtext"/>
          <w:rFonts w:asciiTheme="majorHAnsi" w:hAnsiTheme="majorHAnsi"/>
          <w:b/>
          <w:bCs/>
          <w:shd w:val="clear" w:color="auto" w:fill="FFFFFF"/>
        </w:rPr>
        <w:t>Materials</w:t>
      </w:r>
    </w:p>
    <w:p w14:paraId="3C06347F" w14:textId="5518BA5C" w:rsidR="005D033B" w:rsidRPr="003E6B3B" w:rsidRDefault="005D033B" w:rsidP="00DC7269">
      <w:pPr>
        <w:pStyle w:val="IEEEParagraph"/>
        <w:numPr>
          <w:ilvl w:val="0"/>
          <w:numId w:val="16"/>
        </w:numPr>
        <w:spacing w:line="23" w:lineRule="atLeast"/>
        <w:ind w:left="709" w:hanging="283"/>
        <w:rPr>
          <w:rStyle w:val="longtext"/>
          <w:rFonts w:asciiTheme="majorHAnsi" w:hAnsiTheme="majorHAnsi"/>
          <w:shd w:val="clear" w:color="auto" w:fill="FFFFFF"/>
        </w:rPr>
      </w:pPr>
      <w:r w:rsidRPr="003E6B3B">
        <w:rPr>
          <w:rStyle w:val="longtext"/>
          <w:rFonts w:asciiTheme="majorHAnsi" w:hAnsiTheme="majorHAnsi"/>
          <w:shd w:val="clear" w:color="auto" w:fill="FFFFFF"/>
        </w:rPr>
        <w:t>General Formulation of Integer Optimization Model</w:t>
      </w:r>
    </w:p>
    <w:p w14:paraId="19F56270" w14:textId="71277961" w:rsidR="005D033B" w:rsidRPr="003E6B3B" w:rsidRDefault="005D033B" w:rsidP="005D033B">
      <w:pPr>
        <w:spacing w:line="23" w:lineRule="atLeast"/>
        <w:ind w:left="567" w:firstLine="142"/>
        <w:jc w:val="both"/>
        <w:rPr>
          <w:rFonts w:asciiTheme="majorHAnsi" w:hAnsiTheme="majorHAnsi"/>
        </w:rPr>
      </w:pPr>
      <w:r w:rsidRPr="003E6B3B">
        <w:rPr>
          <w:rFonts w:asciiTheme="majorHAnsi" w:hAnsiTheme="majorHAnsi"/>
        </w:rPr>
        <w:t xml:space="preserve">Classes of problems in optimization </w:t>
      </w:r>
      <w:proofErr w:type="spellStart"/>
      <w:r w:rsidRPr="003E6B3B">
        <w:rPr>
          <w:rFonts w:asciiTheme="majorHAnsi" w:hAnsiTheme="majorHAnsi"/>
        </w:rPr>
        <w:t>modeling</w:t>
      </w:r>
      <w:proofErr w:type="spellEnd"/>
      <w:r w:rsidRPr="003E6B3B">
        <w:rPr>
          <w:rFonts w:asciiTheme="majorHAnsi" w:hAnsiTheme="majorHAnsi"/>
        </w:rPr>
        <w:t xml:space="preserve"> can be characterized based on the type of variable and the type of function, including Linear Programming, Nonlinear Programming, Quadratic Programming, Linear Programming with integer variables, Nonlinear Programming with integer variables, Linear Programming with mixed integer variables, and so on. This research uses the initial general model formulation which is Integer Linear Programming (ILP). ILP is Linear Programming where all or part of the variables are limited in the form of integers/discrete. The case of ILP with a limited number of variables in the form of integers is called Mixed Integer Linear Programming (MILP). </w:t>
      </w:r>
    </w:p>
    <w:p w14:paraId="37A712BB" w14:textId="182BE19D" w:rsidR="005D033B" w:rsidRPr="003E6B3B" w:rsidRDefault="005D033B" w:rsidP="005D033B">
      <w:pPr>
        <w:spacing w:line="23" w:lineRule="atLeast"/>
        <w:ind w:left="567" w:firstLine="142"/>
        <w:jc w:val="both"/>
        <w:rPr>
          <w:rFonts w:asciiTheme="majorHAnsi" w:hAnsiTheme="majorHAnsi"/>
          <w:noProof/>
        </w:rPr>
      </w:pPr>
      <w:r w:rsidRPr="003E6B3B">
        <w:rPr>
          <w:rFonts w:asciiTheme="majorHAnsi" w:hAnsiTheme="majorHAnsi"/>
        </w:rPr>
        <w:t xml:space="preserve">The article that is the main reference for this subsection is </w:t>
      </w:r>
      <w:r w:rsidR="00DC7269" w:rsidRPr="003E6B3B">
        <w:rPr>
          <w:rStyle w:val="longtext"/>
          <w:rFonts w:asciiTheme="majorHAnsi" w:hAnsiTheme="majorHAnsi"/>
          <w:shd w:val="clear" w:color="auto" w:fill="FFFFFF"/>
        </w:rPr>
        <w:fldChar w:fldCharType="begin" w:fldLock="1"/>
      </w:r>
      <w:r w:rsidR="00DC7269" w:rsidRPr="003E6B3B">
        <w:rPr>
          <w:rStyle w:val="longtext"/>
          <w:rFonts w:asciiTheme="majorHAnsi" w:hAnsiTheme="majorHAnsi"/>
          <w:shd w:val="clear" w:color="auto" w:fill="FFFFFF"/>
        </w:rPr>
        <w:instrText>ADDIN CSL_CITATION {"citationItems":[{"id":"ITEM-1","itemData":{"DOI":"10.1016/j.dam.2014.01.017","ISSN":"0166218X","abstract":"We solve a linear robust problem with mixed-integer first-stage variables and continuous second stage variables. We consider column wise uncertainty. We first focus on a problem with right hand-side uncertainty which satisfies a \"full recourse property\" and a specific definition of the uncertainty. We propose a solution based on a generation constraint algorithm. Then we give some generalizations of the approach: for left-hand side uncertainty and for uncertainty sets defined by a polytope. Finally we solve the problem when the \"full recourse property\" is not satisfied. © 2014 Elsevier B.V. All rights reserved.","author":[{"dropping-particle":"","family":"Billionnet","given":"Alain","non-dropping-particle":"","parse-names":false,"suffix":""},{"dropping-particle":"","family":"Costa","given":"Marie Christine","non-dropping-particle":"","parse-names":false,"suffix":""},{"dropping-particle":"","family":"Poirion","given":"Pierre Louis","non-dropping-particle":"","parse-names":false,"suffix":""}],"container-title":"Discrete Applied Mathematics","id":"ITEM-1","issued":{"date-parts":[["2014"]]},"page":"21-32","publisher":"Elsevier B.V.","title":"2-stage robust MILP with continuous recourse variables","type":"article-journal","volume":"170"},"uris":["http://www.mendeley.com/documents/?uuid=361ccac8-83fd-40cf-9095-3ee135f9741b"]}],"mendeley":{"formattedCitation":"(Billionnet et al., 2014)","manualFormatting":"Billionnet et al., 2014","plainTextFormattedCitation":"(Billionnet et al., 2014)","previouslyFormattedCitation":"(Billionnet et al., 2014)"},"properties":{"noteIndex":0},"schema":"https://github.com/citation-style-language/schema/raw/master/csl-citation.json"}</w:instrText>
      </w:r>
      <w:r w:rsidR="00DC7269" w:rsidRPr="003E6B3B">
        <w:rPr>
          <w:rStyle w:val="longtext"/>
          <w:rFonts w:asciiTheme="majorHAnsi" w:hAnsiTheme="majorHAnsi"/>
          <w:shd w:val="clear" w:color="auto" w:fill="FFFFFF"/>
        </w:rPr>
        <w:fldChar w:fldCharType="separate"/>
      </w:r>
      <w:r w:rsidR="00DC7269" w:rsidRPr="003E6B3B">
        <w:rPr>
          <w:rStyle w:val="longtext"/>
          <w:rFonts w:asciiTheme="majorHAnsi" w:hAnsiTheme="majorHAnsi"/>
          <w:noProof/>
          <w:shd w:val="clear" w:color="auto" w:fill="FFFFFF"/>
        </w:rPr>
        <w:t>Billionnet et al., 2014</w:t>
      </w:r>
      <w:r w:rsidR="00DC7269" w:rsidRPr="003E6B3B">
        <w:rPr>
          <w:rStyle w:val="longtext"/>
          <w:rFonts w:asciiTheme="majorHAnsi" w:hAnsiTheme="majorHAnsi"/>
          <w:shd w:val="clear" w:color="auto" w:fill="FFFFFF"/>
        </w:rPr>
        <w:fldChar w:fldCharType="end"/>
      </w:r>
      <w:r w:rsidRPr="003E6B3B">
        <w:rPr>
          <w:rFonts w:asciiTheme="majorHAnsi" w:hAnsiTheme="majorHAnsi"/>
        </w:rPr>
        <w:t xml:space="preserve">. The article describes the MILP deterministic problem where the variables in the model are partitioned into two sets with each stage of completion. First, the integer variables, called decision variables, that focus on the objectives to be obtained in the first stage, before knowing realization of the other variables. Second, the continuous variable, called the resource, focuses on the objectives to be obtained in the second stage. The MILP deterministic problem model can be written as follows:                        </w:t>
      </w:r>
      <w:r w:rsidRPr="003E6B3B">
        <w:rPr>
          <w:rFonts w:asciiTheme="majorHAnsi" w:hAnsiTheme="majorHAnsi"/>
        </w:rPr>
        <w:tab/>
      </w:r>
      <w:r w:rsidRPr="003E6B3B">
        <w:rPr>
          <w:rFonts w:asciiTheme="majorHAnsi" w:hAnsiTheme="majorHAnsi"/>
        </w:rPr>
        <w:tab/>
      </w:r>
      <w:r w:rsidRPr="003E6B3B">
        <w:rPr>
          <w:rFonts w:asciiTheme="majorHAnsi" w:hAnsiTheme="majorHAnsi"/>
        </w:rPr>
        <w:tab/>
      </w:r>
      <w:r w:rsidRPr="003E6B3B">
        <w:rPr>
          <w:rFonts w:asciiTheme="majorHAnsi" w:hAnsiTheme="majorHAnsi"/>
        </w:rPr>
        <w:tab/>
      </w:r>
      <w:r w:rsidRPr="003E6B3B">
        <w:rPr>
          <w:rFonts w:asciiTheme="majorHAnsi" w:hAnsiTheme="majorHAnsi"/>
        </w:rPr>
        <w:tab/>
      </w:r>
      <w:r w:rsidRPr="003E6B3B">
        <w:rPr>
          <w:rFonts w:asciiTheme="majorHAnsi" w:hAnsiTheme="majorHAnsi"/>
        </w:rPr>
        <w:tab/>
      </w:r>
      <w:r w:rsidRPr="003E6B3B">
        <w:rPr>
          <w:rFonts w:asciiTheme="majorHAnsi" w:hAnsiTheme="majorHAnsi"/>
        </w:rPr>
        <w:tab/>
        <w:t xml:space="preserve">    </w:t>
      </w:r>
      <w:r w:rsidRPr="003E6B3B">
        <w:rPr>
          <w:rFonts w:asciiTheme="majorHAnsi" w:hAnsiTheme="majorHAnsi"/>
        </w:rPr>
        <w:tab/>
      </w:r>
      <w:r w:rsidRPr="003E6B3B">
        <w:rPr>
          <w:rFonts w:asciiTheme="majorHAnsi" w:hAnsiTheme="majorHAnsi"/>
          <w:noProof/>
          <w:position w:val="-72"/>
        </w:rPr>
        <w:object w:dxaOrig="4900" w:dyaOrig="1560" w14:anchorId="42FEFE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78.75pt" o:ole="">
            <v:imagedata r:id="rId21" o:title=""/>
          </v:shape>
          <o:OLEObject Type="Embed" ProgID="Equation.DSMT4" ShapeID="_x0000_i1025" DrawAspect="Content" ObjectID="_1712658596" r:id="rId22"/>
        </w:object>
      </w:r>
      <w:r w:rsidR="003E6B3B" w:rsidRPr="003E6B3B">
        <w:rPr>
          <w:rFonts w:asciiTheme="majorHAnsi" w:hAnsiTheme="majorHAnsi"/>
          <w:noProof/>
        </w:rPr>
        <w:t xml:space="preserve">    </w:t>
      </w:r>
      <w:r w:rsidRPr="003E6B3B">
        <w:rPr>
          <w:rFonts w:asciiTheme="majorHAnsi" w:hAnsiTheme="majorHAnsi"/>
        </w:rPr>
        <w:fldChar w:fldCharType="begin"/>
      </w:r>
      <w:r w:rsidRPr="003E6B3B">
        <w:rPr>
          <w:rFonts w:asciiTheme="majorHAnsi" w:hAnsiTheme="majorHAnsi"/>
        </w:rPr>
        <w:instrText xml:space="preserve"> MACROBUTTON MTPlaceRef \* MERGEFORMAT </w:instrText>
      </w:r>
      <w:r w:rsidRPr="003E6B3B">
        <w:rPr>
          <w:rFonts w:asciiTheme="majorHAnsi" w:hAnsiTheme="majorHAnsi"/>
        </w:rPr>
        <w:fldChar w:fldCharType="begin"/>
      </w:r>
      <w:r w:rsidRPr="003E6B3B">
        <w:rPr>
          <w:rFonts w:asciiTheme="majorHAnsi" w:hAnsiTheme="majorHAnsi"/>
        </w:rPr>
        <w:instrText xml:space="preserve"> SEQ MTEqn \h \* MERGEFORMAT </w:instrText>
      </w:r>
      <w:r w:rsidRPr="003E6B3B">
        <w:rPr>
          <w:rFonts w:asciiTheme="majorHAnsi" w:hAnsiTheme="majorHAnsi"/>
        </w:rPr>
        <w:fldChar w:fldCharType="end"/>
      </w:r>
      <w:r w:rsidRPr="003E6B3B">
        <w:rPr>
          <w:rFonts w:asciiTheme="majorHAnsi" w:hAnsiTheme="majorHAnsi"/>
        </w:rPr>
        <w:instrText>(</w:instrText>
      </w:r>
      <w:r w:rsidRPr="003E6B3B">
        <w:rPr>
          <w:rFonts w:asciiTheme="majorHAnsi" w:hAnsiTheme="majorHAnsi"/>
        </w:rPr>
        <w:fldChar w:fldCharType="begin"/>
      </w:r>
      <w:r w:rsidRPr="003E6B3B">
        <w:rPr>
          <w:rFonts w:asciiTheme="majorHAnsi" w:hAnsiTheme="majorHAnsi"/>
        </w:rPr>
        <w:instrText xml:space="preserve"> SEQ MTEqn \c \* Arabic \* MERGEFORMAT </w:instrText>
      </w:r>
      <w:r w:rsidRPr="003E6B3B">
        <w:rPr>
          <w:rFonts w:asciiTheme="majorHAnsi" w:hAnsiTheme="majorHAnsi"/>
        </w:rPr>
        <w:fldChar w:fldCharType="separate"/>
      </w:r>
      <w:r w:rsidRPr="003E6B3B">
        <w:rPr>
          <w:rFonts w:asciiTheme="majorHAnsi" w:hAnsiTheme="majorHAnsi"/>
          <w:noProof/>
        </w:rPr>
        <w:instrText>1</w:instrText>
      </w:r>
      <w:r w:rsidRPr="003E6B3B">
        <w:rPr>
          <w:rFonts w:asciiTheme="majorHAnsi" w:hAnsiTheme="majorHAnsi"/>
        </w:rPr>
        <w:fldChar w:fldCharType="end"/>
      </w:r>
      <w:r w:rsidRPr="003E6B3B">
        <w:rPr>
          <w:rFonts w:asciiTheme="majorHAnsi" w:hAnsiTheme="majorHAnsi"/>
        </w:rPr>
        <w:instrText>)</w:instrText>
      </w:r>
      <w:r w:rsidRPr="003E6B3B">
        <w:rPr>
          <w:rFonts w:asciiTheme="majorHAnsi" w:hAnsiTheme="majorHAnsi"/>
        </w:rPr>
        <w:fldChar w:fldCharType="end"/>
      </w:r>
    </w:p>
    <w:p w14:paraId="413240B1" w14:textId="43F2D2E9" w:rsidR="005D033B" w:rsidRPr="003E6B3B" w:rsidRDefault="005D033B" w:rsidP="005D033B">
      <w:pPr>
        <w:spacing w:line="23" w:lineRule="atLeast"/>
        <w:ind w:left="567"/>
        <w:jc w:val="both"/>
        <w:rPr>
          <w:rFonts w:asciiTheme="majorHAnsi" w:hAnsiTheme="majorHAnsi"/>
        </w:rPr>
      </w:pPr>
      <w:r w:rsidRPr="003E6B3B">
        <w:rPr>
          <w:rFonts w:asciiTheme="majorHAnsi" w:eastAsia="Times New Roman" w:hAnsiTheme="majorHAnsi"/>
        </w:rPr>
        <w:t xml:space="preserve">with </w:t>
      </w:r>
      <w:r w:rsidRPr="003E6B3B">
        <w:rPr>
          <w:rFonts w:asciiTheme="majorHAnsi" w:hAnsiTheme="majorHAnsi"/>
          <w:noProof/>
          <w:position w:val="-12"/>
        </w:rPr>
        <w:object w:dxaOrig="5840" w:dyaOrig="380" w14:anchorId="4B6BBC14">
          <v:shape id="_x0000_i1026" type="#_x0000_t75" style="width:294.75pt;height:18.75pt" o:ole="">
            <v:imagedata r:id="rId23" o:title=""/>
          </v:shape>
          <o:OLEObject Type="Embed" ProgID="Equation.DSMT4" ShapeID="_x0000_i1026" DrawAspect="Content" ObjectID="_1712658597" r:id="rId24"/>
        </w:object>
      </w:r>
      <w:r w:rsidRPr="003E6B3B">
        <w:rPr>
          <w:rFonts w:asciiTheme="majorHAnsi" w:hAnsiTheme="majorHAnsi"/>
        </w:rPr>
        <w:t xml:space="preserve">, and </w:t>
      </w:r>
      <w:r w:rsidRPr="003E6B3B">
        <w:rPr>
          <w:rFonts w:asciiTheme="majorHAnsi" w:hAnsiTheme="majorHAnsi"/>
          <w:noProof/>
          <w:position w:val="-10"/>
        </w:rPr>
        <w:object w:dxaOrig="260" w:dyaOrig="320" w14:anchorId="7F1B3044">
          <v:shape id="_x0000_i1027" type="#_x0000_t75" style="width:14.25pt;height:15.75pt" o:ole="">
            <v:imagedata r:id="rId25" o:title=""/>
          </v:shape>
          <o:OLEObject Type="Embed" ProgID="Equation.DSMT4" ShapeID="_x0000_i1027" DrawAspect="Content" ObjectID="_1712658598" r:id="rId26"/>
        </w:object>
      </w:r>
      <w:r w:rsidRPr="003E6B3B">
        <w:rPr>
          <w:rFonts w:asciiTheme="majorHAnsi" w:hAnsiTheme="majorHAnsi"/>
          <w:noProof/>
        </w:rPr>
        <w:t xml:space="preserve"> </w:t>
      </w:r>
      <w:r w:rsidRPr="003E6B3B">
        <w:rPr>
          <w:rFonts w:asciiTheme="majorHAnsi" w:hAnsiTheme="majorHAnsi"/>
        </w:rPr>
        <w:t xml:space="preserve">is a set of rational numbers. Furthermore, the article assumes that there are pairs of variables </w:t>
      </w:r>
      <w:r w:rsidRPr="003E6B3B">
        <w:rPr>
          <w:rFonts w:asciiTheme="majorHAnsi" w:hAnsiTheme="majorHAnsi"/>
          <w:noProof/>
          <w:position w:val="-10"/>
        </w:rPr>
        <w:object w:dxaOrig="580" w:dyaOrig="320" w14:anchorId="51179B36">
          <v:shape id="_x0000_i1028" type="#_x0000_t75" style="width:30pt;height:15.75pt" o:ole="">
            <v:imagedata r:id="rId27" o:title=""/>
          </v:shape>
          <o:OLEObject Type="Embed" ProgID="Equation.DSMT4" ShapeID="_x0000_i1028" DrawAspect="Content" ObjectID="_1712658599" r:id="rId28"/>
        </w:object>
      </w:r>
      <w:r w:rsidRPr="003E6B3B">
        <w:rPr>
          <w:rFonts w:asciiTheme="majorHAnsi" w:hAnsiTheme="majorHAnsi"/>
        </w:rPr>
        <w:t xml:space="preserve"> that satisfy the constraint function in (1), so it can be said that the problem has a feasible solution.</w:t>
      </w:r>
      <w:r w:rsidR="003E6B3B" w:rsidRPr="003E6B3B">
        <w:rPr>
          <w:rFonts w:asciiTheme="majorHAnsi" w:hAnsiTheme="majorHAnsi"/>
        </w:rPr>
        <w:t xml:space="preserve"> </w:t>
      </w:r>
    </w:p>
    <w:p w14:paraId="0145E321" w14:textId="7471C31E" w:rsidR="005D033B" w:rsidRPr="003E6B3B" w:rsidRDefault="005D033B" w:rsidP="005D033B">
      <w:pPr>
        <w:spacing w:line="23" w:lineRule="atLeast"/>
        <w:ind w:left="567" w:firstLine="142"/>
        <w:jc w:val="both"/>
        <w:rPr>
          <w:rFonts w:asciiTheme="majorHAnsi" w:eastAsia="Times New Roman" w:hAnsiTheme="majorHAnsi"/>
        </w:rPr>
      </w:pPr>
      <w:r w:rsidRPr="003E6B3B">
        <w:rPr>
          <w:rFonts w:asciiTheme="majorHAnsi" w:eastAsia="Times New Roman" w:hAnsiTheme="majorHAnsi"/>
        </w:rPr>
        <w:t xml:space="preserve">The existence of the assumption of uncertainty in the decision variables </w:t>
      </w:r>
      <w:r w:rsidRPr="003E6B3B">
        <w:rPr>
          <w:rFonts w:asciiTheme="majorHAnsi" w:hAnsiTheme="majorHAnsi"/>
          <w:noProof/>
          <w:position w:val="-4"/>
        </w:rPr>
        <w:object w:dxaOrig="200" w:dyaOrig="200" w14:anchorId="11AA3FDC">
          <v:shape id="_x0000_i1029" type="#_x0000_t75" style="width:8.25pt;height:8.25pt" o:ole="">
            <v:imagedata r:id="rId29" o:title=""/>
          </v:shape>
          <o:OLEObject Type="Embed" ProgID="Equation.DSMT4" ShapeID="_x0000_i1029" DrawAspect="Content" ObjectID="_1712658600" r:id="rId30"/>
        </w:object>
      </w:r>
      <w:r w:rsidRPr="003E6B3B">
        <w:rPr>
          <w:rFonts w:asciiTheme="majorHAnsi" w:eastAsia="Times New Roman" w:hAnsiTheme="majorHAnsi"/>
        </w:rPr>
        <w:t xml:space="preserve"> and </w:t>
      </w:r>
      <w:r w:rsidRPr="003E6B3B">
        <w:rPr>
          <w:rFonts w:asciiTheme="majorHAnsi" w:hAnsiTheme="majorHAnsi"/>
          <w:noProof/>
          <w:position w:val="-10"/>
        </w:rPr>
        <w:object w:dxaOrig="200" w:dyaOrig="260" w14:anchorId="4B609B36">
          <v:shape id="_x0000_i1030" type="#_x0000_t75" style="width:8.25pt;height:14.25pt" o:ole="">
            <v:imagedata r:id="rId31" o:title=""/>
          </v:shape>
          <o:OLEObject Type="Embed" ProgID="Equation.DSMT4" ShapeID="_x0000_i1030" DrawAspect="Content" ObjectID="_1712658601" r:id="rId32"/>
        </w:object>
      </w:r>
      <w:r w:rsidRPr="003E6B3B">
        <w:rPr>
          <w:rFonts w:asciiTheme="majorHAnsi" w:eastAsia="Times New Roman" w:hAnsiTheme="majorHAnsi"/>
        </w:rPr>
        <w:t xml:space="preserve"> in the model introduced by </w:t>
      </w:r>
      <w:r w:rsidR="00DC7269" w:rsidRPr="003E6B3B">
        <w:rPr>
          <w:rStyle w:val="longtext"/>
          <w:rFonts w:asciiTheme="majorHAnsi" w:hAnsiTheme="majorHAnsi"/>
          <w:shd w:val="clear" w:color="auto" w:fill="FFFFFF"/>
        </w:rPr>
        <w:fldChar w:fldCharType="begin" w:fldLock="1"/>
      </w:r>
      <w:r w:rsidR="00DC7269" w:rsidRPr="003E6B3B">
        <w:rPr>
          <w:rStyle w:val="longtext"/>
          <w:rFonts w:asciiTheme="majorHAnsi" w:hAnsiTheme="majorHAnsi"/>
          <w:shd w:val="clear" w:color="auto" w:fill="FFFFFF"/>
        </w:rPr>
        <w:instrText>ADDIN CSL_CITATION {"citationItems":[{"id":"ITEM-1","itemData":{"DOI":"10.1016/j.dam.2014.01.017","ISSN":"0166218X","abstract":"We solve a linear robust problem with mixed-integer first-stage variables and continuous second stage variables. We consider column wise uncertainty. We first focus on a problem with right hand-side uncertainty which satisfies a \"full recourse property\" and a specific definition of the uncertainty. We propose a solution based on a generation constraint algorithm. Then we give some generalizations of the approach: for left-hand side uncertainty and for uncertainty sets defined by a polytope. Finally we solve the problem when the \"full recourse property\" is not satisfied. © 2014 Elsevier B.V. All rights reserved.","author":[{"dropping-particle":"","family":"Billionnet","given":"Alain","non-dropping-particle":"","parse-names":false,"suffix":""},{"dropping-particle":"","family":"Costa","given":"Marie Christine","non-dropping-particle":"","parse-names":false,"suffix":""},{"dropping-particle":"","family":"Poirion","given":"Pierre Louis","non-dropping-particle":"","parse-names":false,"suffix":""}],"container-title":"Discrete Applied Mathematics","id":"ITEM-1","issued":{"date-parts":[["2014"]]},"page":"21-32","publisher":"Elsevier B.V.","title":"2-stage robust MILP with continuous recourse variables","type":"article-journal","volume":"170"},"uris":["http://www.mendeley.com/documents/?uuid=361ccac8-83fd-40cf-9095-3ee135f9741b"]}],"mendeley":{"formattedCitation":"(Billionnet et al., 2014)","manualFormatting":"Billionnet et al., 2014","plainTextFormattedCitation":"(Billionnet et al., 2014)","previouslyFormattedCitation":"(Billionnet et al., 2014)"},"properties":{"noteIndex":0},"schema":"https://github.com/citation-style-language/schema/raw/master/csl-citation.json"}</w:instrText>
      </w:r>
      <w:r w:rsidR="00DC7269" w:rsidRPr="003E6B3B">
        <w:rPr>
          <w:rStyle w:val="longtext"/>
          <w:rFonts w:asciiTheme="majorHAnsi" w:hAnsiTheme="majorHAnsi"/>
          <w:shd w:val="clear" w:color="auto" w:fill="FFFFFF"/>
        </w:rPr>
        <w:fldChar w:fldCharType="separate"/>
      </w:r>
      <w:r w:rsidR="00DC7269" w:rsidRPr="003E6B3B">
        <w:rPr>
          <w:rStyle w:val="longtext"/>
          <w:rFonts w:asciiTheme="majorHAnsi" w:hAnsiTheme="majorHAnsi"/>
          <w:noProof/>
          <w:shd w:val="clear" w:color="auto" w:fill="FFFFFF"/>
        </w:rPr>
        <w:t>Billionnet et al., 2014</w:t>
      </w:r>
      <w:r w:rsidR="00DC7269" w:rsidRPr="003E6B3B">
        <w:rPr>
          <w:rStyle w:val="longtext"/>
          <w:rFonts w:asciiTheme="majorHAnsi" w:hAnsiTheme="majorHAnsi"/>
          <w:shd w:val="clear" w:color="auto" w:fill="FFFFFF"/>
        </w:rPr>
        <w:fldChar w:fldCharType="end"/>
      </w:r>
      <w:r w:rsidR="00DC7269" w:rsidRPr="003E6B3B">
        <w:rPr>
          <w:rStyle w:val="longtext"/>
          <w:rFonts w:asciiTheme="majorHAnsi" w:hAnsiTheme="majorHAnsi"/>
          <w:shd w:val="clear" w:color="auto" w:fill="FFFFFF"/>
        </w:rPr>
        <w:t xml:space="preserve"> </w:t>
      </w:r>
      <w:r w:rsidRPr="003E6B3B">
        <w:rPr>
          <w:rFonts w:asciiTheme="majorHAnsi" w:eastAsia="Times New Roman" w:hAnsiTheme="majorHAnsi"/>
        </w:rPr>
        <w:t xml:space="preserve">supports the use of the ARC methodology. Furthermore, the existence of variable partitioning into two parts, namely integer variables as difficult variables </w:t>
      </w:r>
      <m:oMath>
        <m:r>
          <m:rPr>
            <m:sty m:val="b"/>
          </m:rPr>
          <w:rPr>
            <w:rFonts w:ascii="Cambria Math" w:eastAsia="Times New Roman" w:hAnsi="Cambria Math"/>
          </w:rPr>
          <m:t>x</m:t>
        </m:r>
      </m:oMath>
      <w:r w:rsidRPr="003E6B3B">
        <w:rPr>
          <w:rFonts w:asciiTheme="majorHAnsi" w:eastAsia="Times New Roman" w:hAnsiTheme="majorHAnsi"/>
        </w:rPr>
        <w:t xml:space="preserve"> and continuous variables </w:t>
      </w:r>
      <m:oMath>
        <m:r>
          <m:rPr>
            <m:sty m:val="b"/>
          </m:rPr>
          <w:rPr>
            <w:rFonts w:ascii="Cambria Math" w:eastAsia="Times New Roman" w:hAnsi="Cambria Math"/>
          </w:rPr>
          <m:t>y</m:t>
        </m:r>
      </m:oMath>
      <w:r w:rsidRPr="003E6B3B">
        <w:rPr>
          <w:rFonts w:asciiTheme="majorHAnsi" w:eastAsia="Times New Roman" w:hAnsiTheme="majorHAnsi"/>
        </w:rPr>
        <w:t xml:space="preserve"> as easy variables also supports the application of the Benders Decomposition Method approach which will be explained later.</w:t>
      </w:r>
    </w:p>
    <w:p w14:paraId="30B24D8A" w14:textId="77777777" w:rsidR="005D033B" w:rsidRPr="003E6B3B" w:rsidRDefault="005D033B" w:rsidP="005D033B">
      <w:pPr>
        <w:pStyle w:val="IEEEParagraph"/>
        <w:spacing w:line="23" w:lineRule="atLeast"/>
        <w:ind w:left="709" w:firstLine="0"/>
        <w:rPr>
          <w:rStyle w:val="longtext"/>
          <w:rFonts w:asciiTheme="majorHAnsi" w:hAnsiTheme="majorHAnsi"/>
          <w:shd w:val="clear" w:color="auto" w:fill="FFFFFF"/>
        </w:rPr>
      </w:pPr>
    </w:p>
    <w:p w14:paraId="73716439" w14:textId="70614357" w:rsidR="005D033B" w:rsidRPr="003E6B3B" w:rsidRDefault="005D033B" w:rsidP="00DC7269">
      <w:pPr>
        <w:pStyle w:val="IEEEParagraph"/>
        <w:numPr>
          <w:ilvl w:val="0"/>
          <w:numId w:val="16"/>
        </w:numPr>
        <w:spacing w:line="23" w:lineRule="atLeast"/>
        <w:ind w:left="709" w:hanging="283"/>
        <w:rPr>
          <w:rStyle w:val="longtext"/>
          <w:rFonts w:asciiTheme="majorHAnsi" w:hAnsiTheme="majorHAnsi"/>
          <w:shd w:val="clear" w:color="auto" w:fill="FFFFFF"/>
        </w:rPr>
      </w:pPr>
      <w:r w:rsidRPr="003E6B3B">
        <w:rPr>
          <w:rStyle w:val="longtext"/>
          <w:rFonts w:asciiTheme="majorHAnsi" w:hAnsiTheme="majorHAnsi"/>
          <w:shd w:val="clear" w:color="auto" w:fill="FFFFFF"/>
        </w:rPr>
        <w:t>Adjustable Robust Counterpart Optimization</w:t>
      </w:r>
    </w:p>
    <w:p w14:paraId="147C2515" w14:textId="5A1A5D0A" w:rsidR="005D033B" w:rsidRPr="003E6B3B" w:rsidRDefault="005D033B" w:rsidP="005D033B">
      <w:pPr>
        <w:pStyle w:val="Paragraf"/>
        <w:spacing w:line="23" w:lineRule="atLeast"/>
        <w:ind w:left="567" w:firstLine="153"/>
        <w:rPr>
          <w:rFonts w:asciiTheme="majorHAnsi" w:eastAsia="Times New Roman" w:hAnsiTheme="majorHAnsi"/>
        </w:rPr>
      </w:pPr>
      <w:r w:rsidRPr="003E6B3B">
        <w:rPr>
          <w:rFonts w:asciiTheme="majorHAnsi" w:eastAsia="Times New Roman" w:hAnsiTheme="majorHAnsi"/>
        </w:rPr>
        <w:t xml:space="preserve">Referring to </w:t>
      </w:r>
      <w:r w:rsidR="00DC7269" w:rsidRPr="003E6B3B">
        <w:rPr>
          <w:rStyle w:val="longtext"/>
          <w:rFonts w:asciiTheme="majorHAnsi" w:hAnsiTheme="majorHAnsi"/>
          <w:shd w:val="clear" w:color="auto" w:fill="FFFFFF"/>
        </w:rPr>
        <w:fldChar w:fldCharType="begin" w:fldLock="1"/>
      </w:r>
      <w:r w:rsidR="00DC7269" w:rsidRPr="003E6B3B">
        <w:rPr>
          <w:rStyle w:val="longtext"/>
          <w:rFonts w:asciiTheme="majorHAnsi" w:hAnsiTheme="majorHAnsi"/>
          <w:shd w:val="clear" w:color="auto" w:fill="FFFFFF"/>
        </w:rPr>
        <w:instrText>ADDIN CSL_CITATION {"citationItems":[{"id":"ITEM-1","itemData":{"ISSN":"0305-0483","author":[{"dropping-particle":"","family":"Gorissen","given":"Bram L","non-dropping-particle":"","parse-names":false,"suffix":""},{"dropping-particle":"","family":"Yanıkoğlu","given":"İhsan","non-dropping-particle":"","parse-names":false,"suffix":""},{"dropping-particle":"","family":"Hertog","given":"Dick","non-dropping-particle":"den","parse-names":false,"suffix":""}],"container-title":"Omega","id":"ITEM-1","issued":{"date-parts":[["2015"]]},"page":"124-137","publisher":"Elsevier","title":"A practical guide to robust optimization","type":"article-journal","volume":"53"},"uris":["http://www.mendeley.com/documents/?uuid=2af3e300-bfc8-4555-947c-bbceea5f6009"]}],"mendeley":{"formattedCitation":"(Gorissen et al., 2015)","manualFormatting":"Gorissen et al., 2015","plainTextFormattedCitation":"(Gorissen et al., 2015)","previouslyFormattedCitation":"(Gorissen et al., 2015)"},"properties":{"noteIndex":0},"schema":"https://github.com/citation-style-language/schema/raw/master/csl-citation.json"}</w:instrText>
      </w:r>
      <w:r w:rsidR="00DC7269" w:rsidRPr="003E6B3B">
        <w:rPr>
          <w:rStyle w:val="longtext"/>
          <w:rFonts w:asciiTheme="majorHAnsi" w:hAnsiTheme="majorHAnsi"/>
          <w:shd w:val="clear" w:color="auto" w:fill="FFFFFF"/>
        </w:rPr>
        <w:fldChar w:fldCharType="separate"/>
      </w:r>
      <w:r w:rsidR="00DC7269" w:rsidRPr="003E6B3B">
        <w:rPr>
          <w:rStyle w:val="longtext"/>
          <w:rFonts w:asciiTheme="majorHAnsi" w:hAnsiTheme="majorHAnsi"/>
          <w:noProof/>
          <w:shd w:val="clear" w:color="auto" w:fill="FFFFFF"/>
        </w:rPr>
        <w:t>Gorissen et al., 2015</w:t>
      </w:r>
      <w:r w:rsidR="00DC7269" w:rsidRPr="003E6B3B">
        <w:rPr>
          <w:rStyle w:val="longtext"/>
          <w:rFonts w:asciiTheme="majorHAnsi" w:hAnsiTheme="majorHAnsi"/>
          <w:shd w:val="clear" w:color="auto" w:fill="FFFFFF"/>
        </w:rPr>
        <w:fldChar w:fldCharType="end"/>
      </w:r>
      <w:r w:rsidRPr="003E6B3B">
        <w:rPr>
          <w:rFonts w:asciiTheme="majorHAnsi" w:eastAsia="Times New Roman" w:hAnsiTheme="majorHAnsi"/>
        </w:rPr>
        <w:t>, there is a special method to handle integer variables in the ARC optimization problem. The method starts from the general Robust Counterpart (RC) problem as follows:</w:t>
      </w:r>
    </w:p>
    <w:p w14:paraId="79A75CAF" w14:textId="77777777" w:rsidR="005D033B" w:rsidRPr="003E6B3B" w:rsidRDefault="005D033B" w:rsidP="005D033B">
      <w:pPr>
        <w:pStyle w:val="Paragraf"/>
        <w:spacing w:line="23" w:lineRule="atLeast"/>
        <w:ind w:left="567" w:firstLine="153"/>
        <w:rPr>
          <w:rFonts w:asciiTheme="majorHAnsi" w:hAnsiTheme="majorHAnsi"/>
        </w:rPr>
      </w:pPr>
      <w:r w:rsidRPr="003E6B3B">
        <w:rPr>
          <w:rFonts w:asciiTheme="majorHAnsi" w:hAnsiTheme="majorHAnsi"/>
          <w:noProof/>
        </w:rPr>
        <w:lastRenderedPageBreak/>
        <w:tab/>
      </w:r>
      <w:r w:rsidRPr="003E6B3B">
        <w:rPr>
          <w:rFonts w:asciiTheme="majorHAnsi" w:hAnsiTheme="majorHAnsi"/>
          <w:noProof/>
        </w:rPr>
        <w:tab/>
        <w:t xml:space="preserve">            </w:t>
      </w:r>
      <w:r w:rsidRPr="003E6B3B">
        <w:rPr>
          <w:rFonts w:asciiTheme="majorHAnsi" w:hAnsiTheme="majorHAnsi"/>
          <w:noProof/>
        </w:rPr>
        <w:tab/>
        <w:t xml:space="preserve">      </w:t>
      </w:r>
      <w:r w:rsidRPr="003E6B3B">
        <w:rPr>
          <w:rFonts w:asciiTheme="majorHAnsi" w:hAnsiTheme="majorHAnsi"/>
          <w:noProof/>
        </w:rPr>
        <w:tab/>
      </w:r>
      <w:r w:rsidRPr="003E6B3B">
        <w:rPr>
          <w:rFonts w:asciiTheme="majorHAnsi" w:hAnsiTheme="majorHAnsi"/>
          <w:noProof/>
          <w:position w:val="-34"/>
        </w:rPr>
        <w:object w:dxaOrig="3980" w:dyaOrig="800" w14:anchorId="0BC16ACD">
          <v:shape id="_x0000_i1031" type="#_x0000_t75" style="width:200.25pt;height:41.25pt" o:ole="">
            <v:imagedata r:id="rId33" o:title=""/>
          </v:shape>
          <o:OLEObject Type="Embed" ProgID="Equation.DSMT4" ShapeID="_x0000_i1031" DrawAspect="Content" ObjectID="_1712658602" r:id="rId34"/>
        </w:object>
      </w:r>
      <w:r w:rsidRPr="003E6B3B">
        <w:rPr>
          <w:rFonts w:asciiTheme="majorHAnsi" w:hAnsiTheme="majorHAnsi"/>
        </w:rPr>
        <w:t xml:space="preserve">         </w:t>
      </w:r>
      <w:r w:rsidRPr="003E6B3B">
        <w:rPr>
          <w:rFonts w:asciiTheme="majorHAnsi" w:hAnsiTheme="majorHAnsi"/>
        </w:rPr>
        <w:tab/>
        <w:t xml:space="preserve">       </w:t>
      </w:r>
      <w:r w:rsidRPr="003E6B3B">
        <w:rPr>
          <w:rFonts w:asciiTheme="majorHAnsi" w:hAnsiTheme="majorHAnsi"/>
        </w:rPr>
        <w:fldChar w:fldCharType="begin"/>
      </w:r>
      <w:r w:rsidRPr="003E6B3B">
        <w:rPr>
          <w:rFonts w:asciiTheme="majorHAnsi" w:hAnsiTheme="majorHAnsi"/>
        </w:rPr>
        <w:instrText xml:space="preserve"> MACROBUTTON MTPlaceRef \* MERGEFORMAT </w:instrText>
      </w:r>
      <w:r w:rsidRPr="003E6B3B">
        <w:rPr>
          <w:rFonts w:asciiTheme="majorHAnsi" w:hAnsiTheme="majorHAnsi"/>
        </w:rPr>
        <w:fldChar w:fldCharType="begin"/>
      </w:r>
      <w:r w:rsidRPr="003E6B3B">
        <w:rPr>
          <w:rFonts w:asciiTheme="majorHAnsi" w:hAnsiTheme="majorHAnsi"/>
        </w:rPr>
        <w:instrText xml:space="preserve"> SEQ MTEqn \h \* MERGEFORMAT </w:instrText>
      </w:r>
      <w:r w:rsidRPr="003E6B3B">
        <w:rPr>
          <w:rFonts w:asciiTheme="majorHAnsi" w:hAnsiTheme="majorHAnsi"/>
        </w:rPr>
        <w:fldChar w:fldCharType="end"/>
      </w:r>
      <w:r w:rsidRPr="003E6B3B">
        <w:rPr>
          <w:rFonts w:asciiTheme="majorHAnsi" w:hAnsiTheme="majorHAnsi"/>
        </w:rPr>
        <w:instrText>(</w:instrText>
      </w:r>
      <w:r w:rsidRPr="003E6B3B">
        <w:rPr>
          <w:rFonts w:asciiTheme="majorHAnsi" w:hAnsiTheme="majorHAnsi"/>
        </w:rPr>
        <w:fldChar w:fldCharType="begin"/>
      </w:r>
      <w:r w:rsidRPr="003E6B3B">
        <w:rPr>
          <w:rFonts w:asciiTheme="majorHAnsi" w:hAnsiTheme="majorHAnsi"/>
        </w:rPr>
        <w:instrText xml:space="preserve"> SEQ MTEqn \c \* Arabic \* MERGEFORMAT </w:instrText>
      </w:r>
      <w:r w:rsidRPr="003E6B3B">
        <w:rPr>
          <w:rFonts w:asciiTheme="majorHAnsi" w:hAnsiTheme="majorHAnsi"/>
        </w:rPr>
        <w:fldChar w:fldCharType="separate"/>
      </w:r>
      <w:r w:rsidRPr="003E6B3B">
        <w:rPr>
          <w:rFonts w:asciiTheme="majorHAnsi" w:hAnsiTheme="majorHAnsi"/>
          <w:noProof/>
        </w:rPr>
        <w:instrText>2</w:instrText>
      </w:r>
      <w:r w:rsidRPr="003E6B3B">
        <w:rPr>
          <w:rFonts w:asciiTheme="majorHAnsi" w:hAnsiTheme="majorHAnsi"/>
          <w:noProof/>
        </w:rPr>
        <w:fldChar w:fldCharType="end"/>
      </w:r>
      <w:r w:rsidRPr="003E6B3B">
        <w:rPr>
          <w:rFonts w:asciiTheme="majorHAnsi" w:hAnsiTheme="majorHAnsi"/>
        </w:rPr>
        <w:instrText>)</w:instrText>
      </w:r>
      <w:r w:rsidRPr="003E6B3B">
        <w:rPr>
          <w:rFonts w:asciiTheme="majorHAnsi" w:hAnsiTheme="majorHAnsi"/>
        </w:rPr>
        <w:fldChar w:fldCharType="end"/>
      </w:r>
    </w:p>
    <w:p w14:paraId="249B9F69" w14:textId="77777777" w:rsidR="005D033B" w:rsidRPr="003E6B3B" w:rsidRDefault="005D033B" w:rsidP="00DC7269">
      <w:pPr>
        <w:pStyle w:val="Paragraf"/>
        <w:spacing w:line="23" w:lineRule="atLeast"/>
        <w:ind w:left="567" w:firstLine="0"/>
        <w:rPr>
          <w:rFonts w:asciiTheme="majorHAnsi" w:eastAsia="Times New Roman" w:hAnsiTheme="majorHAnsi"/>
          <w:lang w:val="en-GB"/>
        </w:rPr>
      </w:pPr>
      <w:r w:rsidRPr="003E6B3B">
        <w:rPr>
          <w:rFonts w:asciiTheme="majorHAnsi" w:hAnsiTheme="majorHAnsi"/>
          <w:lang w:val="en-GB"/>
        </w:rPr>
        <w:t xml:space="preserve">with </w:t>
      </w:r>
      <w:r w:rsidRPr="003E6B3B">
        <w:rPr>
          <w:rFonts w:asciiTheme="majorHAnsi" w:hAnsiTheme="majorHAnsi"/>
          <w:noProof/>
          <w:position w:val="-4"/>
        </w:rPr>
        <w:object w:dxaOrig="740" w:dyaOrig="300" w14:anchorId="162AFFDC">
          <v:shape id="_x0000_i1032" type="#_x0000_t75" style="width:37.5pt;height:15pt" o:ole="">
            <v:imagedata r:id="rId35" o:title=""/>
          </v:shape>
          <o:OLEObject Type="Embed" ProgID="Equation.DSMT4" ShapeID="_x0000_i1032" DrawAspect="Content" ObjectID="_1712658603" r:id="rId36"/>
        </w:object>
      </w:r>
      <w:r w:rsidRPr="003E6B3B">
        <w:rPr>
          <w:rFonts w:asciiTheme="majorHAnsi" w:hAnsiTheme="majorHAnsi"/>
        </w:rPr>
        <w:t xml:space="preserve">, </w:t>
      </w:r>
      <w:r w:rsidRPr="003E6B3B">
        <w:rPr>
          <w:rFonts w:asciiTheme="majorHAnsi" w:hAnsiTheme="majorHAnsi"/>
          <w:noProof/>
          <w:position w:val="-10"/>
        </w:rPr>
        <w:object w:dxaOrig="740" w:dyaOrig="360" w14:anchorId="0AA6560B">
          <v:shape id="_x0000_i1033" type="#_x0000_t75" style="width:37.5pt;height:18.75pt" o:ole="">
            <v:imagedata r:id="rId37" o:title=""/>
          </v:shape>
          <o:OLEObject Type="Embed" ProgID="Equation.DSMT4" ShapeID="_x0000_i1033" DrawAspect="Content" ObjectID="_1712658604" r:id="rId38"/>
        </w:object>
      </w:r>
      <w:r w:rsidRPr="003E6B3B">
        <w:rPr>
          <w:rFonts w:asciiTheme="majorHAnsi" w:hAnsiTheme="majorHAnsi"/>
        </w:rPr>
        <w:t xml:space="preserve"> </w:t>
      </w:r>
      <w:r w:rsidRPr="003E6B3B">
        <w:rPr>
          <w:rFonts w:asciiTheme="majorHAnsi" w:eastAsia="Times New Roman" w:hAnsiTheme="majorHAnsi"/>
          <w:lang w:val="en-GB"/>
        </w:rPr>
        <w:t xml:space="preserve">is a </w:t>
      </w:r>
      <w:r w:rsidRPr="003E6B3B">
        <w:rPr>
          <w:rFonts w:asciiTheme="majorHAnsi" w:eastAsia="Times New Roman" w:hAnsiTheme="majorHAnsi"/>
          <w:i/>
          <w:iCs/>
          <w:lang w:val="en-GB"/>
        </w:rPr>
        <w:t>here-and-now</w:t>
      </w:r>
      <w:r w:rsidRPr="003E6B3B">
        <w:rPr>
          <w:rFonts w:asciiTheme="majorHAnsi" w:eastAsia="Times New Roman" w:hAnsiTheme="majorHAnsi"/>
          <w:lang w:val="en-GB"/>
        </w:rPr>
        <w:t xml:space="preserve"> variable, </w:t>
      </w:r>
      <w:r w:rsidRPr="003E6B3B">
        <w:rPr>
          <w:rFonts w:asciiTheme="majorHAnsi" w:hAnsiTheme="majorHAnsi"/>
          <w:noProof/>
          <w:position w:val="-4"/>
        </w:rPr>
        <w:object w:dxaOrig="740" w:dyaOrig="300" w14:anchorId="2A3FA389">
          <v:shape id="_x0000_i1034" type="#_x0000_t75" style="width:37.5pt;height:15pt" o:ole="">
            <v:imagedata r:id="rId39" o:title=""/>
          </v:shape>
          <o:OLEObject Type="Embed" ProgID="Equation.DSMT4" ShapeID="_x0000_i1034" DrawAspect="Content" ObjectID="_1712658605" r:id="rId40"/>
        </w:object>
      </w:r>
      <w:r w:rsidRPr="003E6B3B">
        <w:rPr>
          <w:rFonts w:asciiTheme="majorHAnsi" w:hAnsiTheme="majorHAnsi"/>
        </w:rPr>
        <w:t xml:space="preserve"> </w:t>
      </w:r>
      <w:r w:rsidRPr="003E6B3B">
        <w:rPr>
          <w:rFonts w:asciiTheme="majorHAnsi" w:eastAsia="Times New Roman" w:hAnsiTheme="majorHAnsi"/>
          <w:lang w:val="en-GB"/>
        </w:rPr>
        <w:t xml:space="preserve">is a </w:t>
      </w:r>
      <w:r w:rsidRPr="003E6B3B">
        <w:rPr>
          <w:rFonts w:asciiTheme="majorHAnsi" w:eastAsia="Times New Roman" w:hAnsiTheme="majorHAnsi"/>
          <w:i/>
          <w:iCs/>
          <w:lang w:val="en-GB"/>
        </w:rPr>
        <w:t>wait-and-see</w:t>
      </w:r>
      <w:r w:rsidRPr="003E6B3B">
        <w:rPr>
          <w:rFonts w:asciiTheme="majorHAnsi" w:eastAsia="Times New Roman" w:hAnsiTheme="majorHAnsi"/>
          <w:lang w:val="en-GB"/>
        </w:rPr>
        <w:t xml:space="preserve"> variable, </w:t>
      </w:r>
      <w:r w:rsidRPr="003E6B3B">
        <w:rPr>
          <w:rFonts w:asciiTheme="majorHAnsi" w:hAnsiTheme="majorHAnsi"/>
          <w:noProof/>
          <w:position w:val="-14"/>
        </w:rPr>
        <w:object w:dxaOrig="1780" w:dyaOrig="380" w14:anchorId="667199CE">
          <v:shape id="_x0000_i1035" type="#_x0000_t75" style="width:89.25pt;height:18.75pt" o:ole="">
            <v:imagedata r:id="rId41" o:title=""/>
          </v:shape>
          <o:OLEObject Type="Embed" ProgID="Equation.DSMT4" ShapeID="_x0000_i1035" DrawAspect="Content" ObjectID="_1712658606" r:id="rId42"/>
        </w:object>
      </w:r>
      <w:r w:rsidRPr="003E6B3B">
        <w:rPr>
          <w:rFonts w:asciiTheme="majorHAnsi" w:hAnsiTheme="majorHAnsi"/>
        </w:rPr>
        <w:t xml:space="preserve">, </w:t>
      </w:r>
      <w:r w:rsidRPr="003E6B3B">
        <w:rPr>
          <w:rFonts w:asciiTheme="majorHAnsi" w:eastAsia="Times New Roman" w:hAnsiTheme="majorHAnsi"/>
          <w:lang w:val="en-GB"/>
        </w:rPr>
        <w:t xml:space="preserve">and </w:t>
      </w:r>
      <w:r w:rsidRPr="003E6B3B">
        <w:rPr>
          <w:rFonts w:asciiTheme="majorHAnsi" w:hAnsiTheme="majorHAnsi"/>
          <w:noProof/>
          <w:position w:val="-14"/>
        </w:rPr>
        <w:object w:dxaOrig="1780" w:dyaOrig="380" w14:anchorId="2F266847">
          <v:shape id="_x0000_i1036" type="#_x0000_t75" style="width:87.75pt;height:18.75pt" o:ole="">
            <v:imagedata r:id="rId43" o:title=""/>
          </v:shape>
          <o:OLEObject Type="Embed" ProgID="Equation.DSMT4" ShapeID="_x0000_i1036" DrawAspect="Content" ObjectID="_1712658607" r:id="rId44"/>
        </w:object>
      </w:r>
      <w:r w:rsidRPr="003E6B3B">
        <w:rPr>
          <w:rFonts w:asciiTheme="majorHAnsi" w:hAnsiTheme="majorHAnsi"/>
        </w:rPr>
        <w:t xml:space="preserve"> </w:t>
      </w:r>
      <w:r w:rsidRPr="003E6B3B">
        <w:rPr>
          <w:rFonts w:asciiTheme="majorHAnsi" w:eastAsia="Times New Roman" w:hAnsiTheme="majorHAnsi"/>
          <w:lang w:val="en-GB"/>
        </w:rPr>
        <w:t xml:space="preserve">is an uncertain coefficient matrix of the </w:t>
      </w:r>
      <w:r w:rsidRPr="003E6B3B">
        <w:rPr>
          <w:rFonts w:asciiTheme="majorHAnsi" w:eastAsia="Times New Roman" w:hAnsiTheme="majorHAnsi"/>
          <w:i/>
          <w:iCs/>
          <w:lang w:val="en-GB"/>
        </w:rPr>
        <w:t>here-and-now</w:t>
      </w:r>
      <w:r w:rsidRPr="003E6B3B">
        <w:rPr>
          <w:rFonts w:asciiTheme="majorHAnsi" w:eastAsia="Times New Roman" w:hAnsiTheme="majorHAnsi"/>
          <w:lang w:val="en-GB"/>
        </w:rPr>
        <w:t xml:space="preserve"> variables. Note that the integer </w:t>
      </w:r>
      <w:r w:rsidRPr="003E6B3B">
        <w:rPr>
          <w:rFonts w:asciiTheme="majorHAnsi" w:eastAsia="Times New Roman" w:hAnsiTheme="majorHAnsi"/>
          <w:i/>
          <w:iCs/>
          <w:lang w:val="en-GB"/>
        </w:rPr>
        <w:t>wait-and-see</w:t>
      </w:r>
      <w:r w:rsidRPr="003E6B3B">
        <w:rPr>
          <w:rFonts w:asciiTheme="majorHAnsi" w:eastAsia="Times New Roman" w:hAnsiTheme="majorHAnsi"/>
          <w:lang w:val="en-GB"/>
        </w:rPr>
        <w:t xml:space="preserve"> variable </w:t>
      </w:r>
      <w:r w:rsidRPr="003E6B3B">
        <w:rPr>
          <w:rFonts w:asciiTheme="majorHAnsi" w:eastAsia="Times New Roman" w:hAnsiTheme="majorHAnsi"/>
          <w:noProof/>
          <w:position w:val="-4"/>
          <w:lang w:val="en-GB"/>
        </w:rPr>
        <w:object w:dxaOrig="200" w:dyaOrig="200" w14:anchorId="6F7B299B">
          <v:shape id="_x0000_i1037" type="#_x0000_t75" style="width:8.25pt;height:8.25pt" o:ole="">
            <v:imagedata r:id="rId45" o:title=""/>
          </v:shape>
          <o:OLEObject Type="Embed" ProgID="Equation.DSMT4" ShapeID="_x0000_i1037" DrawAspect="Content" ObjectID="_1712658608" r:id="rId46"/>
        </w:object>
      </w:r>
      <w:r w:rsidRPr="003E6B3B">
        <w:rPr>
          <w:rFonts w:asciiTheme="majorHAnsi" w:eastAsia="Times New Roman" w:hAnsiTheme="majorHAnsi"/>
          <w:lang w:val="en-GB"/>
        </w:rPr>
        <w:t xml:space="preserve"> has an uncertain coefficient matrix </w:t>
      </w:r>
      <w:r w:rsidRPr="003E6B3B">
        <w:rPr>
          <w:rFonts w:asciiTheme="majorHAnsi" w:hAnsiTheme="majorHAnsi"/>
          <w:noProof/>
          <w:position w:val="-14"/>
        </w:rPr>
        <w:object w:dxaOrig="1800" w:dyaOrig="380" w14:anchorId="62F819E4">
          <v:shape id="_x0000_i1038" type="#_x0000_t75" style="width:91.5pt;height:18.75pt" o:ole="">
            <v:imagedata r:id="rId47" o:title=""/>
          </v:shape>
          <o:OLEObject Type="Embed" ProgID="Equation.DSMT4" ShapeID="_x0000_i1038" DrawAspect="Content" ObjectID="_1712658609" r:id="rId48"/>
        </w:object>
      </w:r>
      <w:r w:rsidRPr="003E6B3B">
        <w:rPr>
          <w:rFonts w:asciiTheme="majorHAnsi" w:eastAsia="Times New Roman" w:hAnsiTheme="majorHAnsi"/>
          <w:lang w:val="en-GB"/>
        </w:rPr>
        <w:t xml:space="preserve">, so that this approach can deal with the problem of uncertainty in the </w:t>
      </w:r>
      <w:r w:rsidRPr="003E6B3B">
        <w:rPr>
          <w:rFonts w:asciiTheme="majorHAnsi" w:eastAsia="Times New Roman" w:hAnsiTheme="majorHAnsi"/>
          <w:i/>
          <w:iCs/>
          <w:lang w:val="en-GB"/>
        </w:rPr>
        <w:t>wait-and-see</w:t>
      </w:r>
      <w:r w:rsidRPr="003E6B3B">
        <w:rPr>
          <w:rFonts w:asciiTheme="majorHAnsi" w:eastAsia="Times New Roman" w:hAnsiTheme="majorHAnsi"/>
          <w:lang w:val="en-GB"/>
        </w:rPr>
        <w:t xml:space="preserve"> integer variable coefficients. For simplicity, it is assumed that the uncertain coefficient matrix is ​​linear in </w:t>
      </w:r>
      <w:r w:rsidRPr="003E6B3B">
        <w:rPr>
          <w:rFonts w:asciiTheme="majorHAnsi" w:hAnsiTheme="majorHAnsi"/>
          <w:noProof/>
          <w:position w:val="-10"/>
        </w:rPr>
        <w:object w:dxaOrig="240" w:dyaOrig="320" w14:anchorId="63061FF6">
          <v:shape id="_x0000_i1039" type="#_x0000_t75" style="width:14.25pt;height:15.75pt" o:ole="">
            <v:imagedata r:id="rId49" o:title=""/>
          </v:shape>
          <o:OLEObject Type="Embed" ProgID="Equation.DSMT4" ShapeID="_x0000_i1039" DrawAspect="Content" ObjectID="_1712658610" r:id="rId50"/>
        </w:object>
      </w:r>
      <w:r w:rsidRPr="003E6B3B">
        <w:rPr>
          <w:rFonts w:asciiTheme="majorHAnsi" w:hAnsiTheme="majorHAnsi"/>
        </w:rPr>
        <w:t xml:space="preserve"> </w:t>
      </w:r>
      <w:r w:rsidRPr="003E6B3B">
        <w:rPr>
          <w:rFonts w:asciiTheme="majorHAnsi" w:eastAsia="Times New Roman" w:hAnsiTheme="majorHAnsi"/>
          <w:lang w:val="en-GB"/>
        </w:rPr>
        <w:t xml:space="preserve">and without omitting the generalization, </w:t>
      </w:r>
      <w:r w:rsidRPr="003E6B3B">
        <w:rPr>
          <w:rFonts w:asciiTheme="majorHAnsi" w:hAnsiTheme="majorHAnsi"/>
          <w:noProof/>
          <w:position w:val="-10"/>
        </w:rPr>
        <w:object w:dxaOrig="900" w:dyaOrig="320" w14:anchorId="7D04FBED">
          <v:shape id="_x0000_i1040" type="#_x0000_t75" style="width:45pt;height:15.75pt" o:ole="">
            <v:imagedata r:id="rId51" o:title=""/>
          </v:shape>
          <o:OLEObject Type="Embed" ProgID="Equation.DSMT4" ShapeID="_x0000_i1040" DrawAspect="Content" ObjectID="_1712658611" r:id="rId52"/>
        </w:object>
      </w:r>
      <w:r w:rsidRPr="003E6B3B">
        <w:rPr>
          <w:rFonts w:asciiTheme="majorHAnsi" w:hAnsiTheme="majorHAnsi"/>
        </w:rPr>
        <w:t xml:space="preserve"> </w:t>
      </w:r>
      <w:r w:rsidRPr="003E6B3B">
        <w:rPr>
          <w:rFonts w:asciiTheme="majorHAnsi" w:eastAsia="Times New Roman" w:hAnsiTheme="majorHAnsi"/>
          <w:lang w:val="en-GB"/>
        </w:rPr>
        <w:t>is assumed to be a linearly uncertain objective function.</w:t>
      </w:r>
    </w:p>
    <w:p w14:paraId="013F401D" w14:textId="020EF08A" w:rsidR="005D033B" w:rsidRPr="003E6B3B" w:rsidRDefault="005D033B" w:rsidP="005D033B">
      <w:pPr>
        <w:pStyle w:val="Paragraf"/>
        <w:spacing w:line="23" w:lineRule="atLeast"/>
        <w:ind w:left="567" w:firstLine="153"/>
        <w:rPr>
          <w:rFonts w:asciiTheme="majorHAnsi" w:eastAsia="Times New Roman" w:hAnsiTheme="majorHAnsi"/>
          <w:lang w:val="en-GB"/>
        </w:rPr>
      </w:pPr>
      <w:r w:rsidRPr="003E6B3B">
        <w:rPr>
          <w:rFonts w:asciiTheme="majorHAnsi" w:eastAsia="Times New Roman" w:hAnsiTheme="majorHAnsi"/>
          <w:lang w:val="en-GB"/>
        </w:rPr>
        <w:t xml:space="preserve">To model ARC with integer variables, we first divide the set of uncertainties </w:t>
      </w:r>
      <w:r w:rsidRPr="003E6B3B">
        <w:rPr>
          <w:rFonts w:asciiTheme="majorHAnsi" w:hAnsiTheme="majorHAnsi"/>
          <w:noProof/>
          <w:position w:val="-4"/>
        </w:rPr>
        <w:object w:dxaOrig="240" w:dyaOrig="260" w14:anchorId="4341B1F4">
          <v:shape id="_x0000_i1041" type="#_x0000_t75" style="width:14.25pt;height:14.25pt" o:ole="">
            <v:imagedata r:id="rId53" o:title=""/>
          </v:shape>
          <o:OLEObject Type="Embed" ProgID="Equation.DSMT4" ShapeID="_x0000_i1041" DrawAspect="Content" ObjectID="_1712658612" r:id="rId54"/>
        </w:object>
      </w:r>
      <w:r w:rsidRPr="003E6B3B">
        <w:rPr>
          <w:rFonts w:asciiTheme="majorHAnsi" w:eastAsia="Times New Roman" w:hAnsiTheme="majorHAnsi"/>
          <w:lang w:val="en-GB"/>
        </w:rPr>
        <w:t xml:space="preserve"> becomes as many as </w:t>
      </w:r>
      <m:oMath>
        <m:r>
          <w:rPr>
            <w:rFonts w:ascii="Cambria Math" w:eastAsia="Times New Roman" w:hAnsi="Cambria Math"/>
            <w:lang w:val="en-GB"/>
          </w:rPr>
          <m:t>m</m:t>
        </m:r>
      </m:oMath>
      <w:r w:rsidRPr="003E6B3B">
        <w:rPr>
          <w:rFonts w:asciiTheme="majorHAnsi" w:eastAsia="Times New Roman" w:hAnsiTheme="majorHAnsi"/>
          <w:lang w:val="en-GB"/>
        </w:rPr>
        <w:t xml:space="preserve"> disjoint subsets</w:t>
      </w:r>
      <w:r w:rsidRPr="003E6B3B">
        <w:rPr>
          <w:rFonts w:asciiTheme="majorHAnsi" w:eastAsia="Times New Roman" w:hAnsiTheme="majorHAnsi"/>
          <w:i/>
          <w:iCs/>
          <w:lang w:val="en-GB"/>
        </w:rPr>
        <w:t xml:space="preserve"> </w:t>
      </w:r>
      <w:r w:rsidRPr="003E6B3B">
        <w:rPr>
          <w:rFonts w:asciiTheme="majorHAnsi" w:hAnsiTheme="majorHAnsi"/>
          <w:noProof/>
          <w:position w:val="-12"/>
        </w:rPr>
        <w:object w:dxaOrig="1840" w:dyaOrig="360" w14:anchorId="11E9AA59">
          <v:shape id="_x0000_i1042" type="#_x0000_t75" style="width:93.75pt;height:18.75pt" o:ole="">
            <v:imagedata r:id="rId55" o:title=""/>
          </v:shape>
          <o:OLEObject Type="Embed" ProgID="Equation.DSMT4" ShapeID="_x0000_i1042" DrawAspect="Content" ObjectID="_1712658613" r:id="rId56"/>
        </w:object>
      </w:r>
      <w:r w:rsidRPr="003E6B3B">
        <w:rPr>
          <w:rFonts w:asciiTheme="majorHAnsi" w:eastAsia="Times New Roman" w:hAnsiTheme="majorHAnsi"/>
          <w:lang w:val="en-GB"/>
        </w:rPr>
        <w:t>, so that it is obtained:</w:t>
      </w:r>
    </w:p>
    <w:p w14:paraId="728B3827" w14:textId="77D613F9" w:rsidR="005D033B" w:rsidRPr="003E6B3B" w:rsidRDefault="005D033B" w:rsidP="005D033B">
      <w:pPr>
        <w:pStyle w:val="MTDisplayEquation"/>
        <w:spacing w:after="0" w:line="23" w:lineRule="atLeast"/>
        <w:ind w:left="567" w:firstLine="153"/>
        <w:jc w:val="both"/>
        <w:rPr>
          <w:rFonts w:asciiTheme="majorHAnsi" w:hAnsiTheme="majorHAnsi"/>
          <w:sz w:val="24"/>
          <w:szCs w:val="24"/>
          <w:lang w:val="en-GB"/>
        </w:rPr>
      </w:pPr>
      <w:r w:rsidRPr="003E6B3B">
        <w:rPr>
          <w:rFonts w:asciiTheme="majorHAnsi" w:hAnsiTheme="majorHAnsi"/>
          <w:sz w:val="24"/>
          <w:szCs w:val="24"/>
          <w:lang w:val="en-GB"/>
        </w:rPr>
        <w:tab/>
      </w:r>
      <w:r w:rsidRPr="003E6B3B">
        <w:rPr>
          <w:rFonts w:asciiTheme="majorHAnsi" w:hAnsiTheme="majorHAnsi"/>
          <w:noProof/>
          <w:position w:val="-24"/>
          <w:sz w:val="24"/>
          <w:szCs w:val="24"/>
          <w:lang w:val="en-GB"/>
        </w:rPr>
        <w:object w:dxaOrig="1359" w:dyaOrig="480" w14:anchorId="4C38D71F">
          <v:shape id="_x0000_i1043" type="#_x0000_t75" style="width:66.75pt;height:23.25pt" o:ole="">
            <v:imagedata r:id="rId57" o:title=""/>
          </v:shape>
          <o:OLEObject Type="Embed" ProgID="Equation.DSMT4" ShapeID="_x0000_i1043" DrawAspect="Content" ObjectID="_1712658614" r:id="rId58"/>
        </w:object>
      </w:r>
      <w:r w:rsidRPr="003E6B3B">
        <w:rPr>
          <w:rFonts w:asciiTheme="majorHAnsi" w:hAnsiTheme="majorHAnsi"/>
          <w:sz w:val="24"/>
          <w:szCs w:val="24"/>
          <w:lang w:val="en-GB"/>
        </w:rPr>
        <w:tab/>
      </w:r>
      <w:r w:rsidRPr="003E6B3B">
        <w:rPr>
          <w:rFonts w:asciiTheme="majorHAnsi" w:hAnsiTheme="majorHAnsi"/>
          <w:sz w:val="24"/>
          <w:szCs w:val="24"/>
          <w:lang w:val="en-GB"/>
        </w:rPr>
        <w:fldChar w:fldCharType="begin"/>
      </w:r>
      <w:r w:rsidRPr="003E6B3B">
        <w:rPr>
          <w:rFonts w:asciiTheme="majorHAnsi" w:hAnsiTheme="majorHAnsi"/>
          <w:sz w:val="24"/>
          <w:szCs w:val="24"/>
          <w:lang w:val="en-GB"/>
        </w:rPr>
        <w:instrText xml:space="preserve"> MACROBUTTON MTPlaceRef \* MERGEFORMAT </w:instrText>
      </w:r>
      <w:r w:rsidRPr="003E6B3B">
        <w:rPr>
          <w:rFonts w:asciiTheme="majorHAnsi" w:hAnsiTheme="majorHAnsi"/>
          <w:sz w:val="24"/>
          <w:szCs w:val="24"/>
          <w:lang w:val="en-GB"/>
        </w:rPr>
        <w:fldChar w:fldCharType="begin"/>
      </w:r>
      <w:r w:rsidRPr="003E6B3B">
        <w:rPr>
          <w:rFonts w:asciiTheme="majorHAnsi" w:hAnsiTheme="majorHAnsi"/>
          <w:sz w:val="24"/>
          <w:szCs w:val="24"/>
          <w:lang w:val="en-GB"/>
        </w:rPr>
        <w:instrText xml:space="preserve"> SEQ MTEqn \h \* MERGEFORMAT </w:instrText>
      </w:r>
      <w:r w:rsidRPr="003E6B3B">
        <w:rPr>
          <w:rFonts w:asciiTheme="majorHAnsi" w:hAnsiTheme="majorHAnsi"/>
          <w:sz w:val="24"/>
          <w:szCs w:val="24"/>
          <w:lang w:val="en-GB"/>
        </w:rPr>
        <w:fldChar w:fldCharType="end"/>
      </w:r>
      <w:r w:rsidRPr="003E6B3B">
        <w:rPr>
          <w:rFonts w:asciiTheme="majorHAnsi" w:hAnsiTheme="majorHAnsi"/>
          <w:sz w:val="24"/>
          <w:szCs w:val="24"/>
          <w:lang w:val="en-GB"/>
        </w:rPr>
        <w:instrText>(</w:instrText>
      </w:r>
      <w:r w:rsidRPr="003E6B3B">
        <w:rPr>
          <w:rFonts w:asciiTheme="majorHAnsi" w:hAnsiTheme="majorHAnsi"/>
          <w:sz w:val="24"/>
          <w:szCs w:val="24"/>
          <w:lang w:val="en-GB"/>
        </w:rPr>
        <w:fldChar w:fldCharType="begin"/>
      </w:r>
      <w:r w:rsidRPr="003E6B3B">
        <w:rPr>
          <w:rFonts w:asciiTheme="majorHAnsi" w:hAnsiTheme="majorHAnsi"/>
          <w:sz w:val="24"/>
          <w:szCs w:val="24"/>
          <w:lang w:val="en-GB"/>
        </w:rPr>
        <w:instrText xml:space="preserve"> SEQ MTEqn \c \* Arabic \* MERGEFORMAT </w:instrText>
      </w:r>
      <w:r w:rsidRPr="003E6B3B">
        <w:rPr>
          <w:rFonts w:asciiTheme="majorHAnsi" w:hAnsiTheme="majorHAnsi"/>
          <w:sz w:val="24"/>
          <w:szCs w:val="24"/>
          <w:lang w:val="en-GB"/>
        </w:rPr>
        <w:fldChar w:fldCharType="separate"/>
      </w:r>
      <w:r w:rsidRPr="003E6B3B">
        <w:rPr>
          <w:rFonts w:asciiTheme="majorHAnsi" w:hAnsiTheme="majorHAnsi"/>
          <w:noProof/>
          <w:sz w:val="24"/>
          <w:szCs w:val="24"/>
          <w:lang w:val="en-GB"/>
        </w:rPr>
        <w:instrText>3</w:instrText>
      </w:r>
      <w:r w:rsidRPr="003E6B3B">
        <w:rPr>
          <w:rFonts w:asciiTheme="majorHAnsi" w:hAnsiTheme="majorHAnsi"/>
          <w:sz w:val="24"/>
          <w:szCs w:val="24"/>
          <w:lang w:val="en-GB"/>
        </w:rPr>
        <w:fldChar w:fldCharType="end"/>
      </w:r>
      <w:r w:rsidRPr="003E6B3B">
        <w:rPr>
          <w:rFonts w:asciiTheme="majorHAnsi" w:hAnsiTheme="majorHAnsi"/>
          <w:sz w:val="24"/>
          <w:szCs w:val="24"/>
          <w:lang w:val="en-GB"/>
        </w:rPr>
        <w:instrText>)</w:instrText>
      </w:r>
      <w:r w:rsidRPr="003E6B3B">
        <w:rPr>
          <w:rFonts w:asciiTheme="majorHAnsi" w:hAnsiTheme="majorHAnsi"/>
          <w:sz w:val="24"/>
          <w:szCs w:val="24"/>
          <w:lang w:val="en-GB"/>
        </w:rPr>
        <w:fldChar w:fldCharType="end"/>
      </w:r>
    </w:p>
    <w:p w14:paraId="61F62308" w14:textId="77777777" w:rsidR="005D033B" w:rsidRPr="003E6B3B" w:rsidRDefault="005D033B" w:rsidP="00DC7269">
      <w:pPr>
        <w:pStyle w:val="Paragraf"/>
        <w:spacing w:line="23" w:lineRule="atLeast"/>
        <w:ind w:left="567" w:firstLine="0"/>
        <w:rPr>
          <w:rFonts w:asciiTheme="majorHAnsi" w:eastAsia="Times New Roman" w:hAnsiTheme="majorHAnsi"/>
        </w:rPr>
      </w:pPr>
      <w:r w:rsidRPr="003E6B3B">
        <w:rPr>
          <w:rFonts w:asciiTheme="majorHAnsi" w:hAnsiTheme="majorHAnsi"/>
        </w:rPr>
        <w:t xml:space="preserve">and introduced an additional integer variable </w:t>
      </w:r>
      <w:r w:rsidRPr="003E6B3B">
        <w:rPr>
          <w:rFonts w:asciiTheme="majorHAnsi" w:hAnsiTheme="majorHAnsi"/>
          <w:noProof/>
          <w:position w:val="-12"/>
        </w:rPr>
        <w:object w:dxaOrig="1880" w:dyaOrig="380" w14:anchorId="3BA1A258">
          <v:shape id="_x0000_i1044" type="#_x0000_t75" style="width:93.75pt;height:18.75pt" o:ole="">
            <v:imagedata r:id="rId59" o:title=""/>
          </v:shape>
          <o:OLEObject Type="Embed" ProgID="Equation.DSMT4" ShapeID="_x0000_i1044" DrawAspect="Content" ObjectID="_1712658615" r:id="rId60"/>
        </w:object>
      </w:r>
      <w:r w:rsidRPr="003E6B3B">
        <w:rPr>
          <w:rFonts w:asciiTheme="majorHAnsi" w:hAnsiTheme="majorHAnsi"/>
        </w:rPr>
        <w:t xml:space="preserve"> </w:t>
      </w:r>
      <w:r w:rsidRPr="003E6B3B">
        <w:rPr>
          <w:rFonts w:asciiTheme="majorHAnsi" w:eastAsia="Times New Roman" w:hAnsiTheme="majorHAnsi"/>
        </w:rPr>
        <w:t xml:space="preserve">which models the decision in </w:t>
      </w:r>
      <w:r w:rsidRPr="003E6B3B">
        <w:rPr>
          <w:rFonts w:asciiTheme="majorHAnsi" w:hAnsiTheme="majorHAnsi"/>
          <w:noProof/>
          <w:position w:val="-12"/>
        </w:rPr>
        <w:object w:dxaOrig="260" w:dyaOrig="360" w14:anchorId="42DDDAE4">
          <v:shape id="_x0000_i1045" type="#_x0000_t75" style="width:14.25pt;height:18.75pt" o:ole="">
            <v:imagedata r:id="rId61" o:title=""/>
          </v:shape>
          <o:OLEObject Type="Embed" ProgID="Equation.DSMT4" ShapeID="_x0000_i1045" DrawAspect="Content" ObjectID="_1712658616" r:id="rId62"/>
        </w:object>
      </w:r>
      <w:r w:rsidRPr="003E6B3B">
        <w:rPr>
          <w:rFonts w:asciiTheme="majorHAnsi" w:eastAsia="Times New Roman" w:hAnsiTheme="majorHAnsi"/>
        </w:rPr>
        <w:t xml:space="preserve">. Next, reformulate the uncertain constraint and objective function on the problem (2) for each </w:t>
      </w:r>
      <w:r w:rsidRPr="003E6B3B">
        <w:rPr>
          <w:rFonts w:asciiTheme="majorHAnsi" w:hAnsiTheme="majorHAnsi"/>
          <w:noProof/>
          <w:position w:val="-12"/>
        </w:rPr>
        <w:object w:dxaOrig="240" w:dyaOrig="360" w14:anchorId="54233D43">
          <v:shape id="_x0000_i1046" type="#_x0000_t75" style="width:11.25pt;height:18.75pt" o:ole="">
            <v:imagedata r:id="rId63" o:title=""/>
          </v:shape>
          <o:OLEObject Type="Embed" ProgID="Equation.DSMT4" ShapeID="_x0000_i1046" DrawAspect="Content" ObjectID="_1712658617" r:id="rId64"/>
        </w:object>
      </w:r>
      <w:r w:rsidRPr="003E6B3B">
        <w:rPr>
          <w:rFonts w:asciiTheme="majorHAnsi" w:hAnsiTheme="majorHAnsi"/>
        </w:rPr>
        <w:t xml:space="preserve"> </w:t>
      </w:r>
      <w:r w:rsidRPr="003E6B3B">
        <w:rPr>
          <w:rFonts w:asciiTheme="majorHAnsi" w:eastAsia="Times New Roman" w:hAnsiTheme="majorHAnsi"/>
        </w:rPr>
        <w:t>and the set of uncertainty</w:t>
      </w:r>
      <w:r w:rsidRPr="003E6B3B">
        <w:rPr>
          <w:rFonts w:asciiTheme="majorHAnsi" w:eastAsia="Times New Roman" w:hAnsiTheme="majorHAnsi"/>
          <w:noProof/>
        </w:rPr>
        <w:t xml:space="preserve"> </w:t>
      </w:r>
      <w:r w:rsidRPr="003E6B3B">
        <w:rPr>
          <w:rFonts w:asciiTheme="majorHAnsi" w:hAnsiTheme="majorHAnsi"/>
          <w:noProof/>
          <w:position w:val="-12"/>
        </w:rPr>
        <w:object w:dxaOrig="260" w:dyaOrig="360" w14:anchorId="66F20469">
          <v:shape id="_x0000_i1047" type="#_x0000_t75" style="width:14.25pt;height:18.75pt" o:ole="">
            <v:imagedata r:id="rId65" o:title=""/>
          </v:shape>
          <o:OLEObject Type="Embed" ProgID="Equation.DSMT4" ShapeID="_x0000_i1047" DrawAspect="Content" ObjectID="_1712658618" r:id="rId66"/>
        </w:object>
      </w:r>
      <w:r w:rsidRPr="003E6B3B">
        <w:rPr>
          <w:rFonts w:asciiTheme="majorHAnsi" w:hAnsiTheme="majorHAnsi"/>
        </w:rPr>
        <w:t xml:space="preserve"> </w:t>
      </w:r>
      <w:r w:rsidRPr="003E6B3B">
        <w:rPr>
          <w:rFonts w:asciiTheme="majorHAnsi" w:eastAsia="Times New Roman" w:hAnsiTheme="majorHAnsi"/>
        </w:rPr>
        <w:t>as follows:</w:t>
      </w:r>
    </w:p>
    <w:p w14:paraId="3AAAE0D1" w14:textId="6AC932CA" w:rsidR="005D033B" w:rsidRPr="003E6B3B" w:rsidRDefault="005D033B" w:rsidP="005D033B">
      <w:pPr>
        <w:pStyle w:val="MTDisplayEquation"/>
        <w:spacing w:after="0" w:line="23" w:lineRule="atLeast"/>
        <w:ind w:left="567" w:firstLine="153"/>
        <w:jc w:val="both"/>
        <w:rPr>
          <w:rFonts w:asciiTheme="majorHAnsi" w:hAnsiTheme="majorHAnsi"/>
          <w:sz w:val="24"/>
          <w:szCs w:val="24"/>
        </w:rPr>
      </w:pPr>
      <w:r w:rsidRPr="003E6B3B">
        <w:rPr>
          <w:rFonts w:asciiTheme="majorHAnsi" w:hAnsiTheme="majorHAnsi"/>
          <w:sz w:val="24"/>
          <w:szCs w:val="24"/>
        </w:rPr>
        <w:tab/>
      </w:r>
      <w:r w:rsidRPr="003E6B3B">
        <w:rPr>
          <w:rFonts w:asciiTheme="majorHAnsi" w:hAnsiTheme="majorHAnsi"/>
          <w:noProof/>
          <w:position w:val="-72"/>
          <w:sz w:val="24"/>
          <w:szCs w:val="24"/>
        </w:rPr>
        <w:object w:dxaOrig="2840" w:dyaOrig="1560" w14:anchorId="6DA01E83">
          <v:shape id="_x0000_i1048" type="#_x0000_t75" style="width:143.25pt;height:78.75pt" o:ole="">
            <v:imagedata r:id="rId67" o:title=""/>
          </v:shape>
          <o:OLEObject Type="Embed" ProgID="Equation.DSMT4" ShapeID="_x0000_i1048" DrawAspect="Content" ObjectID="_1712658619" r:id="rId68"/>
        </w:object>
      </w:r>
      <w:r w:rsidRPr="003E6B3B">
        <w:rPr>
          <w:rFonts w:asciiTheme="majorHAnsi" w:hAnsiTheme="majorHAnsi"/>
          <w:noProof/>
          <w:sz w:val="24"/>
          <w:szCs w:val="24"/>
        </w:rPr>
        <w:tab/>
      </w:r>
      <w:r w:rsidRPr="003E6B3B">
        <w:rPr>
          <w:rFonts w:asciiTheme="majorHAnsi" w:hAnsiTheme="majorHAnsi"/>
          <w:sz w:val="24"/>
          <w:szCs w:val="24"/>
        </w:rPr>
        <w:fldChar w:fldCharType="begin"/>
      </w:r>
      <w:r w:rsidRPr="003E6B3B">
        <w:rPr>
          <w:rFonts w:asciiTheme="majorHAnsi" w:hAnsiTheme="majorHAnsi"/>
          <w:sz w:val="24"/>
          <w:szCs w:val="24"/>
        </w:rPr>
        <w:instrText xml:space="preserve"> MACROBUTTON MTPlaceRef \* MERGEFORMAT </w:instrText>
      </w:r>
      <w:r w:rsidRPr="003E6B3B">
        <w:rPr>
          <w:rFonts w:asciiTheme="majorHAnsi" w:hAnsiTheme="majorHAnsi"/>
          <w:sz w:val="24"/>
          <w:szCs w:val="24"/>
        </w:rPr>
        <w:fldChar w:fldCharType="begin"/>
      </w:r>
      <w:r w:rsidRPr="003E6B3B">
        <w:rPr>
          <w:rFonts w:asciiTheme="majorHAnsi" w:hAnsiTheme="majorHAnsi"/>
          <w:sz w:val="24"/>
          <w:szCs w:val="24"/>
        </w:rPr>
        <w:instrText xml:space="preserve"> SEQ MTEqn \h \* MERGEFORMAT </w:instrText>
      </w:r>
      <w:r w:rsidRPr="003E6B3B">
        <w:rPr>
          <w:rFonts w:asciiTheme="majorHAnsi" w:hAnsiTheme="majorHAnsi"/>
          <w:sz w:val="24"/>
          <w:szCs w:val="24"/>
        </w:rPr>
        <w:fldChar w:fldCharType="end"/>
      </w:r>
      <w:r w:rsidRPr="003E6B3B">
        <w:rPr>
          <w:rFonts w:asciiTheme="majorHAnsi" w:hAnsiTheme="majorHAnsi"/>
          <w:sz w:val="24"/>
          <w:szCs w:val="24"/>
        </w:rPr>
        <w:instrText>(</w:instrText>
      </w:r>
      <w:r w:rsidRPr="003E6B3B">
        <w:rPr>
          <w:rFonts w:asciiTheme="majorHAnsi" w:hAnsiTheme="majorHAnsi"/>
          <w:sz w:val="24"/>
          <w:szCs w:val="24"/>
        </w:rPr>
        <w:fldChar w:fldCharType="begin"/>
      </w:r>
      <w:r w:rsidRPr="003E6B3B">
        <w:rPr>
          <w:rFonts w:asciiTheme="majorHAnsi" w:hAnsiTheme="majorHAnsi"/>
          <w:sz w:val="24"/>
          <w:szCs w:val="24"/>
        </w:rPr>
        <w:instrText xml:space="preserve"> SEQ MTEqn \c \* Arabic \* MERGEFORMAT </w:instrText>
      </w:r>
      <w:r w:rsidRPr="003E6B3B">
        <w:rPr>
          <w:rFonts w:asciiTheme="majorHAnsi" w:hAnsiTheme="majorHAnsi"/>
          <w:sz w:val="24"/>
          <w:szCs w:val="24"/>
        </w:rPr>
        <w:fldChar w:fldCharType="separate"/>
      </w:r>
      <w:r w:rsidRPr="003E6B3B">
        <w:rPr>
          <w:rFonts w:asciiTheme="majorHAnsi" w:hAnsiTheme="majorHAnsi"/>
          <w:noProof/>
          <w:sz w:val="24"/>
          <w:szCs w:val="24"/>
        </w:rPr>
        <w:instrText>4</w:instrText>
      </w:r>
      <w:r w:rsidRPr="003E6B3B">
        <w:rPr>
          <w:rFonts w:asciiTheme="majorHAnsi" w:hAnsiTheme="majorHAnsi"/>
          <w:sz w:val="24"/>
          <w:szCs w:val="24"/>
        </w:rPr>
        <w:fldChar w:fldCharType="end"/>
      </w:r>
      <w:r w:rsidRPr="003E6B3B">
        <w:rPr>
          <w:rFonts w:asciiTheme="majorHAnsi" w:hAnsiTheme="majorHAnsi"/>
          <w:sz w:val="24"/>
          <w:szCs w:val="24"/>
        </w:rPr>
        <w:instrText>)</w:instrText>
      </w:r>
      <w:r w:rsidRPr="003E6B3B">
        <w:rPr>
          <w:rFonts w:asciiTheme="majorHAnsi" w:hAnsiTheme="majorHAnsi"/>
          <w:sz w:val="24"/>
          <w:szCs w:val="24"/>
        </w:rPr>
        <w:fldChar w:fldCharType="end"/>
      </w:r>
    </w:p>
    <w:p w14:paraId="487F95E1" w14:textId="77777777" w:rsidR="005D033B" w:rsidRPr="003E6B3B" w:rsidRDefault="005D033B" w:rsidP="005D033B">
      <w:pPr>
        <w:pStyle w:val="Paragraf"/>
        <w:spacing w:line="23" w:lineRule="atLeast"/>
        <w:ind w:left="567" w:firstLine="153"/>
        <w:rPr>
          <w:rFonts w:asciiTheme="majorHAnsi" w:hAnsiTheme="majorHAnsi"/>
        </w:rPr>
      </w:pPr>
      <w:r w:rsidRPr="003E6B3B">
        <w:rPr>
          <w:rFonts w:asciiTheme="majorHAnsi" w:hAnsiTheme="majorHAnsi"/>
        </w:rPr>
        <w:t>Note that the integer ARC formulation in (4) is more flexible than the non-adjustable in (2) in selecting integer variable values. This is because the ARC integer in (4) has a special decision</w:t>
      </w:r>
      <w:r w:rsidRPr="003E6B3B">
        <w:rPr>
          <w:rFonts w:asciiTheme="majorHAnsi" w:hAnsiTheme="majorHAnsi"/>
          <w:noProof/>
        </w:rPr>
        <w:t xml:space="preserve"> </w:t>
      </w:r>
      <w:r w:rsidRPr="003E6B3B">
        <w:rPr>
          <w:rFonts w:asciiTheme="majorHAnsi" w:hAnsiTheme="majorHAnsi"/>
          <w:noProof/>
          <w:position w:val="-12"/>
        </w:rPr>
        <w:object w:dxaOrig="220" w:dyaOrig="360" w14:anchorId="32BF76C9">
          <v:shape id="_x0000_i1049" type="#_x0000_t75" style="width:9.75pt;height:18.75pt" o:ole="">
            <v:imagedata r:id="rId69" o:title=""/>
          </v:shape>
          <o:OLEObject Type="Embed" ProgID="Equation.DSMT4" ShapeID="_x0000_i1049" DrawAspect="Content" ObjectID="_1712658620" r:id="rId70"/>
        </w:object>
      </w:r>
      <w:r w:rsidRPr="003E6B3B">
        <w:rPr>
          <w:rFonts w:asciiTheme="majorHAnsi" w:hAnsiTheme="majorHAnsi"/>
        </w:rPr>
        <w:t xml:space="preserve"> for each subset </w:t>
      </w:r>
      <w:r w:rsidRPr="003E6B3B">
        <w:rPr>
          <w:rFonts w:asciiTheme="majorHAnsi" w:hAnsiTheme="majorHAnsi"/>
          <w:noProof/>
          <w:position w:val="-12"/>
        </w:rPr>
        <w:object w:dxaOrig="260" w:dyaOrig="360" w14:anchorId="763CC5C6">
          <v:shape id="_x0000_i1050" type="#_x0000_t75" style="width:14.25pt;height:18.75pt" o:ole="">
            <v:imagedata r:id="rId71" o:title=""/>
          </v:shape>
          <o:OLEObject Type="Embed" ProgID="Equation.DSMT4" ShapeID="_x0000_i1050" DrawAspect="Content" ObjectID="_1712658621" r:id="rId72"/>
        </w:object>
      </w:r>
      <w:r w:rsidRPr="003E6B3B">
        <w:rPr>
          <w:rFonts w:asciiTheme="majorHAnsi" w:hAnsiTheme="majorHAnsi"/>
        </w:rPr>
        <w:t xml:space="preserve">. Therefore, the integer ARC formulation in (4) produces Robust optimal results which are at least as good as the regular ARC formulation in (2).  </w:t>
      </w:r>
    </w:p>
    <w:p w14:paraId="5E6166F3" w14:textId="571E2FBA" w:rsidR="005D033B" w:rsidRPr="003E6B3B" w:rsidRDefault="00DC7269" w:rsidP="005D033B">
      <w:pPr>
        <w:pStyle w:val="IEEEParagraph"/>
        <w:spacing w:line="23" w:lineRule="atLeast"/>
        <w:rPr>
          <w:rStyle w:val="longtext"/>
          <w:rFonts w:asciiTheme="majorHAnsi" w:hAnsiTheme="majorHAnsi"/>
          <w:shd w:val="clear" w:color="auto" w:fill="FFFFFF"/>
        </w:rPr>
      </w:pPr>
      <w:r w:rsidRPr="003E6B3B">
        <w:rPr>
          <w:rStyle w:val="longtext"/>
          <w:rFonts w:asciiTheme="majorHAnsi" w:hAnsiTheme="majorHAnsi"/>
          <w:shd w:val="clear" w:color="auto" w:fill="FFFFFF"/>
        </w:rPr>
        <w:t xml:space="preserve"> </w:t>
      </w:r>
    </w:p>
    <w:p w14:paraId="78B9A8D7" w14:textId="590AB537" w:rsidR="005D033B" w:rsidRPr="003E6B3B" w:rsidRDefault="005D033B" w:rsidP="005D033B">
      <w:pPr>
        <w:pStyle w:val="IEEEParagraph"/>
        <w:numPr>
          <w:ilvl w:val="0"/>
          <w:numId w:val="16"/>
        </w:numPr>
        <w:spacing w:line="23" w:lineRule="atLeast"/>
        <w:ind w:left="709" w:hanging="283"/>
        <w:rPr>
          <w:rStyle w:val="longtext"/>
          <w:rFonts w:asciiTheme="majorHAnsi" w:hAnsiTheme="majorHAnsi"/>
          <w:shd w:val="clear" w:color="auto" w:fill="FFFFFF"/>
        </w:rPr>
      </w:pPr>
      <w:r w:rsidRPr="003E6B3B">
        <w:rPr>
          <w:rStyle w:val="longtext"/>
          <w:rFonts w:asciiTheme="majorHAnsi" w:hAnsiTheme="majorHAnsi"/>
          <w:shd w:val="clear" w:color="auto" w:fill="FFFFFF"/>
        </w:rPr>
        <w:t>Benders Decomposition Method</w:t>
      </w:r>
      <w:r w:rsidR="00DC7269" w:rsidRPr="003E6B3B">
        <w:rPr>
          <w:rStyle w:val="longtext"/>
          <w:rFonts w:asciiTheme="majorHAnsi" w:hAnsiTheme="majorHAnsi"/>
          <w:shd w:val="clear" w:color="auto" w:fill="FFFFFF"/>
        </w:rPr>
        <w:t xml:space="preserve"> </w:t>
      </w:r>
    </w:p>
    <w:p w14:paraId="107D8D03" w14:textId="3C3E97C3" w:rsidR="005D033B" w:rsidRPr="003E6B3B" w:rsidRDefault="005D033B" w:rsidP="00AC1DAA">
      <w:pPr>
        <w:spacing w:line="23" w:lineRule="atLeast"/>
        <w:ind w:left="567" w:firstLine="142"/>
        <w:jc w:val="both"/>
        <w:rPr>
          <w:rFonts w:asciiTheme="majorHAnsi" w:hAnsiTheme="majorHAnsi"/>
        </w:rPr>
      </w:pPr>
      <w:r w:rsidRPr="003E6B3B">
        <w:rPr>
          <w:rFonts w:asciiTheme="majorHAnsi" w:hAnsiTheme="majorHAnsi"/>
        </w:rPr>
        <w:t xml:space="preserve">This section describes the mathematical description of the Benders Decomposition Method for the case of feasible subproblems. This feasible subproblem is determined based on the initial Mixed Integer Linear Programming (MILP) model which is partitioned into linear/continuous (easy) and nonlinear/integer (difficult) parts. The initial MILP model in the form of minimization </w:t>
      </w:r>
      <w:r w:rsidRPr="003E6B3B">
        <w:rPr>
          <w:rFonts w:asciiTheme="majorHAnsi" w:hAnsiTheme="majorHAnsi"/>
          <w:noProof/>
          <w:position w:val="-10"/>
        </w:rPr>
        <w:object w:dxaOrig="740" w:dyaOrig="320" w14:anchorId="68DB011B">
          <v:shape id="_x0000_i1051" type="#_x0000_t75" style="width:36.75pt;height:15.75pt" o:ole="">
            <v:imagedata r:id="rId73" o:title=""/>
          </v:shape>
          <o:OLEObject Type="Embed" ProgID="Equation.DSMT4" ShapeID="_x0000_i1051" DrawAspect="Content" ObjectID="_1712658622" r:id="rId74"/>
        </w:object>
      </w:r>
      <w:r w:rsidRPr="003E6B3B">
        <w:rPr>
          <w:rFonts w:asciiTheme="majorHAnsi" w:hAnsiTheme="majorHAnsi"/>
        </w:rPr>
        <w:t xml:space="preserve"> for example as follows</w:t>
      </w:r>
      <w:r w:rsidR="00DC7269" w:rsidRPr="003E6B3B">
        <w:rPr>
          <w:rFonts w:asciiTheme="majorHAnsi" w:hAnsiTheme="majorHAnsi"/>
        </w:rPr>
        <w:t xml:space="preserve"> </w:t>
      </w:r>
      <w:r w:rsidR="00DC7269" w:rsidRPr="003E6B3B">
        <w:rPr>
          <w:rStyle w:val="longtext"/>
          <w:rFonts w:asciiTheme="majorHAnsi" w:hAnsiTheme="majorHAnsi"/>
          <w:shd w:val="clear" w:color="auto" w:fill="FFFFFF"/>
        </w:rPr>
        <w:fldChar w:fldCharType="begin" w:fldLock="1"/>
      </w:r>
      <w:r w:rsidR="00AF47A1" w:rsidRPr="003E6B3B">
        <w:rPr>
          <w:rStyle w:val="longtext"/>
          <w:rFonts w:asciiTheme="majorHAnsi" w:hAnsiTheme="majorHAnsi"/>
          <w:shd w:val="clear" w:color="auto" w:fill="FFFFFF"/>
        </w:rPr>
        <w:instrText>ADDIN CSL_CITATION {"citationItems":[{"id":"ITEM-1","itemData":{"DOI":"10.3390/en14206503","ISSN":"19961073","abstract":"The paper presents the Generalized Benders Decomposition (GBD) method, which is now one of the basic approaches to solve big mixed-integer nonlinear optimization problems. It concentrates on the basic formulation with convex objectives and constraints functions. Apart from the classical projection and representation theorems, a unified formulation of the master problem with nonlinear and linear cuts will be given. For the latter case the most effective and, at the same time, easy to implement computational algorithms will be pointed out. © 2021 by the author. Licensee MDPI, Basel, Switzerland.","author":[{"dropping-particle":"","family":"Karbowski","given":"A","non-dropping-particle":"","parse-names":false,"suffix":""}],"container-title":"Energies","id":"ITEM-1","issue":"20","issued":{"date-parts":[["2021"]]},"note":"cited By 0","publisher":"MDPI","title":"Generalized benders decomposition method to solve big mixed-integer nonlinear optimization problems with convex objective and constraints functions","type":"article-journal","volume":"14"},"uris":["http://www.mendeley.com/documents/?uuid=6a66f2c4-1a87-4b4b-9200-24f4b01acdaf"]}],"mendeley":{"formattedCitation":"(Karbowski, 2021)","plainTextFormattedCitation":"(Karbowski, 2021)","previouslyFormattedCitation":"(Karbowski, 2021)"},"properties":{"noteIndex":0},"schema":"https://github.com/citation-style-language/schema/raw/master/csl-citation.json"}</w:instrText>
      </w:r>
      <w:r w:rsidR="00DC7269" w:rsidRPr="003E6B3B">
        <w:rPr>
          <w:rStyle w:val="longtext"/>
          <w:rFonts w:asciiTheme="majorHAnsi" w:hAnsiTheme="majorHAnsi"/>
          <w:shd w:val="clear" w:color="auto" w:fill="FFFFFF"/>
        </w:rPr>
        <w:fldChar w:fldCharType="separate"/>
      </w:r>
      <w:r w:rsidR="00DC7269" w:rsidRPr="003E6B3B">
        <w:rPr>
          <w:rStyle w:val="longtext"/>
          <w:rFonts w:asciiTheme="majorHAnsi" w:hAnsiTheme="majorHAnsi"/>
          <w:noProof/>
          <w:shd w:val="clear" w:color="auto" w:fill="FFFFFF"/>
        </w:rPr>
        <w:t>(Karbowski, 2021)</w:t>
      </w:r>
      <w:r w:rsidR="00DC7269" w:rsidRPr="003E6B3B">
        <w:rPr>
          <w:rStyle w:val="longtext"/>
          <w:rFonts w:asciiTheme="majorHAnsi" w:hAnsiTheme="majorHAnsi"/>
          <w:shd w:val="clear" w:color="auto" w:fill="FFFFFF"/>
        </w:rPr>
        <w:fldChar w:fldCharType="end"/>
      </w:r>
      <w:r w:rsidRPr="003E6B3B">
        <w:rPr>
          <w:rFonts w:asciiTheme="majorHAnsi" w:hAnsiTheme="majorHAnsi"/>
        </w:rPr>
        <w:t xml:space="preserve">:  </w:t>
      </w:r>
    </w:p>
    <w:p w14:paraId="3B975620" w14:textId="5FCC4D32" w:rsidR="005D033B" w:rsidRPr="003E6B3B" w:rsidRDefault="005D033B" w:rsidP="00AC1DAA">
      <w:pPr>
        <w:pStyle w:val="MTDisplayEquation"/>
        <w:spacing w:after="0" w:line="23" w:lineRule="atLeast"/>
        <w:ind w:left="567" w:firstLine="142"/>
        <w:jc w:val="both"/>
        <w:rPr>
          <w:rFonts w:asciiTheme="majorHAnsi" w:hAnsiTheme="majorHAnsi"/>
          <w:sz w:val="24"/>
          <w:szCs w:val="24"/>
        </w:rPr>
      </w:pPr>
      <w:r w:rsidRPr="003E6B3B">
        <w:rPr>
          <w:rFonts w:asciiTheme="majorHAnsi" w:hAnsiTheme="majorHAnsi"/>
          <w:sz w:val="24"/>
          <w:szCs w:val="24"/>
        </w:rPr>
        <w:tab/>
      </w:r>
      <w:r w:rsidRPr="003E6B3B">
        <w:rPr>
          <w:rFonts w:asciiTheme="majorHAnsi" w:hAnsiTheme="majorHAnsi"/>
          <w:noProof/>
          <w:position w:val="-66"/>
          <w:sz w:val="24"/>
          <w:szCs w:val="24"/>
        </w:rPr>
        <w:object w:dxaOrig="2460" w:dyaOrig="1440" w14:anchorId="34C64E0A">
          <v:shape id="_x0000_i1052" type="#_x0000_t75" style="width:123.75pt;height:1in" o:ole="">
            <v:imagedata r:id="rId75" o:title=""/>
          </v:shape>
          <o:OLEObject Type="Embed" ProgID="Equation.DSMT4" ShapeID="_x0000_i1052" DrawAspect="Content" ObjectID="_1712658623" r:id="rId76"/>
        </w:object>
      </w:r>
      <w:r w:rsidRPr="003E6B3B">
        <w:rPr>
          <w:rFonts w:asciiTheme="majorHAnsi" w:hAnsiTheme="majorHAnsi"/>
          <w:sz w:val="24"/>
          <w:szCs w:val="24"/>
        </w:rPr>
        <w:tab/>
      </w:r>
      <w:r w:rsidRPr="003E6B3B">
        <w:rPr>
          <w:rFonts w:asciiTheme="majorHAnsi" w:hAnsiTheme="majorHAnsi"/>
          <w:sz w:val="24"/>
          <w:szCs w:val="24"/>
        </w:rPr>
        <w:fldChar w:fldCharType="begin"/>
      </w:r>
      <w:r w:rsidRPr="003E6B3B">
        <w:rPr>
          <w:rFonts w:asciiTheme="majorHAnsi" w:hAnsiTheme="majorHAnsi"/>
          <w:sz w:val="24"/>
          <w:szCs w:val="24"/>
        </w:rPr>
        <w:instrText xml:space="preserve"> MACROBUTTON MTPlaceRef \* MERGEFORMAT </w:instrText>
      </w:r>
      <w:r w:rsidRPr="003E6B3B">
        <w:rPr>
          <w:rFonts w:asciiTheme="majorHAnsi" w:hAnsiTheme="majorHAnsi"/>
          <w:sz w:val="24"/>
          <w:szCs w:val="24"/>
        </w:rPr>
        <w:fldChar w:fldCharType="begin"/>
      </w:r>
      <w:r w:rsidRPr="003E6B3B">
        <w:rPr>
          <w:rFonts w:asciiTheme="majorHAnsi" w:hAnsiTheme="majorHAnsi"/>
          <w:sz w:val="24"/>
          <w:szCs w:val="24"/>
        </w:rPr>
        <w:instrText xml:space="preserve"> SEQ MTEqn \h \* MERGEFORMAT </w:instrText>
      </w:r>
      <w:r w:rsidRPr="003E6B3B">
        <w:rPr>
          <w:rFonts w:asciiTheme="majorHAnsi" w:hAnsiTheme="majorHAnsi"/>
          <w:sz w:val="24"/>
          <w:szCs w:val="24"/>
        </w:rPr>
        <w:fldChar w:fldCharType="end"/>
      </w:r>
      <w:r w:rsidRPr="003E6B3B">
        <w:rPr>
          <w:rFonts w:asciiTheme="majorHAnsi" w:hAnsiTheme="majorHAnsi"/>
          <w:sz w:val="24"/>
          <w:szCs w:val="24"/>
        </w:rPr>
        <w:instrText>(</w:instrText>
      </w:r>
      <w:r w:rsidRPr="003E6B3B">
        <w:rPr>
          <w:rFonts w:asciiTheme="majorHAnsi" w:hAnsiTheme="majorHAnsi"/>
          <w:sz w:val="24"/>
          <w:szCs w:val="24"/>
        </w:rPr>
        <w:fldChar w:fldCharType="begin"/>
      </w:r>
      <w:r w:rsidRPr="003E6B3B">
        <w:rPr>
          <w:rFonts w:asciiTheme="majorHAnsi" w:hAnsiTheme="majorHAnsi"/>
          <w:sz w:val="24"/>
          <w:szCs w:val="24"/>
        </w:rPr>
        <w:instrText xml:space="preserve"> SEQ MTEqn \c \* Arabic \* MERGEFORMAT </w:instrText>
      </w:r>
      <w:r w:rsidRPr="003E6B3B">
        <w:rPr>
          <w:rFonts w:asciiTheme="majorHAnsi" w:hAnsiTheme="majorHAnsi"/>
          <w:sz w:val="24"/>
          <w:szCs w:val="24"/>
        </w:rPr>
        <w:fldChar w:fldCharType="separate"/>
      </w:r>
      <w:r w:rsidRPr="003E6B3B">
        <w:rPr>
          <w:rFonts w:asciiTheme="majorHAnsi" w:hAnsiTheme="majorHAnsi"/>
          <w:noProof/>
          <w:sz w:val="24"/>
          <w:szCs w:val="24"/>
        </w:rPr>
        <w:instrText>5</w:instrText>
      </w:r>
      <w:r w:rsidRPr="003E6B3B">
        <w:rPr>
          <w:rFonts w:asciiTheme="majorHAnsi" w:hAnsiTheme="majorHAnsi"/>
          <w:sz w:val="24"/>
          <w:szCs w:val="24"/>
        </w:rPr>
        <w:fldChar w:fldCharType="end"/>
      </w:r>
      <w:r w:rsidRPr="003E6B3B">
        <w:rPr>
          <w:rFonts w:asciiTheme="majorHAnsi" w:hAnsiTheme="majorHAnsi"/>
          <w:sz w:val="24"/>
          <w:szCs w:val="24"/>
        </w:rPr>
        <w:instrText>)</w:instrText>
      </w:r>
      <w:r w:rsidRPr="003E6B3B">
        <w:rPr>
          <w:rFonts w:asciiTheme="majorHAnsi" w:hAnsiTheme="majorHAnsi"/>
          <w:sz w:val="24"/>
          <w:szCs w:val="24"/>
        </w:rPr>
        <w:fldChar w:fldCharType="end"/>
      </w:r>
    </w:p>
    <w:p w14:paraId="37CFDFA5" w14:textId="77777777" w:rsidR="005D033B" w:rsidRPr="003E6B3B" w:rsidRDefault="005D033B" w:rsidP="00AC1DAA">
      <w:pPr>
        <w:spacing w:line="23" w:lineRule="atLeast"/>
        <w:ind w:left="567"/>
        <w:jc w:val="both"/>
        <w:rPr>
          <w:rFonts w:asciiTheme="majorHAnsi" w:hAnsiTheme="majorHAnsi"/>
        </w:rPr>
      </w:pPr>
      <w:r w:rsidRPr="003E6B3B">
        <w:rPr>
          <w:rFonts w:asciiTheme="majorHAnsi" w:hAnsiTheme="majorHAnsi"/>
        </w:rPr>
        <w:t xml:space="preserve">with </w:t>
      </w:r>
      <w:r w:rsidRPr="003E6B3B">
        <w:rPr>
          <w:rFonts w:asciiTheme="majorHAnsi" w:hAnsiTheme="majorHAnsi"/>
          <w:noProof/>
          <w:position w:val="-10"/>
        </w:rPr>
        <w:object w:dxaOrig="3100" w:dyaOrig="360" w14:anchorId="36AC9852">
          <v:shape id="_x0000_i1053" type="#_x0000_t75" style="width:153pt;height:18.75pt" o:ole="">
            <v:imagedata r:id="rId77" o:title=""/>
          </v:shape>
          <o:OLEObject Type="Embed" ProgID="Equation.DSMT4" ShapeID="_x0000_i1053" DrawAspect="Content" ObjectID="_1712658624" r:id="rId78"/>
        </w:object>
      </w:r>
      <w:r w:rsidRPr="003E6B3B">
        <w:rPr>
          <w:rFonts w:asciiTheme="majorHAnsi" w:hAnsiTheme="majorHAnsi"/>
          <w:noProof/>
        </w:rPr>
        <w:t>,</w:t>
      </w:r>
      <w:r w:rsidRPr="003E6B3B">
        <w:rPr>
          <w:rFonts w:asciiTheme="majorHAnsi" w:hAnsiTheme="majorHAnsi"/>
        </w:rPr>
        <w:t xml:space="preserve"> and </w:t>
      </w:r>
      <w:r w:rsidRPr="003E6B3B">
        <w:rPr>
          <w:rFonts w:asciiTheme="majorHAnsi" w:hAnsiTheme="majorHAnsi"/>
          <w:noProof/>
          <w:position w:val="-10"/>
        </w:rPr>
        <w:object w:dxaOrig="1200" w:dyaOrig="360" w14:anchorId="165C4E98">
          <v:shape id="_x0000_i1054" type="#_x0000_t75" style="width:60.75pt;height:18.75pt" o:ole="">
            <v:imagedata r:id="rId79" o:title=""/>
          </v:shape>
          <o:OLEObject Type="Embed" ProgID="Equation.DSMT4" ShapeID="_x0000_i1054" DrawAspect="Content" ObjectID="_1712658625" r:id="rId80"/>
        </w:object>
      </w:r>
      <w:r w:rsidRPr="003E6B3B">
        <w:rPr>
          <w:rFonts w:asciiTheme="majorHAnsi" w:hAnsiTheme="majorHAnsi"/>
        </w:rPr>
        <w:t xml:space="preserve"> In early models (5), </w:t>
      </w:r>
      <w:r w:rsidRPr="003E6B3B">
        <w:rPr>
          <w:rFonts w:asciiTheme="majorHAnsi" w:hAnsiTheme="majorHAnsi"/>
          <w:noProof/>
          <w:position w:val="-10"/>
        </w:rPr>
        <w:object w:dxaOrig="540" w:dyaOrig="320" w14:anchorId="6E3FD7A9">
          <v:shape id="_x0000_i1055" type="#_x0000_t75" style="width:29.25pt;height:15.75pt" o:ole="">
            <v:imagedata r:id="rId81" o:title=""/>
          </v:shape>
          <o:OLEObject Type="Embed" ProgID="Equation.DSMT4" ShapeID="_x0000_i1055" DrawAspect="Content" ObjectID="_1712658626" r:id="rId82"/>
        </w:object>
      </w:r>
      <w:r w:rsidRPr="003E6B3B">
        <w:rPr>
          <w:rFonts w:asciiTheme="majorHAnsi" w:hAnsiTheme="majorHAnsi"/>
        </w:rPr>
        <w:t xml:space="preserve"> and </w:t>
      </w:r>
      <w:r w:rsidRPr="003E6B3B">
        <w:rPr>
          <w:rFonts w:asciiTheme="majorHAnsi" w:hAnsiTheme="majorHAnsi"/>
          <w:noProof/>
          <w:position w:val="-10"/>
        </w:rPr>
        <w:object w:dxaOrig="560" w:dyaOrig="320" w14:anchorId="22416250">
          <v:shape id="_x0000_i1056" type="#_x0000_t75" style="width:29.25pt;height:15.75pt" o:ole="">
            <v:imagedata r:id="rId83" o:title=""/>
          </v:shape>
          <o:OLEObject Type="Embed" ProgID="Equation.DSMT4" ShapeID="_x0000_i1056" DrawAspect="Content" ObjectID="_1712658627" r:id="rId84"/>
        </w:object>
      </w:r>
      <w:r w:rsidRPr="003E6B3B">
        <w:rPr>
          <w:rFonts w:asciiTheme="majorHAnsi" w:hAnsiTheme="majorHAnsi"/>
        </w:rPr>
        <w:t xml:space="preserve"> may be nonlinear/integer (the hard part), whereas </w:t>
      </w:r>
      <w:r w:rsidRPr="003E6B3B">
        <w:rPr>
          <w:rFonts w:asciiTheme="majorHAnsi" w:hAnsiTheme="majorHAnsi"/>
          <w:noProof/>
          <w:position w:val="-4"/>
        </w:rPr>
        <w:object w:dxaOrig="220" w:dyaOrig="260" w14:anchorId="41654A8A">
          <v:shape id="_x0000_i1057" type="#_x0000_t75" style="width:9.75pt;height:14.25pt" o:ole="">
            <v:imagedata r:id="rId85" o:title=""/>
          </v:shape>
          <o:OLEObject Type="Embed" ProgID="Equation.DSMT4" ShapeID="_x0000_i1057" DrawAspect="Content" ObjectID="_1712658628" r:id="rId86"/>
        </w:object>
      </w:r>
      <w:r w:rsidRPr="003E6B3B">
        <w:rPr>
          <w:rFonts w:asciiTheme="majorHAnsi" w:hAnsiTheme="majorHAnsi"/>
        </w:rPr>
        <w:t xml:space="preserve"> may be discrete/continuous (the easy part). Based on (5), it can be seen that for each definite value </w:t>
      </w:r>
      <w:r w:rsidRPr="003E6B3B">
        <w:rPr>
          <w:rFonts w:asciiTheme="majorHAnsi" w:hAnsiTheme="majorHAnsi"/>
          <w:noProof/>
          <w:position w:val="-10"/>
        </w:rPr>
        <w:object w:dxaOrig="580" w:dyaOrig="320" w14:anchorId="65E961CD">
          <v:shape id="_x0000_i1058" type="#_x0000_t75" style="width:29.25pt;height:15.75pt" o:ole="">
            <v:imagedata r:id="rId87" o:title=""/>
          </v:shape>
          <o:OLEObject Type="Embed" ProgID="Equation.DSMT4" ShapeID="_x0000_i1058" DrawAspect="Content" ObjectID="_1712658629" r:id="rId88"/>
        </w:object>
      </w:r>
      <w:r w:rsidRPr="003E6B3B">
        <w:rPr>
          <w:rFonts w:asciiTheme="majorHAnsi" w:hAnsiTheme="majorHAnsi"/>
        </w:rPr>
        <w:t xml:space="preserve">, problem (5) into linear programming with decision variables </w:t>
      </w:r>
      <w:r w:rsidRPr="003E6B3B">
        <w:rPr>
          <w:rFonts w:asciiTheme="majorHAnsi" w:hAnsiTheme="majorHAnsi"/>
          <w:noProof/>
          <w:position w:val="-4"/>
        </w:rPr>
        <w:object w:dxaOrig="200" w:dyaOrig="200" w14:anchorId="4559F53A">
          <v:shape id="_x0000_i1059" type="#_x0000_t75" style="width:8.25pt;height:8.25pt" o:ole="">
            <v:imagedata r:id="rId89" o:title=""/>
          </v:shape>
          <o:OLEObject Type="Embed" ProgID="Equation.DSMT4" ShapeID="_x0000_i1059" DrawAspect="Content" ObjectID="_1712658630" r:id="rId90"/>
        </w:object>
      </w:r>
      <w:r w:rsidRPr="003E6B3B">
        <w:rPr>
          <w:rFonts w:asciiTheme="majorHAnsi" w:hAnsiTheme="majorHAnsi"/>
        </w:rPr>
        <w:t xml:space="preserve"> which can be represented mathematically as </w:t>
      </w:r>
      <w:r w:rsidRPr="003E6B3B">
        <w:rPr>
          <w:rFonts w:asciiTheme="majorHAnsi" w:hAnsiTheme="majorHAnsi"/>
          <w:noProof/>
          <w:position w:val="-10"/>
        </w:rPr>
        <w:object w:dxaOrig="840" w:dyaOrig="320" w14:anchorId="2721804C">
          <v:shape id="_x0000_i1060" type="#_x0000_t75" style="width:42pt;height:15.75pt" o:ole="">
            <v:imagedata r:id="rId91" o:title=""/>
          </v:shape>
          <o:OLEObject Type="Embed" ProgID="Equation.DSMT4" ShapeID="_x0000_i1060" DrawAspect="Content" ObjectID="_1712658631" r:id="rId92"/>
        </w:object>
      </w:r>
      <w:r w:rsidRPr="003E6B3B">
        <w:rPr>
          <w:rFonts w:asciiTheme="majorHAnsi" w:hAnsiTheme="majorHAnsi"/>
        </w:rPr>
        <w:t xml:space="preserve"> Furthermore, it is assumed that </w:t>
      </w:r>
      <w:r w:rsidRPr="003E6B3B">
        <w:rPr>
          <w:rFonts w:asciiTheme="majorHAnsi" w:hAnsiTheme="majorHAnsi"/>
          <w:noProof/>
          <w:position w:val="-10"/>
        </w:rPr>
        <w:object w:dxaOrig="800" w:dyaOrig="320" w14:anchorId="4B43AF5D">
          <v:shape id="_x0000_i1061" type="#_x0000_t75" style="width:41.25pt;height:15.75pt" o:ole="">
            <v:imagedata r:id="rId93" o:title=""/>
          </v:shape>
          <o:OLEObject Type="Embed" ProgID="Equation.DSMT4" ShapeID="_x0000_i1061" DrawAspect="Content" ObjectID="_1712658632" r:id="rId94"/>
        </w:object>
      </w:r>
      <w:r w:rsidRPr="003E6B3B">
        <w:rPr>
          <w:rFonts w:asciiTheme="majorHAnsi" w:hAnsiTheme="majorHAnsi"/>
        </w:rPr>
        <w:t xml:space="preserve"> has a finite optimal solution</w:t>
      </w:r>
      <w:r w:rsidRPr="003E6B3B">
        <w:rPr>
          <w:rFonts w:asciiTheme="majorHAnsi" w:hAnsiTheme="majorHAnsi"/>
          <w:noProof/>
        </w:rPr>
        <w:t xml:space="preserve"> </w:t>
      </w:r>
      <w:r w:rsidRPr="003E6B3B">
        <w:rPr>
          <w:rFonts w:asciiTheme="majorHAnsi" w:hAnsiTheme="majorHAnsi"/>
          <w:noProof/>
          <w:position w:val="-4"/>
        </w:rPr>
        <w:object w:dxaOrig="200" w:dyaOrig="200" w14:anchorId="7EAB4EC2">
          <v:shape id="_x0000_i1062" type="#_x0000_t75" style="width:8.25pt;height:8.25pt" o:ole="">
            <v:imagedata r:id="rId95" o:title=""/>
          </v:shape>
          <o:OLEObject Type="Embed" ProgID="Equation.DSMT4" ShapeID="_x0000_i1062" DrawAspect="Content" ObjectID="_1712658633" r:id="rId96"/>
        </w:object>
      </w:r>
      <w:r w:rsidRPr="003E6B3B">
        <w:rPr>
          <w:rFonts w:asciiTheme="majorHAnsi" w:hAnsiTheme="majorHAnsi"/>
        </w:rPr>
        <w:t xml:space="preserve"> for all </w:t>
      </w:r>
      <w:r w:rsidRPr="003E6B3B">
        <w:rPr>
          <w:rFonts w:asciiTheme="majorHAnsi" w:hAnsiTheme="majorHAnsi"/>
          <w:noProof/>
          <w:position w:val="-10"/>
        </w:rPr>
        <w:object w:dxaOrig="620" w:dyaOrig="320" w14:anchorId="0CF96FBA">
          <v:shape id="_x0000_i1063" type="#_x0000_t75" style="width:30.75pt;height:15.75pt" o:ole="">
            <v:imagedata r:id="rId97" o:title=""/>
          </v:shape>
          <o:OLEObject Type="Embed" ProgID="Equation.DSMT4" ShapeID="_x0000_i1063" DrawAspect="Content" ObjectID="_1712658634" r:id="rId98"/>
        </w:object>
      </w:r>
      <w:r w:rsidRPr="003E6B3B">
        <w:rPr>
          <w:rFonts w:asciiTheme="majorHAnsi" w:hAnsiTheme="majorHAnsi"/>
        </w:rPr>
        <w:t xml:space="preserve"> This assumption can be used even though in its application, this assumption can already be obtained by modifying it </w:t>
      </w:r>
      <w:r w:rsidRPr="003E6B3B">
        <w:rPr>
          <w:rFonts w:asciiTheme="majorHAnsi" w:hAnsiTheme="majorHAnsi"/>
          <w:noProof/>
          <w:position w:val="-4"/>
        </w:rPr>
        <w:object w:dxaOrig="220" w:dyaOrig="260" w14:anchorId="583FE0CD">
          <v:shape id="_x0000_i1064" type="#_x0000_t75" style="width:9.75pt;height:14.25pt" o:ole="">
            <v:imagedata r:id="rId99" o:title=""/>
          </v:shape>
          <o:OLEObject Type="Embed" ProgID="Equation.DSMT4" ShapeID="_x0000_i1064" DrawAspect="Content" ObjectID="_1712658635" r:id="rId100"/>
        </w:object>
      </w:r>
      <w:r w:rsidRPr="003E6B3B">
        <w:rPr>
          <w:rFonts w:asciiTheme="majorHAnsi" w:hAnsiTheme="majorHAnsi"/>
        </w:rPr>
        <w:t>, so the assumption</w:t>
      </w:r>
      <w:r w:rsidRPr="003E6B3B">
        <w:rPr>
          <w:rFonts w:asciiTheme="majorHAnsi" w:hAnsiTheme="majorHAnsi"/>
          <w:noProof/>
        </w:rPr>
        <w:t xml:space="preserve"> </w:t>
      </w:r>
      <w:r w:rsidRPr="003E6B3B">
        <w:rPr>
          <w:rFonts w:asciiTheme="majorHAnsi" w:hAnsiTheme="majorHAnsi"/>
          <w:noProof/>
          <w:position w:val="-10"/>
        </w:rPr>
        <w:object w:dxaOrig="800" w:dyaOrig="320" w14:anchorId="259FF516">
          <v:shape id="_x0000_i1065" type="#_x0000_t75" style="width:41.25pt;height:15.75pt" o:ole="">
            <v:imagedata r:id="rId101" o:title=""/>
          </v:shape>
          <o:OLEObject Type="Embed" ProgID="Equation.DSMT4" ShapeID="_x0000_i1065" DrawAspect="Content" ObjectID="_1712658636" r:id="rId102"/>
        </w:object>
      </w:r>
      <w:r w:rsidRPr="003E6B3B">
        <w:rPr>
          <w:rFonts w:asciiTheme="majorHAnsi" w:hAnsiTheme="majorHAnsi"/>
        </w:rPr>
        <w:t xml:space="preserve"> fulfilled.</w:t>
      </w:r>
    </w:p>
    <w:p w14:paraId="3CC38480" w14:textId="77777777" w:rsidR="005D033B" w:rsidRPr="003E6B3B" w:rsidRDefault="005D033B" w:rsidP="00AC1DAA">
      <w:pPr>
        <w:spacing w:line="23" w:lineRule="atLeast"/>
        <w:ind w:left="567" w:firstLine="142"/>
        <w:jc w:val="both"/>
        <w:rPr>
          <w:rFonts w:asciiTheme="majorHAnsi" w:hAnsiTheme="majorHAnsi"/>
        </w:rPr>
      </w:pPr>
      <w:r w:rsidRPr="003E6B3B">
        <w:rPr>
          <w:rFonts w:asciiTheme="majorHAnsi" w:hAnsiTheme="majorHAnsi"/>
        </w:rPr>
        <w:lastRenderedPageBreak/>
        <w:t xml:space="preserve">Furthermore, problem (5) can be rewritten in the form of a "nested minimization statement" or </w:t>
      </w:r>
      <w:r w:rsidRPr="003E6B3B">
        <w:rPr>
          <w:rFonts w:asciiTheme="majorHAnsi" w:hAnsiTheme="majorHAnsi"/>
          <w:noProof/>
          <w:position w:val="-12"/>
        </w:rPr>
        <w:object w:dxaOrig="780" w:dyaOrig="360" w14:anchorId="048A13F4">
          <v:shape id="_x0000_i1066" type="#_x0000_t75" style="width:37.5pt;height:18.75pt" o:ole="">
            <v:imagedata r:id="rId103" o:title=""/>
          </v:shape>
          <o:OLEObject Type="Embed" ProgID="Equation.DSMT4" ShapeID="_x0000_i1066" DrawAspect="Content" ObjectID="_1712658637" r:id="rId104"/>
        </w:object>
      </w:r>
      <w:r w:rsidRPr="003E6B3B">
        <w:rPr>
          <w:rFonts w:asciiTheme="majorHAnsi" w:hAnsiTheme="majorHAnsi"/>
        </w:rPr>
        <w:t xml:space="preserve"> which is equivalent to the following:</w:t>
      </w:r>
    </w:p>
    <w:p w14:paraId="33BEE7E2" w14:textId="17781EC9" w:rsidR="005D033B" w:rsidRPr="003E6B3B" w:rsidRDefault="005D033B" w:rsidP="00AC1DAA">
      <w:pPr>
        <w:pStyle w:val="MTDisplayEquation"/>
        <w:spacing w:after="0" w:line="23" w:lineRule="atLeast"/>
        <w:ind w:left="567" w:firstLine="142"/>
        <w:jc w:val="both"/>
        <w:rPr>
          <w:rFonts w:asciiTheme="majorHAnsi" w:hAnsiTheme="majorHAnsi"/>
          <w:sz w:val="24"/>
          <w:szCs w:val="24"/>
        </w:rPr>
      </w:pPr>
      <w:r w:rsidRPr="003E6B3B">
        <w:rPr>
          <w:rFonts w:asciiTheme="majorHAnsi" w:hAnsiTheme="majorHAnsi"/>
          <w:sz w:val="24"/>
          <w:szCs w:val="24"/>
        </w:rPr>
        <w:tab/>
      </w:r>
      <w:r w:rsidRPr="003E6B3B">
        <w:rPr>
          <w:rFonts w:asciiTheme="majorHAnsi" w:hAnsiTheme="majorHAnsi"/>
          <w:noProof/>
          <w:position w:val="-22"/>
          <w:sz w:val="24"/>
          <w:szCs w:val="24"/>
        </w:rPr>
        <w:object w:dxaOrig="5280" w:dyaOrig="480" w14:anchorId="402C2BA4">
          <v:shape id="_x0000_i1067" type="#_x0000_t75" style="width:263.25pt;height:23.25pt" o:ole="">
            <v:imagedata r:id="rId105" o:title=""/>
          </v:shape>
          <o:OLEObject Type="Embed" ProgID="Equation.DSMT4" ShapeID="_x0000_i1067" DrawAspect="Content" ObjectID="_1712658638" r:id="rId106"/>
        </w:object>
      </w:r>
      <w:r w:rsidRPr="003E6B3B">
        <w:rPr>
          <w:rFonts w:asciiTheme="majorHAnsi" w:hAnsiTheme="majorHAnsi"/>
          <w:noProof/>
          <w:sz w:val="24"/>
          <w:szCs w:val="24"/>
        </w:rPr>
        <w:tab/>
      </w:r>
      <w:r w:rsidRPr="003E6B3B">
        <w:rPr>
          <w:rFonts w:asciiTheme="majorHAnsi" w:hAnsiTheme="majorHAnsi"/>
          <w:sz w:val="24"/>
          <w:szCs w:val="24"/>
        </w:rPr>
        <w:fldChar w:fldCharType="begin"/>
      </w:r>
      <w:r w:rsidRPr="003E6B3B">
        <w:rPr>
          <w:rFonts w:asciiTheme="majorHAnsi" w:hAnsiTheme="majorHAnsi"/>
          <w:sz w:val="24"/>
          <w:szCs w:val="24"/>
        </w:rPr>
        <w:instrText xml:space="preserve"> MACROBUTTON MTPlaceRef \* MERGEFORMAT </w:instrText>
      </w:r>
      <w:r w:rsidRPr="003E6B3B">
        <w:rPr>
          <w:rFonts w:asciiTheme="majorHAnsi" w:hAnsiTheme="majorHAnsi"/>
          <w:sz w:val="24"/>
          <w:szCs w:val="24"/>
        </w:rPr>
        <w:fldChar w:fldCharType="begin"/>
      </w:r>
      <w:r w:rsidRPr="003E6B3B">
        <w:rPr>
          <w:rFonts w:asciiTheme="majorHAnsi" w:hAnsiTheme="majorHAnsi"/>
          <w:sz w:val="24"/>
          <w:szCs w:val="24"/>
        </w:rPr>
        <w:instrText xml:space="preserve"> SEQ MTEqn \h \* MERGEFORMAT </w:instrText>
      </w:r>
      <w:r w:rsidRPr="003E6B3B">
        <w:rPr>
          <w:rFonts w:asciiTheme="majorHAnsi" w:hAnsiTheme="majorHAnsi"/>
          <w:sz w:val="24"/>
          <w:szCs w:val="24"/>
        </w:rPr>
        <w:fldChar w:fldCharType="end"/>
      </w:r>
      <w:r w:rsidRPr="003E6B3B">
        <w:rPr>
          <w:rFonts w:asciiTheme="majorHAnsi" w:hAnsiTheme="majorHAnsi"/>
          <w:sz w:val="24"/>
          <w:szCs w:val="24"/>
        </w:rPr>
        <w:instrText>(</w:instrText>
      </w:r>
      <w:r w:rsidRPr="003E6B3B">
        <w:rPr>
          <w:rFonts w:asciiTheme="majorHAnsi" w:hAnsiTheme="majorHAnsi"/>
          <w:sz w:val="24"/>
          <w:szCs w:val="24"/>
        </w:rPr>
        <w:fldChar w:fldCharType="begin"/>
      </w:r>
      <w:r w:rsidRPr="003E6B3B">
        <w:rPr>
          <w:rFonts w:asciiTheme="majorHAnsi" w:hAnsiTheme="majorHAnsi"/>
          <w:sz w:val="24"/>
          <w:szCs w:val="24"/>
        </w:rPr>
        <w:instrText xml:space="preserve"> SEQ MTEqn \c \* Arabic \* MERGEFORMAT </w:instrText>
      </w:r>
      <w:r w:rsidRPr="003E6B3B">
        <w:rPr>
          <w:rFonts w:asciiTheme="majorHAnsi" w:hAnsiTheme="majorHAnsi"/>
          <w:sz w:val="24"/>
          <w:szCs w:val="24"/>
        </w:rPr>
        <w:fldChar w:fldCharType="separate"/>
      </w:r>
      <w:r w:rsidRPr="003E6B3B">
        <w:rPr>
          <w:rFonts w:asciiTheme="majorHAnsi" w:hAnsiTheme="majorHAnsi"/>
          <w:noProof/>
          <w:sz w:val="24"/>
          <w:szCs w:val="24"/>
        </w:rPr>
        <w:instrText>6</w:instrText>
      </w:r>
      <w:r w:rsidRPr="003E6B3B">
        <w:rPr>
          <w:rFonts w:asciiTheme="majorHAnsi" w:hAnsiTheme="majorHAnsi"/>
          <w:sz w:val="24"/>
          <w:szCs w:val="24"/>
        </w:rPr>
        <w:fldChar w:fldCharType="end"/>
      </w:r>
      <w:r w:rsidRPr="003E6B3B">
        <w:rPr>
          <w:rFonts w:asciiTheme="majorHAnsi" w:hAnsiTheme="majorHAnsi"/>
          <w:sz w:val="24"/>
          <w:szCs w:val="24"/>
        </w:rPr>
        <w:instrText>)</w:instrText>
      </w:r>
      <w:r w:rsidRPr="003E6B3B">
        <w:rPr>
          <w:rFonts w:asciiTheme="majorHAnsi" w:hAnsiTheme="majorHAnsi"/>
          <w:sz w:val="24"/>
          <w:szCs w:val="24"/>
        </w:rPr>
        <w:fldChar w:fldCharType="end"/>
      </w:r>
    </w:p>
    <w:p w14:paraId="3DD2AA95" w14:textId="77777777" w:rsidR="005D033B" w:rsidRPr="003E6B3B" w:rsidRDefault="005D033B" w:rsidP="00AC1DAA">
      <w:pPr>
        <w:spacing w:line="23" w:lineRule="atLeast"/>
        <w:ind w:left="567"/>
        <w:jc w:val="both"/>
        <w:rPr>
          <w:rFonts w:asciiTheme="majorHAnsi" w:hAnsiTheme="majorHAnsi"/>
        </w:rPr>
      </w:pPr>
      <w:r w:rsidRPr="003E6B3B">
        <w:rPr>
          <w:rFonts w:asciiTheme="majorHAnsi" w:hAnsiTheme="majorHAnsi"/>
        </w:rPr>
        <w:t xml:space="preserve">with </w:t>
      </w:r>
      <w:r w:rsidRPr="003E6B3B">
        <w:rPr>
          <w:rFonts w:asciiTheme="majorHAnsi" w:hAnsiTheme="majorHAnsi"/>
          <w:noProof/>
          <w:position w:val="-18"/>
        </w:rPr>
        <w:object w:dxaOrig="3000" w:dyaOrig="440" w14:anchorId="79930EA9">
          <v:shape id="_x0000_i1068" type="#_x0000_t75" style="width:150.75pt;height:22.5pt" o:ole="">
            <v:imagedata r:id="rId107" o:title=""/>
          </v:shape>
          <o:OLEObject Type="Embed" ProgID="Equation.DSMT4" ShapeID="_x0000_i1068" DrawAspect="Content" ObjectID="_1712658639" r:id="rId108"/>
        </w:object>
      </w:r>
      <w:r w:rsidRPr="003E6B3B">
        <w:rPr>
          <w:rFonts w:asciiTheme="majorHAnsi" w:hAnsiTheme="majorHAnsi"/>
        </w:rPr>
        <w:t xml:space="preserve"> is the </w:t>
      </w:r>
      <w:r w:rsidRPr="003E6B3B">
        <w:rPr>
          <w:rFonts w:asciiTheme="majorHAnsi" w:hAnsiTheme="majorHAnsi"/>
          <w:i/>
          <w:iCs/>
        </w:rPr>
        <w:t>Inner Optimization Problem</w:t>
      </w:r>
      <w:r w:rsidRPr="003E6B3B">
        <w:rPr>
          <w:rFonts w:asciiTheme="majorHAnsi" w:hAnsiTheme="majorHAnsi"/>
        </w:rPr>
        <w:t xml:space="preserve"> (IOP) from (6). Formulation (6) can be rewritten by substituting the dual formulation of IOP to get the next equivalent formulation, i.e. </w:t>
      </w:r>
      <w:r w:rsidRPr="003E6B3B">
        <w:rPr>
          <w:rFonts w:asciiTheme="majorHAnsi" w:hAnsiTheme="majorHAnsi"/>
          <w:noProof/>
          <w:position w:val="-12"/>
        </w:rPr>
        <w:object w:dxaOrig="800" w:dyaOrig="360" w14:anchorId="19A672AA">
          <v:shape id="_x0000_i1069" type="#_x0000_t75" style="width:41.25pt;height:18.75pt" o:ole="">
            <v:imagedata r:id="rId109" o:title=""/>
          </v:shape>
          <o:OLEObject Type="Embed" ProgID="Equation.DSMT4" ShapeID="_x0000_i1069" DrawAspect="Content" ObjectID="_1712658640" r:id="rId110"/>
        </w:object>
      </w:r>
      <w:r w:rsidRPr="003E6B3B">
        <w:rPr>
          <w:rFonts w:asciiTheme="majorHAnsi" w:hAnsiTheme="majorHAnsi"/>
        </w:rPr>
        <w:t xml:space="preserve"> as follows:</w:t>
      </w:r>
    </w:p>
    <w:p w14:paraId="55E6FC08" w14:textId="126A495E" w:rsidR="005D033B" w:rsidRPr="003E6B3B" w:rsidRDefault="00AC1DAA" w:rsidP="00AC1DAA">
      <w:pPr>
        <w:pStyle w:val="MTDisplayEquation"/>
        <w:spacing w:after="0" w:line="23" w:lineRule="atLeast"/>
        <w:ind w:left="567" w:firstLine="142"/>
        <w:jc w:val="both"/>
        <w:rPr>
          <w:rFonts w:asciiTheme="majorHAnsi" w:hAnsiTheme="majorHAnsi"/>
          <w:sz w:val="24"/>
          <w:szCs w:val="24"/>
        </w:rPr>
      </w:pPr>
      <w:r w:rsidRPr="003E6B3B">
        <w:rPr>
          <w:rFonts w:asciiTheme="majorHAnsi" w:hAnsiTheme="majorHAnsi"/>
          <w:noProof/>
          <w:sz w:val="24"/>
          <w:szCs w:val="24"/>
        </w:rPr>
        <w:tab/>
      </w:r>
      <w:r w:rsidR="005D033B" w:rsidRPr="003E6B3B">
        <w:rPr>
          <w:rFonts w:asciiTheme="majorHAnsi" w:hAnsiTheme="majorHAnsi"/>
          <w:noProof/>
          <w:position w:val="-22"/>
          <w:sz w:val="24"/>
          <w:szCs w:val="24"/>
        </w:rPr>
        <w:object w:dxaOrig="5080" w:dyaOrig="480" w14:anchorId="2189B49C">
          <v:shape id="_x0000_i1070" type="#_x0000_t75" style="width:257.25pt;height:23.25pt" o:ole="">
            <v:imagedata r:id="rId111" o:title=""/>
          </v:shape>
          <o:OLEObject Type="Embed" ProgID="Equation.DSMT4" ShapeID="_x0000_i1070" DrawAspect="Content" ObjectID="_1712658641" r:id="rId112"/>
        </w:object>
      </w:r>
      <w:r w:rsidR="005D033B" w:rsidRPr="003E6B3B">
        <w:rPr>
          <w:rFonts w:asciiTheme="majorHAnsi" w:hAnsiTheme="majorHAnsi"/>
          <w:sz w:val="24"/>
          <w:szCs w:val="24"/>
        </w:rPr>
        <w:tab/>
      </w:r>
      <w:r w:rsidR="005D033B" w:rsidRPr="003E6B3B">
        <w:rPr>
          <w:rFonts w:asciiTheme="majorHAnsi" w:hAnsiTheme="majorHAnsi"/>
          <w:sz w:val="24"/>
          <w:szCs w:val="24"/>
        </w:rPr>
        <w:fldChar w:fldCharType="begin"/>
      </w:r>
      <w:r w:rsidR="005D033B" w:rsidRPr="003E6B3B">
        <w:rPr>
          <w:rFonts w:asciiTheme="majorHAnsi" w:hAnsiTheme="majorHAnsi"/>
          <w:sz w:val="24"/>
          <w:szCs w:val="24"/>
        </w:rPr>
        <w:instrText xml:space="preserve"> MACROBUTTON MTPlaceRef \* MERGEFORMAT </w:instrText>
      </w:r>
      <w:r w:rsidR="005D033B" w:rsidRPr="003E6B3B">
        <w:rPr>
          <w:rFonts w:asciiTheme="majorHAnsi" w:hAnsiTheme="majorHAnsi"/>
          <w:sz w:val="24"/>
          <w:szCs w:val="24"/>
        </w:rPr>
        <w:fldChar w:fldCharType="begin"/>
      </w:r>
      <w:r w:rsidR="005D033B" w:rsidRPr="003E6B3B">
        <w:rPr>
          <w:rFonts w:asciiTheme="majorHAnsi" w:hAnsiTheme="majorHAnsi"/>
          <w:sz w:val="24"/>
          <w:szCs w:val="24"/>
        </w:rPr>
        <w:instrText xml:space="preserve"> SEQ MTEqn \h \* MERGEFORMAT </w:instrText>
      </w:r>
      <w:r w:rsidR="005D033B" w:rsidRPr="003E6B3B">
        <w:rPr>
          <w:rFonts w:asciiTheme="majorHAnsi" w:hAnsiTheme="majorHAnsi"/>
          <w:sz w:val="24"/>
          <w:szCs w:val="24"/>
        </w:rPr>
        <w:fldChar w:fldCharType="end"/>
      </w:r>
      <w:r w:rsidR="005D033B" w:rsidRPr="003E6B3B">
        <w:rPr>
          <w:rFonts w:asciiTheme="majorHAnsi" w:hAnsiTheme="majorHAnsi"/>
          <w:sz w:val="24"/>
          <w:szCs w:val="24"/>
        </w:rPr>
        <w:instrText>(</w:instrText>
      </w:r>
      <w:r w:rsidR="005D033B" w:rsidRPr="003E6B3B">
        <w:rPr>
          <w:rFonts w:asciiTheme="majorHAnsi" w:hAnsiTheme="majorHAnsi"/>
          <w:sz w:val="24"/>
          <w:szCs w:val="24"/>
        </w:rPr>
        <w:fldChar w:fldCharType="begin"/>
      </w:r>
      <w:r w:rsidR="005D033B" w:rsidRPr="003E6B3B">
        <w:rPr>
          <w:rFonts w:asciiTheme="majorHAnsi" w:hAnsiTheme="majorHAnsi"/>
          <w:sz w:val="24"/>
          <w:szCs w:val="24"/>
        </w:rPr>
        <w:instrText xml:space="preserve"> SEQ MTEqn \c \* Arabic \* MERGEFORMAT </w:instrText>
      </w:r>
      <w:r w:rsidR="005D033B" w:rsidRPr="003E6B3B">
        <w:rPr>
          <w:rFonts w:asciiTheme="majorHAnsi" w:hAnsiTheme="majorHAnsi"/>
          <w:sz w:val="24"/>
          <w:szCs w:val="24"/>
        </w:rPr>
        <w:fldChar w:fldCharType="separate"/>
      </w:r>
      <w:r w:rsidR="005D033B" w:rsidRPr="003E6B3B">
        <w:rPr>
          <w:rFonts w:asciiTheme="majorHAnsi" w:hAnsiTheme="majorHAnsi"/>
          <w:noProof/>
          <w:sz w:val="24"/>
          <w:szCs w:val="24"/>
        </w:rPr>
        <w:instrText>7</w:instrText>
      </w:r>
      <w:r w:rsidR="005D033B" w:rsidRPr="003E6B3B">
        <w:rPr>
          <w:rFonts w:asciiTheme="majorHAnsi" w:hAnsiTheme="majorHAnsi"/>
          <w:sz w:val="24"/>
          <w:szCs w:val="24"/>
        </w:rPr>
        <w:fldChar w:fldCharType="end"/>
      </w:r>
      <w:r w:rsidR="005D033B" w:rsidRPr="003E6B3B">
        <w:rPr>
          <w:rFonts w:asciiTheme="majorHAnsi" w:hAnsiTheme="majorHAnsi"/>
          <w:sz w:val="24"/>
          <w:szCs w:val="24"/>
        </w:rPr>
        <w:instrText>)</w:instrText>
      </w:r>
      <w:r w:rsidR="005D033B" w:rsidRPr="003E6B3B">
        <w:rPr>
          <w:rFonts w:asciiTheme="majorHAnsi" w:hAnsiTheme="majorHAnsi"/>
          <w:sz w:val="24"/>
          <w:szCs w:val="24"/>
        </w:rPr>
        <w:fldChar w:fldCharType="end"/>
      </w:r>
    </w:p>
    <w:p w14:paraId="195F99F2" w14:textId="77777777" w:rsidR="005D033B" w:rsidRPr="003E6B3B" w:rsidRDefault="005D033B" w:rsidP="00AC1DAA">
      <w:pPr>
        <w:pStyle w:val="MTDisplayEquation"/>
        <w:spacing w:after="0" w:line="23" w:lineRule="atLeast"/>
        <w:ind w:left="567"/>
        <w:jc w:val="both"/>
        <w:rPr>
          <w:rFonts w:asciiTheme="majorHAnsi" w:hAnsiTheme="majorHAnsi"/>
          <w:sz w:val="24"/>
          <w:szCs w:val="24"/>
        </w:rPr>
      </w:pPr>
      <w:r w:rsidRPr="003E6B3B">
        <w:rPr>
          <w:rFonts w:asciiTheme="majorHAnsi" w:hAnsiTheme="majorHAnsi"/>
          <w:sz w:val="24"/>
          <w:szCs w:val="24"/>
        </w:rPr>
        <w:t xml:space="preserve">with </w:t>
      </w:r>
      <w:r w:rsidRPr="003E6B3B">
        <w:rPr>
          <w:rFonts w:asciiTheme="majorHAnsi" w:hAnsiTheme="majorHAnsi"/>
          <w:noProof/>
          <w:position w:val="-20"/>
          <w:sz w:val="24"/>
          <w:szCs w:val="24"/>
        </w:rPr>
        <w:object w:dxaOrig="2780" w:dyaOrig="460" w14:anchorId="3AE277C6">
          <v:shape id="_x0000_i1071" type="#_x0000_t75" style="width:137.25pt;height:23.25pt" o:ole="">
            <v:imagedata r:id="rId113" o:title=""/>
          </v:shape>
          <o:OLEObject Type="Embed" ProgID="Equation.DSMT4" ShapeID="_x0000_i1071" DrawAspect="Content" ObjectID="_1712658642" r:id="rId114"/>
        </w:object>
      </w:r>
      <w:r w:rsidRPr="003E6B3B">
        <w:rPr>
          <w:rFonts w:asciiTheme="majorHAnsi" w:hAnsiTheme="majorHAnsi"/>
          <w:sz w:val="24"/>
          <w:szCs w:val="24"/>
        </w:rPr>
        <w:t xml:space="preserve"> is the IOP from (7) and </w:t>
      </w:r>
      <w:r w:rsidRPr="003E6B3B">
        <w:rPr>
          <w:rFonts w:asciiTheme="majorHAnsi" w:hAnsiTheme="majorHAnsi"/>
          <w:noProof/>
          <w:position w:val="-6"/>
          <w:sz w:val="24"/>
          <w:szCs w:val="24"/>
        </w:rPr>
        <w:object w:dxaOrig="200" w:dyaOrig="220" w14:anchorId="1D19BC20">
          <v:shape id="_x0000_i1072" type="#_x0000_t75" style="width:8.25pt;height:9.75pt" o:ole="">
            <v:imagedata r:id="rId115" o:title=""/>
          </v:shape>
          <o:OLEObject Type="Embed" ProgID="Equation.DSMT4" ShapeID="_x0000_i1072" DrawAspect="Content" ObjectID="_1712658643" r:id="rId116"/>
        </w:object>
      </w:r>
      <w:r w:rsidRPr="003E6B3B">
        <w:rPr>
          <w:rFonts w:asciiTheme="majorHAnsi" w:hAnsiTheme="majorHAnsi"/>
          <w:sz w:val="24"/>
          <w:szCs w:val="24"/>
        </w:rPr>
        <w:t xml:space="preserve"> is the dual variable. Formulation (7) has a set of constraint functions that are independent of the variable </w:t>
      </w:r>
      <w:r w:rsidRPr="003E6B3B">
        <w:rPr>
          <w:rFonts w:asciiTheme="majorHAnsi" w:hAnsiTheme="majorHAnsi"/>
          <w:noProof/>
          <w:position w:val="-10"/>
          <w:sz w:val="24"/>
          <w:szCs w:val="24"/>
        </w:rPr>
        <w:object w:dxaOrig="200" w:dyaOrig="260" w14:anchorId="7F52DF41">
          <v:shape id="_x0000_i1073" type="#_x0000_t75" style="width:8.25pt;height:14.25pt" o:ole="">
            <v:imagedata r:id="rId117" o:title=""/>
          </v:shape>
          <o:OLEObject Type="Embed" ProgID="Equation.DSMT4" ShapeID="_x0000_i1073" DrawAspect="Content" ObjectID="_1712658644" r:id="rId118"/>
        </w:object>
      </w:r>
      <w:r w:rsidRPr="003E6B3B">
        <w:rPr>
          <w:rFonts w:asciiTheme="majorHAnsi" w:hAnsiTheme="majorHAnsi"/>
          <w:sz w:val="24"/>
          <w:szCs w:val="24"/>
        </w:rPr>
        <w:t xml:space="preserve">, that is </w:t>
      </w:r>
      <w:r w:rsidRPr="003E6B3B">
        <w:rPr>
          <w:rFonts w:asciiTheme="majorHAnsi" w:hAnsiTheme="majorHAnsi"/>
          <w:noProof/>
          <w:position w:val="-10"/>
          <w:sz w:val="24"/>
          <w:szCs w:val="24"/>
        </w:rPr>
        <w:object w:dxaOrig="1020" w:dyaOrig="360" w14:anchorId="294BB355">
          <v:shape id="_x0000_i1074" type="#_x0000_t75" style="width:50.25pt;height:18.75pt" o:ole="">
            <v:imagedata r:id="rId119" o:title=""/>
          </v:shape>
          <o:OLEObject Type="Embed" ProgID="Equation.DSMT4" ShapeID="_x0000_i1074" DrawAspect="Content" ObjectID="_1712658645" r:id="rId120"/>
        </w:object>
      </w:r>
      <w:r w:rsidRPr="003E6B3B">
        <w:rPr>
          <w:rFonts w:asciiTheme="majorHAnsi" w:hAnsiTheme="majorHAnsi"/>
          <w:sz w:val="24"/>
          <w:szCs w:val="24"/>
        </w:rPr>
        <w:t xml:space="preserve"> Furthermore, the IOP of (7) has a finite optimal solution due to the previously explicit assumption on </w:t>
      </w:r>
      <w:r w:rsidRPr="003E6B3B">
        <w:rPr>
          <w:rFonts w:asciiTheme="majorHAnsi" w:hAnsiTheme="majorHAnsi"/>
          <w:noProof/>
          <w:position w:val="-10"/>
          <w:sz w:val="24"/>
          <w:szCs w:val="24"/>
        </w:rPr>
        <w:object w:dxaOrig="840" w:dyaOrig="320" w14:anchorId="582B7AF3">
          <v:shape id="_x0000_i1075" type="#_x0000_t75" style="width:42pt;height:15.75pt" o:ole="">
            <v:imagedata r:id="rId121" o:title=""/>
          </v:shape>
          <o:OLEObject Type="Embed" ProgID="Equation.DSMT4" ShapeID="_x0000_i1075" DrawAspect="Content" ObjectID="_1712658646" r:id="rId122"/>
        </w:object>
      </w:r>
      <w:r w:rsidRPr="003E6B3B">
        <w:rPr>
          <w:rFonts w:asciiTheme="majorHAnsi" w:hAnsiTheme="majorHAnsi"/>
          <w:sz w:val="24"/>
          <w:szCs w:val="24"/>
        </w:rPr>
        <w:t xml:space="preserve"> The optimal solution will always be at one extreme </w:t>
      </w:r>
      <w:r w:rsidRPr="003E6B3B">
        <w:rPr>
          <w:rFonts w:asciiTheme="majorHAnsi" w:hAnsiTheme="majorHAnsi"/>
          <w:noProof/>
          <w:position w:val="-6"/>
          <w:sz w:val="24"/>
          <w:szCs w:val="24"/>
        </w:rPr>
        <w:object w:dxaOrig="660" w:dyaOrig="279" w14:anchorId="1718A987">
          <v:shape id="_x0000_i1076" type="#_x0000_t75" style="width:30.75pt;height:14.25pt" o:ole="">
            <v:imagedata r:id="rId123" o:title=""/>
          </v:shape>
          <o:OLEObject Type="Embed" ProgID="Equation.DSMT4" ShapeID="_x0000_i1076" DrawAspect="Content" ObjectID="_1712658647" r:id="rId124"/>
        </w:object>
      </w:r>
      <w:r w:rsidRPr="003E6B3B">
        <w:rPr>
          <w:rFonts w:asciiTheme="majorHAnsi" w:hAnsiTheme="majorHAnsi"/>
          <w:sz w:val="24"/>
          <w:szCs w:val="24"/>
        </w:rPr>
        <w:t xml:space="preserve"> Therefore, the next equivalent formulation is </w:t>
      </w:r>
      <w:r w:rsidRPr="003E6B3B">
        <w:rPr>
          <w:rFonts w:asciiTheme="majorHAnsi" w:hAnsiTheme="majorHAnsi"/>
          <w:noProof/>
          <w:position w:val="-12"/>
          <w:sz w:val="24"/>
          <w:szCs w:val="24"/>
        </w:rPr>
        <w:object w:dxaOrig="800" w:dyaOrig="360" w14:anchorId="282C4D14">
          <v:shape id="_x0000_i1077" type="#_x0000_t75" style="width:41.25pt;height:18.75pt" o:ole="">
            <v:imagedata r:id="rId125" o:title=""/>
          </v:shape>
          <o:OLEObject Type="Embed" ProgID="Equation.DSMT4" ShapeID="_x0000_i1077" DrawAspect="Content" ObjectID="_1712658648" r:id="rId126"/>
        </w:object>
      </w:r>
      <w:r w:rsidRPr="003E6B3B">
        <w:rPr>
          <w:rFonts w:asciiTheme="majorHAnsi" w:hAnsiTheme="majorHAnsi"/>
          <w:sz w:val="24"/>
          <w:szCs w:val="24"/>
        </w:rPr>
        <w:t xml:space="preserve"> can be determined as follows:  </w:t>
      </w:r>
    </w:p>
    <w:p w14:paraId="03A1A6FE" w14:textId="38FD6A9C" w:rsidR="005D033B" w:rsidRPr="003E6B3B" w:rsidRDefault="005D033B" w:rsidP="00AC1DAA">
      <w:pPr>
        <w:pStyle w:val="MTDisplayEquation"/>
        <w:tabs>
          <w:tab w:val="clear" w:pos="9020"/>
          <w:tab w:val="right" w:pos="9356"/>
        </w:tabs>
        <w:spacing w:after="0" w:line="23" w:lineRule="atLeast"/>
        <w:ind w:left="567" w:right="389" w:firstLine="142"/>
        <w:jc w:val="right"/>
        <w:rPr>
          <w:rFonts w:asciiTheme="majorHAnsi" w:hAnsiTheme="majorHAnsi"/>
          <w:sz w:val="24"/>
          <w:szCs w:val="24"/>
        </w:rPr>
      </w:pPr>
      <w:r w:rsidRPr="003E6B3B">
        <w:rPr>
          <w:rFonts w:asciiTheme="majorHAnsi" w:hAnsiTheme="majorHAnsi"/>
          <w:noProof/>
          <w:position w:val="-22"/>
          <w:sz w:val="24"/>
          <w:szCs w:val="24"/>
        </w:rPr>
        <w:object w:dxaOrig="3980" w:dyaOrig="480" w14:anchorId="4695B21C">
          <v:shape id="_x0000_i1078" type="#_x0000_t75" style="width:200.25pt;height:23.25pt" o:ole="">
            <v:imagedata r:id="rId127" o:title=""/>
          </v:shape>
          <o:OLEObject Type="Embed" ProgID="Equation.DSMT4" ShapeID="_x0000_i1078" DrawAspect="Content" ObjectID="_1712658649" r:id="rId128"/>
        </w:object>
      </w:r>
      <w:r w:rsidR="00AC1DAA" w:rsidRPr="003E6B3B">
        <w:rPr>
          <w:rFonts w:asciiTheme="majorHAnsi" w:hAnsiTheme="majorHAnsi"/>
          <w:noProof/>
          <w:sz w:val="24"/>
          <w:szCs w:val="24"/>
        </w:rPr>
        <w:t xml:space="preserve">                                          </w:t>
      </w:r>
      <w:r w:rsidRPr="003E6B3B">
        <w:rPr>
          <w:rFonts w:asciiTheme="majorHAnsi" w:hAnsiTheme="majorHAnsi"/>
          <w:sz w:val="24"/>
          <w:szCs w:val="24"/>
        </w:rPr>
        <w:fldChar w:fldCharType="begin"/>
      </w:r>
      <w:r w:rsidRPr="003E6B3B">
        <w:rPr>
          <w:rFonts w:asciiTheme="majorHAnsi" w:hAnsiTheme="majorHAnsi"/>
          <w:sz w:val="24"/>
          <w:szCs w:val="24"/>
        </w:rPr>
        <w:instrText xml:space="preserve"> MACROBUTTON MTPlaceRef \* MERGEFORMAT </w:instrText>
      </w:r>
      <w:r w:rsidRPr="003E6B3B">
        <w:rPr>
          <w:rFonts w:asciiTheme="majorHAnsi" w:hAnsiTheme="majorHAnsi"/>
          <w:sz w:val="24"/>
          <w:szCs w:val="24"/>
        </w:rPr>
        <w:fldChar w:fldCharType="begin"/>
      </w:r>
      <w:r w:rsidRPr="003E6B3B">
        <w:rPr>
          <w:rFonts w:asciiTheme="majorHAnsi" w:hAnsiTheme="majorHAnsi"/>
          <w:sz w:val="24"/>
          <w:szCs w:val="24"/>
        </w:rPr>
        <w:instrText xml:space="preserve"> SEQ MTEqn \h \* MERGEFORMAT </w:instrText>
      </w:r>
      <w:r w:rsidRPr="003E6B3B">
        <w:rPr>
          <w:rFonts w:asciiTheme="majorHAnsi" w:hAnsiTheme="majorHAnsi"/>
          <w:sz w:val="24"/>
          <w:szCs w:val="24"/>
        </w:rPr>
        <w:fldChar w:fldCharType="end"/>
      </w:r>
      <w:r w:rsidRPr="003E6B3B">
        <w:rPr>
          <w:rFonts w:asciiTheme="majorHAnsi" w:hAnsiTheme="majorHAnsi"/>
          <w:sz w:val="24"/>
          <w:szCs w:val="24"/>
        </w:rPr>
        <w:instrText>(</w:instrText>
      </w:r>
      <w:r w:rsidRPr="003E6B3B">
        <w:rPr>
          <w:rFonts w:asciiTheme="majorHAnsi" w:hAnsiTheme="majorHAnsi"/>
          <w:sz w:val="24"/>
          <w:szCs w:val="24"/>
        </w:rPr>
        <w:fldChar w:fldCharType="begin"/>
      </w:r>
      <w:r w:rsidRPr="003E6B3B">
        <w:rPr>
          <w:rFonts w:asciiTheme="majorHAnsi" w:hAnsiTheme="majorHAnsi"/>
          <w:sz w:val="24"/>
          <w:szCs w:val="24"/>
        </w:rPr>
        <w:instrText xml:space="preserve"> SEQ MTEqn \c \* Arabic \* MERGEFORMAT </w:instrText>
      </w:r>
      <w:r w:rsidRPr="003E6B3B">
        <w:rPr>
          <w:rFonts w:asciiTheme="majorHAnsi" w:hAnsiTheme="majorHAnsi"/>
          <w:sz w:val="24"/>
          <w:szCs w:val="24"/>
        </w:rPr>
        <w:fldChar w:fldCharType="separate"/>
      </w:r>
      <w:r w:rsidRPr="003E6B3B">
        <w:rPr>
          <w:rFonts w:asciiTheme="majorHAnsi" w:hAnsiTheme="majorHAnsi"/>
          <w:noProof/>
          <w:sz w:val="24"/>
          <w:szCs w:val="24"/>
        </w:rPr>
        <w:instrText>8</w:instrText>
      </w:r>
      <w:r w:rsidRPr="003E6B3B">
        <w:rPr>
          <w:rFonts w:asciiTheme="majorHAnsi" w:hAnsiTheme="majorHAnsi"/>
          <w:sz w:val="24"/>
          <w:szCs w:val="24"/>
        </w:rPr>
        <w:fldChar w:fldCharType="end"/>
      </w:r>
      <w:r w:rsidRPr="003E6B3B">
        <w:rPr>
          <w:rFonts w:asciiTheme="majorHAnsi" w:hAnsiTheme="majorHAnsi"/>
          <w:sz w:val="24"/>
          <w:szCs w:val="24"/>
        </w:rPr>
        <w:instrText>)</w:instrText>
      </w:r>
      <w:r w:rsidRPr="003E6B3B">
        <w:rPr>
          <w:rFonts w:asciiTheme="majorHAnsi" w:hAnsiTheme="majorHAnsi"/>
          <w:sz w:val="24"/>
          <w:szCs w:val="24"/>
        </w:rPr>
        <w:fldChar w:fldCharType="end"/>
      </w:r>
    </w:p>
    <w:p w14:paraId="6B901C16" w14:textId="77777777" w:rsidR="005D033B" w:rsidRPr="003E6B3B" w:rsidRDefault="005D033B" w:rsidP="00AC1DAA">
      <w:pPr>
        <w:pStyle w:val="MTDisplayEquation"/>
        <w:spacing w:after="0" w:line="23" w:lineRule="atLeast"/>
        <w:ind w:left="567"/>
        <w:jc w:val="both"/>
        <w:rPr>
          <w:rFonts w:asciiTheme="majorHAnsi" w:hAnsiTheme="majorHAnsi"/>
          <w:sz w:val="24"/>
          <w:szCs w:val="24"/>
        </w:rPr>
      </w:pPr>
      <w:r w:rsidRPr="003E6B3B">
        <w:rPr>
          <w:rFonts w:asciiTheme="majorHAnsi" w:hAnsiTheme="majorHAnsi"/>
          <w:sz w:val="24"/>
          <w:szCs w:val="24"/>
        </w:rPr>
        <w:t xml:space="preserve">which is commonly referred to as the extreme point formulation. Formulation (8) can be rewritten as a single-minimization problem in the form of a full master problem </w:t>
      </w:r>
      <w:r w:rsidRPr="003E6B3B">
        <w:rPr>
          <w:rFonts w:asciiTheme="majorHAnsi" w:hAnsiTheme="majorHAnsi"/>
          <w:noProof/>
          <w:position w:val="-12"/>
          <w:sz w:val="24"/>
          <w:szCs w:val="24"/>
        </w:rPr>
        <w:object w:dxaOrig="920" w:dyaOrig="360" w14:anchorId="77DEBEB3">
          <v:shape id="_x0000_i1079" type="#_x0000_t75" style="width:45pt;height:18.75pt" o:ole="">
            <v:imagedata r:id="rId129" o:title=""/>
          </v:shape>
          <o:OLEObject Type="Embed" ProgID="Equation.DSMT4" ShapeID="_x0000_i1079" DrawAspect="Content" ObjectID="_1712658650" r:id="rId130"/>
        </w:object>
      </w:r>
      <w:r w:rsidRPr="003E6B3B">
        <w:rPr>
          <w:rFonts w:asciiTheme="majorHAnsi" w:hAnsiTheme="majorHAnsi"/>
          <w:sz w:val="24"/>
          <w:szCs w:val="24"/>
        </w:rPr>
        <w:t>that is:</w:t>
      </w:r>
    </w:p>
    <w:p w14:paraId="12927294" w14:textId="1423C17C" w:rsidR="005D033B" w:rsidRPr="003E6B3B" w:rsidRDefault="00AC1DAA" w:rsidP="00AC1DAA">
      <w:pPr>
        <w:pStyle w:val="MTDisplayEquation"/>
        <w:spacing w:after="0" w:line="23" w:lineRule="atLeast"/>
        <w:ind w:left="567" w:firstLine="142"/>
        <w:jc w:val="both"/>
        <w:rPr>
          <w:rFonts w:asciiTheme="majorHAnsi" w:hAnsiTheme="majorHAnsi"/>
          <w:sz w:val="24"/>
          <w:szCs w:val="24"/>
        </w:rPr>
      </w:pPr>
      <w:r w:rsidRPr="003E6B3B">
        <w:rPr>
          <w:rFonts w:asciiTheme="majorHAnsi" w:hAnsiTheme="majorHAnsi"/>
          <w:noProof/>
          <w:sz w:val="24"/>
          <w:szCs w:val="24"/>
        </w:rPr>
        <w:tab/>
      </w:r>
      <w:r w:rsidR="005D033B" w:rsidRPr="003E6B3B">
        <w:rPr>
          <w:rFonts w:asciiTheme="majorHAnsi" w:hAnsiTheme="majorHAnsi"/>
          <w:noProof/>
          <w:position w:val="-66"/>
          <w:sz w:val="24"/>
          <w:szCs w:val="24"/>
        </w:rPr>
        <w:object w:dxaOrig="2439" w:dyaOrig="1440" w14:anchorId="3746D3C3">
          <v:shape id="_x0000_i1080" type="#_x0000_t75" style="width:121.5pt;height:1in" o:ole="">
            <v:imagedata r:id="rId131" o:title=""/>
          </v:shape>
          <o:OLEObject Type="Embed" ProgID="Equation.DSMT4" ShapeID="_x0000_i1080" DrawAspect="Content" ObjectID="_1712658651" r:id="rId132"/>
        </w:object>
      </w:r>
      <w:r w:rsidR="005D033B" w:rsidRPr="003E6B3B">
        <w:rPr>
          <w:rFonts w:asciiTheme="majorHAnsi" w:hAnsiTheme="majorHAnsi"/>
          <w:sz w:val="24"/>
          <w:szCs w:val="24"/>
        </w:rPr>
        <w:tab/>
      </w:r>
      <w:r w:rsidR="005D033B" w:rsidRPr="003E6B3B">
        <w:rPr>
          <w:rFonts w:asciiTheme="majorHAnsi" w:hAnsiTheme="majorHAnsi"/>
          <w:sz w:val="24"/>
          <w:szCs w:val="24"/>
        </w:rPr>
        <w:fldChar w:fldCharType="begin"/>
      </w:r>
      <w:r w:rsidR="005D033B" w:rsidRPr="003E6B3B">
        <w:rPr>
          <w:rFonts w:asciiTheme="majorHAnsi" w:hAnsiTheme="majorHAnsi"/>
          <w:sz w:val="24"/>
          <w:szCs w:val="24"/>
        </w:rPr>
        <w:instrText xml:space="preserve"> MACROBUTTON MTPlaceRef \* MERGEFORMAT </w:instrText>
      </w:r>
      <w:r w:rsidR="005D033B" w:rsidRPr="003E6B3B">
        <w:rPr>
          <w:rFonts w:asciiTheme="majorHAnsi" w:hAnsiTheme="majorHAnsi"/>
          <w:sz w:val="24"/>
          <w:szCs w:val="24"/>
        </w:rPr>
        <w:fldChar w:fldCharType="begin"/>
      </w:r>
      <w:r w:rsidR="005D033B" w:rsidRPr="003E6B3B">
        <w:rPr>
          <w:rFonts w:asciiTheme="majorHAnsi" w:hAnsiTheme="majorHAnsi"/>
          <w:sz w:val="24"/>
          <w:szCs w:val="24"/>
        </w:rPr>
        <w:instrText xml:space="preserve"> SEQ MTEqn \h \* MERGEFORMAT </w:instrText>
      </w:r>
      <w:r w:rsidR="005D033B" w:rsidRPr="003E6B3B">
        <w:rPr>
          <w:rFonts w:asciiTheme="majorHAnsi" w:hAnsiTheme="majorHAnsi"/>
          <w:sz w:val="24"/>
          <w:szCs w:val="24"/>
        </w:rPr>
        <w:fldChar w:fldCharType="end"/>
      </w:r>
      <w:r w:rsidR="005D033B" w:rsidRPr="003E6B3B">
        <w:rPr>
          <w:rFonts w:asciiTheme="majorHAnsi" w:hAnsiTheme="majorHAnsi"/>
          <w:sz w:val="24"/>
          <w:szCs w:val="24"/>
        </w:rPr>
        <w:instrText>(</w:instrText>
      </w:r>
      <w:r w:rsidR="005D033B" w:rsidRPr="003E6B3B">
        <w:rPr>
          <w:rFonts w:asciiTheme="majorHAnsi" w:hAnsiTheme="majorHAnsi"/>
          <w:sz w:val="24"/>
          <w:szCs w:val="24"/>
        </w:rPr>
        <w:fldChar w:fldCharType="begin"/>
      </w:r>
      <w:r w:rsidR="005D033B" w:rsidRPr="003E6B3B">
        <w:rPr>
          <w:rFonts w:asciiTheme="majorHAnsi" w:hAnsiTheme="majorHAnsi"/>
          <w:sz w:val="24"/>
          <w:szCs w:val="24"/>
        </w:rPr>
        <w:instrText xml:space="preserve"> SEQ MTEqn \c \* Arabic \* MERGEFORMAT </w:instrText>
      </w:r>
      <w:r w:rsidR="005D033B" w:rsidRPr="003E6B3B">
        <w:rPr>
          <w:rFonts w:asciiTheme="majorHAnsi" w:hAnsiTheme="majorHAnsi"/>
          <w:sz w:val="24"/>
          <w:szCs w:val="24"/>
        </w:rPr>
        <w:fldChar w:fldCharType="separate"/>
      </w:r>
      <w:r w:rsidR="005D033B" w:rsidRPr="003E6B3B">
        <w:rPr>
          <w:rFonts w:asciiTheme="majorHAnsi" w:hAnsiTheme="majorHAnsi"/>
          <w:noProof/>
          <w:sz w:val="24"/>
          <w:szCs w:val="24"/>
        </w:rPr>
        <w:instrText>9</w:instrText>
      </w:r>
      <w:r w:rsidR="005D033B" w:rsidRPr="003E6B3B">
        <w:rPr>
          <w:rFonts w:asciiTheme="majorHAnsi" w:hAnsiTheme="majorHAnsi"/>
          <w:sz w:val="24"/>
          <w:szCs w:val="24"/>
        </w:rPr>
        <w:fldChar w:fldCharType="end"/>
      </w:r>
      <w:r w:rsidR="005D033B" w:rsidRPr="003E6B3B">
        <w:rPr>
          <w:rFonts w:asciiTheme="majorHAnsi" w:hAnsiTheme="majorHAnsi"/>
          <w:sz w:val="24"/>
          <w:szCs w:val="24"/>
        </w:rPr>
        <w:instrText>)</w:instrText>
      </w:r>
      <w:r w:rsidR="005D033B" w:rsidRPr="003E6B3B">
        <w:rPr>
          <w:rFonts w:asciiTheme="majorHAnsi" w:hAnsiTheme="majorHAnsi"/>
          <w:sz w:val="24"/>
          <w:szCs w:val="24"/>
        </w:rPr>
        <w:fldChar w:fldCharType="end"/>
      </w:r>
    </w:p>
    <w:p w14:paraId="1742518A" w14:textId="77777777" w:rsidR="005D033B" w:rsidRPr="003E6B3B" w:rsidRDefault="005D033B" w:rsidP="00AC1DAA">
      <w:pPr>
        <w:spacing w:line="23" w:lineRule="atLeast"/>
        <w:ind w:left="567" w:firstLine="142"/>
        <w:jc w:val="both"/>
        <w:rPr>
          <w:rFonts w:asciiTheme="majorHAnsi" w:hAnsiTheme="majorHAnsi"/>
        </w:rPr>
      </w:pPr>
      <w:r w:rsidRPr="003E6B3B">
        <w:rPr>
          <w:rFonts w:asciiTheme="majorHAnsi" w:hAnsiTheme="majorHAnsi"/>
        </w:rPr>
        <w:t xml:space="preserve">Furthermore, formulation (9) makes it possible to define a relaxed master problem </w:t>
      </w:r>
      <w:r w:rsidRPr="003E6B3B">
        <w:rPr>
          <w:rFonts w:asciiTheme="majorHAnsi" w:hAnsiTheme="majorHAnsi"/>
          <w:noProof/>
          <w:position w:val="-10"/>
        </w:rPr>
        <w:object w:dxaOrig="900" w:dyaOrig="320" w14:anchorId="3336A7B2">
          <v:shape id="_x0000_i1081" type="#_x0000_t75" style="width:44.25pt;height:15.75pt" o:ole="">
            <v:imagedata r:id="rId133" o:title=""/>
          </v:shape>
          <o:OLEObject Type="Embed" ProgID="Equation.DSMT4" ShapeID="_x0000_i1081" DrawAspect="Content" ObjectID="_1712658652" r:id="rId134"/>
        </w:object>
      </w:r>
      <w:r w:rsidRPr="003E6B3B">
        <w:rPr>
          <w:rFonts w:asciiTheme="majorHAnsi" w:hAnsiTheme="majorHAnsi"/>
        </w:rPr>
        <w:t xml:space="preserve"> which considers the subset </w:t>
      </w:r>
      <w:r w:rsidRPr="003E6B3B">
        <w:rPr>
          <w:rFonts w:asciiTheme="majorHAnsi" w:hAnsiTheme="majorHAnsi"/>
          <w:noProof/>
          <w:position w:val="-4"/>
        </w:rPr>
        <w:object w:dxaOrig="240" w:dyaOrig="260" w14:anchorId="52CC38EC">
          <v:shape id="_x0000_i1082" type="#_x0000_t75" style="width:14.25pt;height:14.25pt" o:ole="">
            <v:imagedata r:id="rId135" o:title=""/>
          </v:shape>
          <o:OLEObject Type="Embed" ProgID="Equation.DSMT4" ShapeID="_x0000_i1082" DrawAspect="Content" ObjectID="_1712658653" r:id="rId136"/>
        </w:object>
      </w:r>
      <w:r w:rsidRPr="003E6B3B">
        <w:rPr>
          <w:rFonts w:asciiTheme="majorHAnsi" w:hAnsiTheme="majorHAnsi"/>
        </w:rPr>
        <w:t xml:space="preserve"> from obstacles </w:t>
      </w:r>
      <w:r w:rsidRPr="003E6B3B">
        <w:rPr>
          <w:rFonts w:asciiTheme="majorHAnsi" w:hAnsiTheme="majorHAnsi"/>
          <w:noProof/>
          <w:position w:val="-6"/>
        </w:rPr>
        <w:object w:dxaOrig="260" w:dyaOrig="279" w14:anchorId="7FB086BA">
          <v:shape id="_x0000_i1083" type="#_x0000_t75" style="width:14.25pt;height:14.25pt" o:ole="">
            <v:imagedata r:id="rId137" o:title=""/>
          </v:shape>
          <o:OLEObject Type="Embed" ProgID="Equation.DSMT4" ShapeID="_x0000_i1083" DrawAspect="Content" ObjectID="_1712658654" r:id="rId138"/>
        </w:object>
      </w:r>
      <w:r w:rsidRPr="003E6B3B">
        <w:rPr>
          <w:rFonts w:asciiTheme="majorHAnsi" w:hAnsiTheme="majorHAnsi"/>
        </w:rPr>
        <w:t xml:space="preserve"> as follows:</w:t>
      </w:r>
    </w:p>
    <w:p w14:paraId="663ED054" w14:textId="1FF687A2" w:rsidR="005D033B" w:rsidRPr="003E6B3B" w:rsidRDefault="00AC1DAA" w:rsidP="00AC1DAA">
      <w:pPr>
        <w:pStyle w:val="MTDisplayEquation"/>
        <w:spacing w:after="0" w:line="23" w:lineRule="atLeast"/>
        <w:ind w:left="567" w:firstLine="142"/>
        <w:jc w:val="both"/>
        <w:rPr>
          <w:rFonts w:asciiTheme="majorHAnsi" w:hAnsiTheme="majorHAnsi"/>
          <w:sz w:val="24"/>
          <w:szCs w:val="24"/>
        </w:rPr>
      </w:pPr>
      <w:r w:rsidRPr="003E6B3B">
        <w:rPr>
          <w:rFonts w:asciiTheme="majorHAnsi" w:hAnsiTheme="majorHAnsi"/>
          <w:noProof/>
          <w:sz w:val="24"/>
          <w:szCs w:val="24"/>
        </w:rPr>
        <w:tab/>
      </w:r>
      <w:r w:rsidR="005D033B" w:rsidRPr="003E6B3B">
        <w:rPr>
          <w:rFonts w:asciiTheme="majorHAnsi" w:hAnsiTheme="majorHAnsi"/>
          <w:noProof/>
          <w:position w:val="-66"/>
          <w:sz w:val="24"/>
          <w:szCs w:val="24"/>
        </w:rPr>
        <w:object w:dxaOrig="2480" w:dyaOrig="1440" w14:anchorId="322D9B56">
          <v:shape id="_x0000_i1084" type="#_x0000_t75" style="width:123.75pt;height:1in" o:ole="">
            <v:imagedata r:id="rId139" o:title=""/>
          </v:shape>
          <o:OLEObject Type="Embed" ProgID="Equation.DSMT4" ShapeID="_x0000_i1084" DrawAspect="Content" ObjectID="_1712658655" r:id="rId140"/>
        </w:object>
      </w:r>
      <w:r w:rsidR="005D033B" w:rsidRPr="003E6B3B">
        <w:rPr>
          <w:rFonts w:asciiTheme="majorHAnsi" w:hAnsiTheme="majorHAnsi"/>
          <w:sz w:val="24"/>
          <w:szCs w:val="24"/>
        </w:rPr>
        <w:tab/>
      </w:r>
      <w:r w:rsidR="005D033B" w:rsidRPr="003E6B3B">
        <w:rPr>
          <w:rFonts w:asciiTheme="majorHAnsi" w:hAnsiTheme="majorHAnsi"/>
          <w:sz w:val="24"/>
          <w:szCs w:val="24"/>
        </w:rPr>
        <w:fldChar w:fldCharType="begin"/>
      </w:r>
      <w:r w:rsidR="005D033B" w:rsidRPr="003E6B3B">
        <w:rPr>
          <w:rFonts w:asciiTheme="majorHAnsi" w:hAnsiTheme="majorHAnsi"/>
          <w:sz w:val="24"/>
          <w:szCs w:val="24"/>
        </w:rPr>
        <w:instrText xml:space="preserve"> MACROBUTTON MTPlaceRef \* MERGEFORMAT </w:instrText>
      </w:r>
      <w:r w:rsidR="005D033B" w:rsidRPr="003E6B3B">
        <w:rPr>
          <w:rFonts w:asciiTheme="majorHAnsi" w:hAnsiTheme="majorHAnsi"/>
          <w:sz w:val="24"/>
          <w:szCs w:val="24"/>
        </w:rPr>
        <w:fldChar w:fldCharType="begin"/>
      </w:r>
      <w:r w:rsidR="005D033B" w:rsidRPr="003E6B3B">
        <w:rPr>
          <w:rFonts w:asciiTheme="majorHAnsi" w:hAnsiTheme="majorHAnsi"/>
          <w:sz w:val="24"/>
          <w:szCs w:val="24"/>
        </w:rPr>
        <w:instrText xml:space="preserve"> SEQ MTEqn \h \* MERGEFORMAT </w:instrText>
      </w:r>
      <w:r w:rsidR="005D033B" w:rsidRPr="003E6B3B">
        <w:rPr>
          <w:rFonts w:asciiTheme="majorHAnsi" w:hAnsiTheme="majorHAnsi"/>
          <w:sz w:val="24"/>
          <w:szCs w:val="24"/>
        </w:rPr>
        <w:fldChar w:fldCharType="end"/>
      </w:r>
      <w:r w:rsidR="005D033B" w:rsidRPr="003E6B3B">
        <w:rPr>
          <w:rFonts w:asciiTheme="majorHAnsi" w:hAnsiTheme="majorHAnsi"/>
          <w:sz w:val="24"/>
          <w:szCs w:val="24"/>
        </w:rPr>
        <w:instrText>(</w:instrText>
      </w:r>
      <w:r w:rsidR="005D033B" w:rsidRPr="003E6B3B">
        <w:rPr>
          <w:rFonts w:asciiTheme="majorHAnsi" w:hAnsiTheme="majorHAnsi"/>
          <w:sz w:val="24"/>
          <w:szCs w:val="24"/>
        </w:rPr>
        <w:fldChar w:fldCharType="begin"/>
      </w:r>
      <w:r w:rsidR="005D033B" w:rsidRPr="003E6B3B">
        <w:rPr>
          <w:rFonts w:asciiTheme="majorHAnsi" w:hAnsiTheme="majorHAnsi"/>
          <w:sz w:val="24"/>
          <w:szCs w:val="24"/>
        </w:rPr>
        <w:instrText xml:space="preserve"> SEQ MTEqn \c \* Arabic \* MERGEFORMAT </w:instrText>
      </w:r>
      <w:r w:rsidR="005D033B" w:rsidRPr="003E6B3B">
        <w:rPr>
          <w:rFonts w:asciiTheme="majorHAnsi" w:hAnsiTheme="majorHAnsi"/>
          <w:sz w:val="24"/>
          <w:szCs w:val="24"/>
        </w:rPr>
        <w:fldChar w:fldCharType="separate"/>
      </w:r>
      <w:r w:rsidR="005D033B" w:rsidRPr="003E6B3B">
        <w:rPr>
          <w:rFonts w:asciiTheme="majorHAnsi" w:hAnsiTheme="majorHAnsi"/>
          <w:noProof/>
          <w:sz w:val="24"/>
          <w:szCs w:val="24"/>
        </w:rPr>
        <w:instrText>10</w:instrText>
      </w:r>
      <w:r w:rsidR="005D033B" w:rsidRPr="003E6B3B">
        <w:rPr>
          <w:rFonts w:asciiTheme="majorHAnsi" w:hAnsiTheme="majorHAnsi"/>
          <w:sz w:val="24"/>
          <w:szCs w:val="24"/>
        </w:rPr>
        <w:fldChar w:fldCharType="end"/>
      </w:r>
      <w:r w:rsidR="005D033B" w:rsidRPr="003E6B3B">
        <w:rPr>
          <w:rFonts w:asciiTheme="majorHAnsi" w:hAnsiTheme="majorHAnsi"/>
          <w:sz w:val="24"/>
          <w:szCs w:val="24"/>
        </w:rPr>
        <w:instrText>)</w:instrText>
      </w:r>
      <w:r w:rsidR="005D033B" w:rsidRPr="003E6B3B">
        <w:rPr>
          <w:rFonts w:asciiTheme="majorHAnsi" w:hAnsiTheme="majorHAnsi"/>
          <w:sz w:val="24"/>
          <w:szCs w:val="24"/>
        </w:rPr>
        <w:fldChar w:fldCharType="end"/>
      </w:r>
    </w:p>
    <w:p w14:paraId="12CB255F" w14:textId="77777777" w:rsidR="005D033B" w:rsidRPr="003E6B3B" w:rsidRDefault="005D033B" w:rsidP="00AC1DAA">
      <w:pPr>
        <w:spacing w:line="23" w:lineRule="atLeast"/>
        <w:ind w:left="567"/>
        <w:jc w:val="both"/>
        <w:rPr>
          <w:rFonts w:asciiTheme="majorHAnsi" w:hAnsiTheme="majorHAnsi"/>
        </w:rPr>
      </w:pPr>
      <w:r w:rsidRPr="003E6B3B">
        <w:rPr>
          <w:rFonts w:asciiTheme="majorHAnsi" w:hAnsiTheme="majorHAnsi"/>
        </w:rPr>
        <w:t xml:space="preserve">with </w:t>
      </w:r>
      <w:r w:rsidRPr="003E6B3B">
        <w:rPr>
          <w:rFonts w:asciiTheme="majorHAnsi" w:hAnsiTheme="majorHAnsi"/>
          <w:noProof/>
          <w:position w:val="-4"/>
        </w:rPr>
        <w:object w:dxaOrig="240" w:dyaOrig="260" w14:anchorId="1AACFF32">
          <v:shape id="_x0000_i1085" type="#_x0000_t75" style="width:14.25pt;height:14.25pt" o:ole="">
            <v:imagedata r:id="rId141" o:title=""/>
          </v:shape>
          <o:OLEObject Type="Embed" ProgID="Equation.DSMT4" ShapeID="_x0000_i1085" DrawAspect="Content" ObjectID="_1712658656" r:id="rId142"/>
        </w:object>
      </w:r>
      <w:r w:rsidRPr="003E6B3B">
        <w:rPr>
          <w:rFonts w:asciiTheme="majorHAnsi" w:hAnsiTheme="majorHAnsi"/>
        </w:rPr>
        <w:t xml:space="preserve"> defined as the empty set and </w:t>
      </w:r>
      <w:r w:rsidRPr="003E6B3B">
        <w:rPr>
          <w:rFonts w:asciiTheme="majorHAnsi" w:hAnsiTheme="majorHAnsi"/>
          <w:noProof/>
          <w:position w:val="-6"/>
        </w:rPr>
        <w:object w:dxaOrig="260" w:dyaOrig="220" w14:anchorId="79C6E98B">
          <v:shape id="_x0000_i1086" type="#_x0000_t75" style="width:14.25pt;height:9.75pt" o:ole="">
            <v:imagedata r:id="rId143" o:title=""/>
          </v:shape>
          <o:OLEObject Type="Embed" ProgID="Equation.DSMT4" ShapeID="_x0000_i1086" DrawAspect="Content" ObjectID="_1712658657" r:id="rId144"/>
        </w:object>
      </w:r>
      <w:r w:rsidRPr="003E6B3B">
        <w:rPr>
          <w:rFonts w:asciiTheme="majorHAnsi" w:hAnsiTheme="majorHAnsi"/>
          <w:noProof/>
        </w:rPr>
        <w:t>is a zero number</w:t>
      </w:r>
      <w:r w:rsidRPr="003E6B3B">
        <w:rPr>
          <w:rFonts w:asciiTheme="majorHAnsi" w:hAnsiTheme="majorHAnsi"/>
        </w:rPr>
        <w:t xml:space="preserve">. Furthermore, the subproblem formulation of the Benders Decomposition Method is also obtained </w:t>
      </w:r>
      <w:r w:rsidRPr="003E6B3B">
        <w:rPr>
          <w:rFonts w:asciiTheme="majorHAnsi" w:hAnsiTheme="majorHAnsi"/>
          <w:noProof/>
          <w:position w:val="-10"/>
        </w:rPr>
        <w:object w:dxaOrig="780" w:dyaOrig="320" w14:anchorId="5EFA652B">
          <v:shape id="_x0000_i1087" type="#_x0000_t75" style="width:37.5pt;height:15.75pt" o:ole="">
            <v:imagedata r:id="rId145" o:title=""/>
          </v:shape>
          <o:OLEObject Type="Embed" ProgID="Equation.DSMT4" ShapeID="_x0000_i1087" DrawAspect="Content" ObjectID="_1712658658" r:id="rId146"/>
        </w:object>
      </w:r>
      <w:r w:rsidRPr="003E6B3B">
        <w:rPr>
          <w:rFonts w:asciiTheme="majorHAnsi" w:hAnsiTheme="majorHAnsi"/>
        </w:rPr>
        <w:t xml:space="preserve"> which is used to solve the extreme point </w:t>
      </w:r>
      <w:r w:rsidRPr="003E6B3B">
        <w:rPr>
          <w:rFonts w:asciiTheme="majorHAnsi" w:hAnsiTheme="majorHAnsi"/>
          <w:noProof/>
          <w:position w:val="-6"/>
        </w:rPr>
        <w:object w:dxaOrig="200" w:dyaOrig="220" w14:anchorId="4707FD36">
          <v:shape id="_x0000_i1088" type="#_x0000_t75" style="width:8.25pt;height:9.75pt" o:ole="">
            <v:imagedata r:id="rId147" o:title=""/>
          </v:shape>
          <o:OLEObject Type="Embed" ProgID="Equation.DSMT4" ShapeID="_x0000_i1088" DrawAspect="Content" ObjectID="_1712658659" r:id="rId148"/>
        </w:object>
      </w:r>
      <w:r w:rsidRPr="003E6B3B">
        <w:rPr>
          <w:rFonts w:asciiTheme="majorHAnsi" w:hAnsiTheme="majorHAnsi"/>
        </w:rPr>
        <w:t xml:space="preserve"> given by a fixed value </w:t>
      </w:r>
      <w:r w:rsidRPr="003E6B3B">
        <w:rPr>
          <w:rFonts w:asciiTheme="majorHAnsi" w:hAnsiTheme="majorHAnsi"/>
          <w:noProof/>
          <w:position w:val="-10"/>
        </w:rPr>
        <w:object w:dxaOrig="580" w:dyaOrig="320" w14:anchorId="1889CB40">
          <v:shape id="_x0000_i1089" type="#_x0000_t75" style="width:29.25pt;height:15.75pt" o:ole="">
            <v:imagedata r:id="rId149" o:title=""/>
          </v:shape>
          <o:OLEObject Type="Embed" ProgID="Equation.DSMT4" ShapeID="_x0000_i1089" DrawAspect="Content" ObjectID="_1712658660" r:id="rId150"/>
        </w:object>
      </w:r>
      <w:r w:rsidRPr="003E6B3B">
        <w:rPr>
          <w:rFonts w:asciiTheme="majorHAnsi" w:hAnsiTheme="majorHAnsi"/>
        </w:rPr>
        <w:t xml:space="preserve"> (</w:t>
      </w:r>
      <w:r w:rsidRPr="003E6B3B">
        <w:rPr>
          <w:rFonts w:asciiTheme="majorHAnsi" w:hAnsiTheme="majorHAnsi"/>
          <w:noProof/>
          <w:position w:val="-6"/>
        </w:rPr>
        <w:object w:dxaOrig="200" w:dyaOrig="220" w14:anchorId="7947066D">
          <v:shape id="_x0000_i1090" type="#_x0000_t75" style="width:8.25pt;height:9.75pt" o:ole="">
            <v:imagedata r:id="rId151" o:title=""/>
          </v:shape>
          <o:OLEObject Type="Embed" ProgID="Equation.DSMT4" ShapeID="_x0000_i1090" DrawAspect="Content" ObjectID="_1712658661" r:id="rId152"/>
        </w:object>
      </w:r>
      <w:r w:rsidRPr="003E6B3B">
        <w:rPr>
          <w:rFonts w:asciiTheme="majorHAnsi" w:hAnsiTheme="majorHAnsi"/>
        </w:rPr>
        <w:t xml:space="preserve"> conditional </w:t>
      </w:r>
      <w:r w:rsidRPr="003E6B3B">
        <w:rPr>
          <w:rFonts w:asciiTheme="majorHAnsi" w:hAnsiTheme="majorHAnsi"/>
          <w:noProof/>
          <w:position w:val="-10"/>
        </w:rPr>
        <w:object w:dxaOrig="200" w:dyaOrig="260" w14:anchorId="34CE7BEF">
          <v:shape id="_x0000_i1091" type="#_x0000_t75" style="width:8.25pt;height:14.25pt" o:ole="">
            <v:imagedata r:id="rId153" o:title=""/>
          </v:shape>
          <o:OLEObject Type="Embed" ProgID="Equation.DSMT4" ShapeID="_x0000_i1091" DrawAspect="Content" ObjectID="_1712658662" r:id="rId154"/>
        </w:object>
      </w:r>
      <w:r w:rsidRPr="003E6B3B">
        <w:rPr>
          <w:rFonts w:asciiTheme="majorHAnsi" w:hAnsiTheme="majorHAnsi"/>
        </w:rPr>
        <w:t xml:space="preserve">). The formulation of </w:t>
      </w:r>
      <w:r w:rsidRPr="003E6B3B">
        <w:rPr>
          <w:rFonts w:asciiTheme="majorHAnsi" w:hAnsiTheme="majorHAnsi"/>
          <w:noProof/>
          <w:position w:val="-10"/>
        </w:rPr>
        <w:object w:dxaOrig="780" w:dyaOrig="320" w14:anchorId="70754EDF">
          <v:shape id="_x0000_i1092" type="#_x0000_t75" style="width:37.5pt;height:15.75pt" o:ole="">
            <v:imagedata r:id="rId155" o:title=""/>
          </v:shape>
          <o:OLEObject Type="Embed" ProgID="Equation.DSMT4" ShapeID="_x0000_i1092" DrawAspect="Content" ObjectID="_1712658663" r:id="rId156"/>
        </w:object>
      </w:r>
      <w:r w:rsidRPr="003E6B3B">
        <w:rPr>
          <w:rFonts w:asciiTheme="majorHAnsi" w:hAnsiTheme="majorHAnsi"/>
        </w:rPr>
        <w:t xml:space="preserve"> given as the following maximization problem:</w:t>
      </w:r>
    </w:p>
    <w:p w14:paraId="166574D9" w14:textId="48BF6F1A" w:rsidR="005D033B" w:rsidRPr="003E6B3B" w:rsidRDefault="00AC1DAA" w:rsidP="00AC1DAA">
      <w:pPr>
        <w:pStyle w:val="MTDisplayEquation"/>
        <w:spacing w:after="0" w:line="23" w:lineRule="atLeast"/>
        <w:ind w:left="567" w:firstLine="142"/>
        <w:jc w:val="both"/>
        <w:rPr>
          <w:rFonts w:asciiTheme="majorHAnsi" w:hAnsiTheme="majorHAnsi"/>
          <w:sz w:val="24"/>
          <w:szCs w:val="24"/>
        </w:rPr>
      </w:pPr>
      <w:r w:rsidRPr="003E6B3B">
        <w:rPr>
          <w:rFonts w:asciiTheme="majorHAnsi" w:hAnsiTheme="majorHAnsi"/>
          <w:noProof/>
          <w:sz w:val="24"/>
          <w:szCs w:val="24"/>
        </w:rPr>
        <w:tab/>
      </w:r>
      <w:r w:rsidR="005D033B" w:rsidRPr="003E6B3B">
        <w:rPr>
          <w:rFonts w:asciiTheme="majorHAnsi" w:hAnsiTheme="majorHAnsi"/>
          <w:noProof/>
          <w:position w:val="-32"/>
          <w:sz w:val="24"/>
          <w:szCs w:val="24"/>
        </w:rPr>
        <w:object w:dxaOrig="2740" w:dyaOrig="760" w14:anchorId="5F5FB30D">
          <v:shape id="_x0000_i1093" type="#_x0000_t75" style="width:137.25pt;height:37.5pt" o:ole="">
            <v:imagedata r:id="rId157" o:title=""/>
          </v:shape>
          <o:OLEObject Type="Embed" ProgID="Equation.DSMT4" ShapeID="_x0000_i1093" DrawAspect="Content" ObjectID="_1712658664" r:id="rId158"/>
        </w:object>
      </w:r>
      <w:r w:rsidR="005D033B" w:rsidRPr="003E6B3B">
        <w:rPr>
          <w:rFonts w:asciiTheme="majorHAnsi" w:hAnsiTheme="majorHAnsi"/>
          <w:sz w:val="24"/>
          <w:szCs w:val="24"/>
        </w:rPr>
        <w:tab/>
      </w:r>
      <w:r w:rsidR="005D033B" w:rsidRPr="003E6B3B">
        <w:rPr>
          <w:rFonts w:asciiTheme="majorHAnsi" w:hAnsiTheme="majorHAnsi"/>
          <w:sz w:val="24"/>
          <w:szCs w:val="24"/>
        </w:rPr>
        <w:fldChar w:fldCharType="begin"/>
      </w:r>
      <w:r w:rsidR="005D033B" w:rsidRPr="003E6B3B">
        <w:rPr>
          <w:rFonts w:asciiTheme="majorHAnsi" w:hAnsiTheme="majorHAnsi"/>
          <w:sz w:val="24"/>
          <w:szCs w:val="24"/>
        </w:rPr>
        <w:instrText xml:space="preserve"> MACROBUTTON MTPlaceRef \* MERGEFORMAT </w:instrText>
      </w:r>
      <w:r w:rsidR="005D033B" w:rsidRPr="003E6B3B">
        <w:rPr>
          <w:rFonts w:asciiTheme="majorHAnsi" w:hAnsiTheme="majorHAnsi"/>
          <w:sz w:val="24"/>
          <w:szCs w:val="24"/>
        </w:rPr>
        <w:fldChar w:fldCharType="begin"/>
      </w:r>
      <w:r w:rsidR="005D033B" w:rsidRPr="003E6B3B">
        <w:rPr>
          <w:rFonts w:asciiTheme="majorHAnsi" w:hAnsiTheme="majorHAnsi"/>
          <w:sz w:val="24"/>
          <w:szCs w:val="24"/>
        </w:rPr>
        <w:instrText xml:space="preserve"> SEQ MTEqn \h \* MERGEFORMAT </w:instrText>
      </w:r>
      <w:r w:rsidR="005D033B" w:rsidRPr="003E6B3B">
        <w:rPr>
          <w:rFonts w:asciiTheme="majorHAnsi" w:hAnsiTheme="majorHAnsi"/>
          <w:sz w:val="24"/>
          <w:szCs w:val="24"/>
        </w:rPr>
        <w:fldChar w:fldCharType="end"/>
      </w:r>
      <w:r w:rsidR="005D033B" w:rsidRPr="003E6B3B">
        <w:rPr>
          <w:rFonts w:asciiTheme="majorHAnsi" w:hAnsiTheme="majorHAnsi"/>
          <w:sz w:val="24"/>
          <w:szCs w:val="24"/>
        </w:rPr>
        <w:instrText>(</w:instrText>
      </w:r>
      <w:r w:rsidR="005D033B" w:rsidRPr="003E6B3B">
        <w:rPr>
          <w:rFonts w:asciiTheme="majorHAnsi" w:hAnsiTheme="majorHAnsi"/>
          <w:sz w:val="24"/>
          <w:szCs w:val="24"/>
        </w:rPr>
        <w:fldChar w:fldCharType="begin"/>
      </w:r>
      <w:r w:rsidR="005D033B" w:rsidRPr="003E6B3B">
        <w:rPr>
          <w:rFonts w:asciiTheme="majorHAnsi" w:hAnsiTheme="majorHAnsi"/>
          <w:sz w:val="24"/>
          <w:szCs w:val="24"/>
        </w:rPr>
        <w:instrText xml:space="preserve"> SEQ MTEqn \c \* Arabic \* MERGEFORMAT </w:instrText>
      </w:r>
      <w:r w:rsidR="005D033B" w:rsidRPr="003E6B3B">
        <w:rPr>
          <w:rFonts w:asciiTheme="majorHAnsi" w:hAnsiTheme="majorHAnsi"/>
          <w:sz w:val="24"/>
          <w:szCs w:val="24"/>
        </w:rPr>
        <w:fldChar w:fldCharType="separate"/>
      </w:r>
      <w:r w:rsidR="005D033B" w:rsidRPr="003E6B3B">
        <w:rPr>
          <w:rFonts w:asciiTheme="majorHAnsi" w:hAnsiTheme="majorHAnsi"/>
          <w:noProof/>
          <w:sz w:val="24"/>
          <w:szCs w:val="24"/>
        </w:rPr>
        <w:instrText>11</w:instrText>
      </w:r>
      <w:r w:rsidR="005D033B" w:rsidRPr="003E6B3B">
        <w:rPr>
          <w:rFonts w:asciiTheme="majorHAnsi" w:hAnsiTheme="majorHAnsi"/>
          <w:sz w:val="24"/>
          <w:szCs w:val="24"/>
        </w:rPr>
        <w:fldChar w:fldCharType="end"/>
      </w:r>
      <w:r w:rsidR="005D033B" w:rsidRPr="003E6B3B">
        <w:rPr>
          <w:rFonts w:asciiTheme="majorHAnsi" w:hAnsiTheme="majorHAnsi"/>
          <w:sz w:val="24"/>
          <w:szCs w:val="24"/>
        </w:rPr>
        <w:instrText>)</w:instrText>
      </w:r>
      <w:r w:rsidR="005D033B" w:rsidRPr="003E6B3B">
        <w:rPr>
          <w:rFonts w:asciiTheme="majorHAnsi" w:hAnsiTheme="majorHAnsi"/>
          <w:sz w:val="24"/>
          <w:szCs w:val="24"/>
        </w:rPr>
        <w:fldChar w:fldCharType="end"/>
      </w:r>
    </w:p>
    <w:p w14:paraId="4D40594F" w14:textId="77777777" w:rsidR="005D033B" w:rsidRPr="003E6B3B" w:rsidRDefault="005D033B" w:rsidP="00AC1DAA">
      <w:pPr>
        <w:spacing w:line="23" w:lineRule="atLeast"/>
        <w:ind w:left="567"/>
        <w:jc w:val="both"/>
        <w:rPr>
          <w:rFonts w:asciiTheme="majorHAnsi" w:hAnsiTheme="majorHAnsi"/>
        </w:rPr>
      </w:pPr>
      <w:r w:rsidRPr="003E6B3B">
        <w:rPr>
          <w:rFonts w:asciiTheme="majorHAnsi" w:hAnsiTheme="majorHAnsi"/>
        </w:rPr>
        <w:t xml:space="preserve">with </w:t>
      </w:r>
      <w:r w:rsidRPr="003E6B3B">
        <w:rPr>
          <w:rFonts w:asciiTheme="majorHAnsi" w:hAnsiTheme="majorHAnsi"/>
          <w:noProof/>
          <w:position w:val="-6"/>
        </w:rPr>
        <w:object w:dxaOrig="780" w:dyaOrig="320" w14:anchorId="7564E53E">
          <v:shape id="_x0000_i1094" type="#_x0000_t75" style="width:37.5pt;height:15.75pt" o:ole="">
            <v:imagedata r:id="rId159" o:title=""/>
          </v:shape>
          <o:OLEObject Type="Embed" ProgID="Equation.DSMT4" ShapeID="_x0000_i1094" DrawAspect="Content" ObjectID="_1712658665" r:id="rId160"/>
        </w:object>
      </w:r>
      <w:r w:rsidRPr="003E6B3B">
        <w:rPr>
          <w:rFonts w:asciiTheme="majorHAnsi" w:hAnsiTheme="majorHAnsi"/>
        </w:rPr>
        <w:t xml:space="preserve"> The formulation of </w:t>
      </w:r>
      <w:r w:rsidRPr="003E6B3B">
        <w:rPr>
          <w:rFonts w:asciiTheme="majorHAnsi" w:hAnsiTheme="majorHAnsi"/>
          <w:noProof/>
          <w:position w:val="-10"/>
        </w:rPr>
        <w:object w:dxaOrig="780" w:dyaOrig="320" w14:anchorId="3ABB6E77">
          <v:shape id="_x0000_i1095" type="#_x0000_t75" style="width:37.5pt;height:15.75pt" o:ole="">
            <v:imagedata r:id="rId161" o:title=""/>
          </v:shape>
          <o:OLEObject Type="Embed" ProgID="Equation.DSMT4" ShapeID="_x0000_i1095" DrawAspect="Content" ObjectID="_1712658666" r:id="rId162"/>
        </w:object>
      </w:r>
      <w:r w:rsidRPr="003E6B3B">
        <w:rPr>
          <w:rFonts w:asciiTheme="majorHAnsi" w:hAnsiTheme="majorHAnsi"/>
        </w:rPr>
        <w:t xml:space="preserve"> has a finite optimal solution due to initial assumptions </w:t>
      </w:r>
      <w:r w:rsidRPr="003E6B3B">
        <w:rPr>
          <w:rFonts w:asciiTheme="majorHAnsi" w:hAnsiTheme="majorHAnsi"/>
          <w:noProof/>
          <w:position w:val="-10"/>
        </w:rPr>
        <w:object w:dxaOrig="800" w:dyaOrig="320" w14:anchorId="43899748">
          <v:shape id="_x0000_i1096" type="#_x0000_t75" style="width:41.25pt;height:15.75pt" o:ole="">
            <v:imagedata r:id="rId163" o:title=""/>
          </v:shape>
          <o:OLEObject Type="Embed" ProgID="Equation.DSMT4" ShapeID="_x0000_i1096" DrawAspect="Content" ObjectID="_1712658667" r:id="rId164"/>
        </w:object>
      </w:r>
      <w:r w:rsidRPr="003E6B3B">
        <w:rPr>
          <w:rFonts w:asciiTheme="majorHAnsi" w:hAnsiTheme="majorHAnsi"/>
        </w:rPr>
        <w:t xml:space="preserve">. </w:t>
      </w:r>
    </w:p>
    <w:p w14:paraId="38AF198B" w14:textId="77777777" w:rsidR="005D033B" w:rsidRPr="003E6B3B" w:rsidRDefault="005D033B" w:rsidP="00AC1DAA">
      <w:pPr>
        <w:autoSpaceDE w:val="0"/>
        <w:autoSpaceDN w:val="0"/>
        <w:adjustRightInd w:val="0"/>
        <w:spacing w:line="23" w:lineRule="atLeast"/>
        <w:ind w:left="567" w:firstLine="142"/>
        <w:jc w:val="both"/>
        <w:rPr>
          <w:rFonts w:asciiTheme="majorHAnsi" w:hAnsiTheme="majorHAnsi"/>
        </w:rPr>
      </w:pPr>
      <w:r w:rsidRPr="003E6B3B">
        <w:rPr>
          <w:rFonts w:asciiTheme="majorHAnsi" w:hAnsiTheme="majorHAnsi"/>
        </w:rPr>
        <w:t>Based on the discussion of the three previous materials, an SLR article can be compiled using a combination of the three topics. The three materials make it easier for us to see the gaps between previous studies, then check whether there are studies that discuss two topics or three topics from these materials at once. Furthermore, the first step we took was determining keywords for each topic discussed in the next Method section.</w:t>
      </w:r>
    </w:p>
    <w:p w14:paraId="28678854" w14:textId="7B69452C" w:rsidR="005D033B" w:rsidRPr="003E6B3B" w:rsidRDefault="005D033B" w:rsidP="00267F70">
      <w:pPr>
        <w:pStyle w:val="IEEEParagraph"/>
        <w:numPr>
          <w:ilvl w:val="0"/>
          <w:numId w:val="15"/>
        </w:numPr>
        <w:spacing w:line="23" w:lineRule="atLeast"/>
        <w:ind w:left="284" w:hanging="284"/>
        <w:rPr>
          <w:rStyle w:val="longtext"/>
          <w:rFonts w:asciiTheme="majorHAnsi" w:hAnsiTheme="majorHAnsi"/>
          <w:b/>
          <w:bCs/>
          <w:shd w:val="clear" w:color="auto" w:fill="FFFFFF"/>
        </w:rPr>
      </w:pPr>
      <w:r w:rsidRPr="003E6B3B">
        <w:rPr>
          <w:rStyle w:val="longtext"/>
          <w:rFonts w:asciiTheme="majorHAnsi" w:hAnsiTheme="majorHAnsi"/>
          <w:b/>
          <w:bCs/>
          <w:shd w:val="clear" w:color="auto" w:fill="FFFFFF"/>
        </w:rPr>
        <w:lastRenderedPageBreak/>
        <w:t>Methods</w:t>
      </w:r>
    </w:p>
    <w:p w14:paraId="17BC3BA1" w14:textId="5AB7ED9D" w:rsidR="00B94516" w:rsidRPr="003E6B3B" w:rsidRDefault="00AC1DAA" w:rsidP="005D033B">
      <w:pPr>
        <w:pStyle w:val="IEEEParagraph"/>
        <w:spacing w:line="23" w:lineRule="atLeast"/>
        <w:ind w:firstLine="357"/>
        <w:rPr>
          <w:rStyle w:val="longtext"/>
          <w:rFonts w:asciiTheme="majorHAnsi" w:hAnsiTheme="majorHAnsi"/>
          <w:shd w:val="clear" w:color="auto" w:fill="FFFFFF"/>
        </w:rPr>
      </w:pPr>
      <w:r w:rsidRPr="003E6B3B">
        <w:rPr>
          <w:rStyle w:val="longtext"/>
          <w:rFonts w:asciiTheme="majorHAnsi" w:hAnsiTheme="majorHAnsi"/>
          <w:shd w:val="clear" w:color="auto" w:fill="FFFFFF"/>
        </w:rPr>
        <w:t>Before discussing the method used to support the SLR process in this article, it is necessary to determine what materials are needed for the method. The first step is to determine keywords based on the research topic of this review article, namely the ARC multi-objective integer optimization model with Polyhedral Uncertainty Set using the Benders Decomposition Method approach. We arrange the division of keyword types, as shown in Table 2. Based on Table 2, keywords are divided into six focus sections. Keywords A, B, and C focus on the optimization model, Robust Optimization, and Benders Decomposition Method. In contrast, keywords D, E, F, and G combine keywords A, B, and C. In other words, keywords A, B, and C are the most common keywords, while keyword G is the most specific keyword because it is a combination of the three. This keyword classification aims to check whether there is a relationship between topics in previous research</w:t>
      </w:r>
      <w:r w:rsidR="009B0A53" w:rsidRPr="003E6B3B">
        <w:rPr>
          <w:rStyle w:val="longtext"/>
          <w:rFonts w:asciiTheme="majorHAnsi" w:hAnsiTheme="majorHAnsi"/>
          <w:shd w:val="clear" w:color="auto" w:fill="FFFFFF"/>
        </w:rPr>
        <w:t>.</w:t>
      </w:r>
    </w:p>
    <w:p w14:paraId="5D237514" w14:textId="77777777" w:rsidR="00AC1DAA" w:rsidRPr="003E6B3B" w:rsidRDefault="00AC1DAA" w:rsidP="005D033B">
      <w:pPr>
        <w:pStyle w:val="IEEEParagraph"/>
        <w:spacing w:line="23" w:lineRule="atLeast"/>
        <w:ind w:firstLine="357"/>
        <w:rPr>
          <w:rStyle w:val="longtext"/>
          <w:rFonts w:asciiTheme="majorHAnsi" w:hAnsiTheme="majorHAnsi"/>
          <w:shd w:val="clear" w:color="auto" w:fill="FFFFFF"/>
        </w:rPr>
      </w:pPr>
    </w:p>
    <w:p w14:paraId="55460D31" w14:textId="60313480" w:rsidR="00AC1DAA" w:rsidRPr="003E6B3B" w:rsidRDefault="00AC1DAA" w:rsidP="00AC1DAA">
      <w:pPr>
        <w:spacing w:line="360" w:lineRule="auto"/>
        <w:ind w:left="360"/>
        <w:jc w:val="center"/>
        <w:rPr>
          <w:rFonts w:asciiTheme="majorHAnsi" w:hAnsiTheme="majorHAnsi"/>
          <w:sz w:val="22"/>
          <w:szCs w:val="22"/>
        </w:rPr>
      </w:pPr>
      <w:r w:rsidRPr="003E6B3B">
        <w:rPr>
          <w:rFonts w:asciiTheme="majorHAnsi" w:hAnsiTheme="majorHAnsi"/>
          <w:b/>
          <w:bCs/>
          <w:sz w:val="22"/>
          <w:szCs w:val="22"/>
        </w:rPr>
        <w:t>Table 2</w:t>
      </w:r>
      <w:r w:rsidRPr="003E6B3B">
        <w:rPr>
          <w:rFonts w:asciiTheme="majorHAnsi" w:hAnsiTheme="majorHAnsi"/>
          <w:sz w:val="22"/>
          <w:szCs w:val="22"/>
        </w:rPr>
        <w:t>. Keywords Classification</w:t>
      </w:r>
    </w:p>
    <w:tbl>
      <w:tblPr>
        <w:tblW w:w="10311" w:type="dxa"/>
        <w:jc w:val="center"/>
        <w:tblLook w:val="04A0" w:firstRow="1" w:lastRow="0" w:firstColumn="1" w:lastColumn="0" w:noHBand="0" w:noVBand="1"/>
      </w:tblPr>
      <w:tblGrid>
        <w:gridCol w:w="723"/>
        <w:gridCol w:w="9588"/>
      </w:tblGrid>
      <w:tr w:rsidR="00AC1DAA" w:rsidRPr="003E6B3B" w14:paraId="7F53B1DB" w14:textId="77777777" w:rsidTr="00DC7269">
        <w:trPr>
          <w:jc w:val="center"/>
        </w:trPr>
        <w:tc>
          <w:tcPr>
            <w:tcW w:w="723" w:type="dxa"/>
            <w:tcBorders>
              <w:top w:val="single" w:sz="4" w:space="0" w:color="auto"/>
              <w:bottom w:val="single" w:sz="4" w:space="0" w:color="auto"/>
            </w:tcBorders>
            <w:shd w:val="clear" w:color="auto" w:fill="auto"/>
            <w:vAlign w:val="center"/>
          </w:tcPr>
          <w:p w14:paraId="7B74F6ED" w14:textId="77777777" w:rsidR="00AC1DAA" w:rsidRPr="003E6B3B" w:rsidRDefault="00AC1DAA" w:rsidP="00DC7269">
            <w:pPr>
              <w:jc w:val="center"/>
              <w:rPr>
                <w:rFonts w:asciiTheme="majorHAnsi" w:hAnsiTheme="majorHAnsi"/>
                <w:b/>
                <w:bCs/>
                <w:sz w:val="22"/>
                <w:szCs w:val="22"/>
              </w:rPr>
            </w:pPr>
            <w:r w:rsidRPr="003E6B3B">
              <w:rPr>
                <w:rFonts w:asciiTheme="majorHAnsi" w:hAnsiTheme="majorHAnsi"/>
                <w:b/>
                <w:bCs/>
                <w:sz w:val="22"/>
                <w:szCs w:val="22"/>
              </w:rPr>
              <w:t>Code</w:t>
            </w:r>
          </w:p>
        </w:tc>
        <w:tc>
          <w:tcPr>
            <w:tcW w:w="9588" w:type="dxa"/>
            <w:tcBorders>
              <w:top w:val="single" w:sz="4" w:space="0" w:color="auto"/>
              <w:bottom w:val="single" w:sz="4" w:space="0" w:color="auto"/>
            </w:tcBorders>
            <w:shd w:val="clear" w:color="auto" w:fill="auto"/>
            <w:vAlign w:val="center"/>
          </w:tcPr>
          <w:p w14:paraId="5131D20A" w14:textId="77777777" w:rsidR="00AC1DAA" w:rsidRPr="003E6B3B" w:rsidRDefault="00AC1DAA" w:rsidP="00DC7269">
            <w:pPr>
              <w:ind w:left="360"/>
              <w:jc w:val="center"/>
              <w:rPr>
                <w:rFonts w:asciiTheme="majorHAnsi" w:hAnsiTheme="majorHAnsi"/>
                <w:b/>
                <w:bCs/>
                <w:sz w:val="22"/>
                <w:szCs w:val="22"/>
              </w:rPr>
            </w:pPr>
            <w:r w:rsidRPr="003E6B3B">
              <w:rPr>
                <w:rFonts w:asciiTheme="majorHAnsi" w:hAnsiTheme="majorHAnsi"/>
                <w:b/>
                <w:bCs/>
                <w:sz w:val="22"/>
                <w:szCs w:val="22"/>
              </w:rPr>
              <w:t>Keywords</w:t>
            </w:r>
          </w:p>
        </w:tc>
      </w:tr>
      <w:tr w:rsidR="00AC1DAA" w:rsidRPr="003E6B3B" w14:paraId="0C82DBA4" w14:textId="77777777" w:rsidTr="00DC7269">
        <w:trPr>
          <w:jc w:val="center"/>
        </w:trPr>
        <w:tc>
          <w:tcPr>
            <w:tcW w:w="723" w:type="dxa"/>
            <w:tcBorders>
              <w:top w:val="single" w:sz="4" w:space="0" w:color="auto"/>
              <w:bottom w:val="single" w:sz="4" w:space="0" w:color="auto"/>
            </w:tcBorders>
            <w:shd w:val="clear" w:color="auto" w:fill="auto"/>
            <w:vAlign w:val="center"/>
          </w:tcPr>
          <w:p w14:paraId="48DB11CC"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A</w:t>
            </w:r>
          </w:p>
        </w:tc>
        <w:tc>
          <w:tcPr>
            <w:tcW w:w="9588" w:type="dxa"/>
            <w:tcBorders>
              <w:top w:val="single" w:sz="4" w:space="0" w:color="auto"/>
              <w:bottom w:val="single" w:sz="4" w:space="0" w:color="auto"/>
            </w:tcBorders>
            <w:shd w:val="clear" w:color="auto" w:fill="auto"/>
            <w:vAlign w:val="center"/>
          </w:tcPr>
          <w:p w14:paraId="1746A70A"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“optimization model” AND “integer” AND (“multi-objective” OR “</w:t>
            </w:r>
            <w:proofErr w:type="spellStart"/>
            <w:r w:rsidRPr="003E6B3B">
              <w:rPr>
                <w:rFonts w:asciiTheme="majorHAnsi" w:hAnsiTheme="majorHAnsi"/>
                <w:sz w:val="22"/>
                <w:szCs w:val="22"/>
              </w:rPr>
              <w:t>multiobjective</w:t>
            </w:r>
            <w:proofErr w:type="spellEnd"/>
            <w:r w:rsidRPr="003E6B3B">
              <w:rPr>
                <w:rFonts w:asciiTheme="majorHAnsi" w:hAnsiTheme="majorHAnsi"/>
                <w:sz w:val="22"/>
                <w:szCs w:val="22"/>
              </w:rPr>
              <w:t>”)</w:t>
            </w:r>
          </w:p>
        </w:tc>
      </w:tr>
      <w:tr w:rsidR="00AC1DAA" w:rsidRPr="003E6B3B" w14:paraId="467F1B75" w14:textId="77777777" w:rsidTr="00DC7269">
        <w:trPr>
          <w:jc w:val="center"/>
        </w:trPr>
        <w:tc>
          <w:tcPr>
            <w:tcW w:w="723" w:type="dxa"/>
            <w:tcBorders>
              <w:top w:val="single" w:sz="4" w:space="0" w:color="auto"/>
              <w:bottom w:val="single" w:sz="4" w:space="0" w:color="auto"/>
            </w:tcBorders>
            <w:shd w:val="clear" w:color="auto" w:fill="auto"/>
            <w:vAlign w:val="center"/>
          </w:tcPr>
          <w:p w14:paraId="1330CE1D"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B</w:t>
            </w:r>
          </w:p>
        </w:tc>
        <w:tc>
          <w:tcPr>
            <w:tcW w:w="9588" w:type="dxa"/>
            <w:tcBorders>
              <w:top w:val="single" w:sz="4" w:space="0" w:color="auto"/>
              <w:bottom w:val="single" w:sz="4" w:space="0" w:color="auto"/>
            </w:tcBorders>
            <w:shd w:val="clear" w:color="auto" w:fill="auto"/>
            <w:vAlign w:val="center"/>
          </w:tcPr>
          <w:p w14:paraId="525FF677"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(“robust counterpart” OR “robust optimization”) AND (“uncertainty” OR “polyhedral uncertainty set”) AND (“adjustable robust optimization” OR “adjustable robust counterpart”)</w:t>
            </w:r>
          </w:p>
        </w:tc>
      </w:tr>
      <w:tr w:rsidR="00AC1DAA" w:rsidRPr="003E6B3B" w14:paraId="0FF0B3E3" w14:textId="77777777" w:rsidTr="00DC7269">
        <w:trPr>
          <w:jc w:val="center"/>
        </w:trPr>
        <w:tc>
          <w:tcPr>
            <w:tcW w:w="723" w:type="dxa"/>
            <w:tcBorders>
              <w:top w:val="single" w:sz="4" w:space="0" w:color="auto"/>
              <w:bottom w:val="single" w:sz="4" w:space="0" w:color="auto"/>
            </w:tcBorders>
            <w:shd w:val="clear" w:color="auto" w:fill="auto"/>
            <w:vAlign w:val="center"/>
          </w:tcPr>
          <w:p w14:paraId="154D2462"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C</w:t>
            </w:r>
          </w:p>
        </w:tc>
        <w:tc>
          <w:tcPr>
            <w:tcW w:w="9588" w:type="dxa"/>
            <w:tcBorders>
              <w:top w:val="single" w:sz="4" w:space="0" w:color="auto"/>
              <w:bottom w:val="single" w:sz="4" w:space="0" w:color="auto"/>
            </w:tcBorders>
            <w:shd w:val="clear" w:color="auto" w:fill="auto"/>
            <w:vAlign w:val="center"/>
          </w:tcPr>
          <w:p w14:paraId="4B798503"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“benders decomposition method”</w:t>
            </w:r>
          </w:p>
        </w:tc>
      </w:tr>
      <w:tr w:rsidR="00AC1DAA" w:rsidRPr="003E6B3B" w14:paraId="0E267F1F" w14:textId="77777777" w:rsidTr="00DC7269">
        <w:trPr>
          <w:jc w:val="center"/>
        </w:trPr>
        <w:tc>
          <w:tcPr>
            <w:tcW w:w="723" w:type="dxa"/>
            <w:tcBorders>
              <w:top w:val="single" w:sz="4" w:space="0" w:color="auto"/>
              <w:bottom w:val="single" w:sz="4" w:space="0" w:color="auto"/>
            </w:tcBorders>
            <w:shd w:val="clear" w:color="auto" w:fill="auto"/>
            <w:vAlign w:val="center"/>
          </w:tcPr>
          <w:p w14:paraId="2031BF3E"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D</w:t>
            </w:r>
          </w:p>
        </w:tc>
        <w:tc>
          <w:tcPr>
            <w:tcW w:w="9588" w:type="dxa"/>
            <w:tcBorders>
              <w:top w:val="single" w:sz="4" w:space="0" w:color="auto"/>
              <w:bottom w:val="single" w:sz="4" w:space="0" w:color="auto"/>
            </w:tcBorders>
            <w:shd w:val="clear" w:color="auto" w:fill="auto"/>
            <w:vAlign w:val="center"/>
          </w:tcPr>
          <w:p w14:paraId="2F8274B5"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A AND B</w:t>
            </w:r>
          </w:p>
          <w:p w14:paraId="3AC40CA9"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“optimization model” AND “integer” AND (“multi-objective” OR “</w:t>
            </w:r>
            <w:proofErr w:type="spellStart"/>
            <w:r w:rsidRPr="003E6B3B">
              <w:rPr>
                <w:rFonts w:asciiTheme="majorHAnsi" w:hAnsiTheme="majorHAnsi"/>
                <w:sz w:val="22"/>
                <w:szCs w:val="22"/>
              </w:rPr>
              <w:t>multiobjective</w:t>
            </w:r>
            <w:proofErr w:type="spellEnd"/>
            <w:r w:rsidRPr="003E6B3B">
              <w:rPr>
                <w:rFonts w:asciiTheme="majorHAnsi" w:hAnsiTheme="majorHAnsi"/>
                <w:sz w:val="22"/>
                <w:szCs w:val="22"/>
              </w:rPr>
              <w:t xml:space="preserve">”) </w:t>
            </w:r>
            <w:r w:rsidRPr="003E6B3B">
              <w:rPr>
                <w:rFonts w:asciiTheme="majorHAnsi" w:hAnsiTheme="majorHAnsi"/>
                <w:b/>
                <w:bCs/>
                <w:sz w:val="22"/>
                <w:szCs w:val="22"/>
              </w:rPr>
              <w:t>AND</w:t>
            </w:r>
            <w:r w:rsidRPr="003E6B3B">
              <w:rPr>
                <w:rFonts w:asciiTheme="majorHAnsi" w:hAnsiTheme="majorHAnsi"/>
                <w:sz w:val="22"/>
                <w:szCs w:val="22"/>
              </w:rPr>
              <w:t xml:space="preserve"> (“robust counterpart” OR “robust optimization”) AND (“uncertainty” OR “polyhedral uncertainty set”) AND (“adjustable robust optimization” OR “adjustable robust counterpart”)</w:t>
            </w:r>
          </w:p>
        </w:tc>
      </w:tr>
      <w:tr w:rsidR="00AC1DAA" w:rsidRPr="003E6B3B" w14:paraId="15B5A99D" w14:textId="77777777" w:rsidTr="00DC7269">
        <w:trPr>
          <w:jc w:val="center"/>
        </w:trPr>
        <w:tc>
          <w:tcPr>
            <w:tcW w:w="723" w:type="dxa"/>
            <w:tcBorders>
              <w:top w:val="single" w:sz="4" w:space="0" w:color="auto"/>
              <w:bottom w:val="single" w:sz="4" w:space="0" w:color="auto"/>
            </w:tcBorders>
            <w:shd w:val="clear" w:color="auto" w:fill="auto"/>
            <w:vAlign w:val="center"/>
          </w:tcPr>
          <w:p w14:paraId="75E785ED"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E</w:t>
            </w:r>
          </w:p>
        </w:tc>
        <w:tc>
          <w:tcPr>
            <w:tcW w:w="9588" w:type="dxa"/>
            <w:tcBorders>
              <w:top w:val="single" w:sz="4" w:space="0" w:color="auto"/>
              <w:bottom w:val="single" w:sz="4" w:space="0" w:color="auto"/>
            </w:tcBorders>
            <w:shd w:val="clear" w:color="auto" w:fill="auto"/>
            <w:vAlign w:val="center"/>
          </w:tcPr>
          <w:p w14:paraId="4E09C1BE"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A AND C</w:t>
            </w:r>
          </w:p>
          <w:p w14:paraId="675A7E8C"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“optimization model” AND “integer” AND (“multi-objective” OR “</w:t>
            </w:r>
            <w:proofErr w:type="spellStart"/>
            <w:r w:rsidRPr="003E6B3B">
              <w:rPr>
                <w:rFonts w:asciiTheme="majorHAnsi" w:hAnsiTheme="majorHAnsi"/>
                <w:sz w:val="22"/>
                <w:szCs w:val="22"/>
              </w:rPr>
              <w:t>multiobjective</w:t>
            </w:r>
            <w:proofErr w:type="spellEnd"/>
            <w:r w:rsidRPr="003E6B3B">
              <w:rPr>
                <w:rFonts w:asciiTheme="majorHAnsi" w:hAnsiTheme="majorHAnsi"/>
                <w:sz w:val="22"/>
                <w:szCs w:val="22"/>
              </w:rPr>
              <w:t xml:space="preserve">”) </w:t>
            </w:r>
            <w:r w:rsidRPr="003E6B3B">
              <w:rPr>
                <w:rFonts w:asciiTheme="majorHAnsi" w:hAnsiTheme="majorHAnsi"/>
                <w:b/>
                <w:bCs/>
                <w:sz w:val="22"/>
                <w:szCs w:val="22"/>
              </w:rPr>
              <w:t xml:space="preserve">AND </w:t>
            </w:r>
            <w:r w:rsidRPr="003E6B3B">
              <w:rPr>
                <w:rFonts w:asciiTheme="majorHAnsi" w:hAnsiTheme="majorHAnsi"/>
                <w:sz w:val="22"/>
                <w:szCs w:val="22"/>
              </w:rPr>
              <w:t>“benders decomposition method”</w:t>
            </w:r>
          </w:p>
        </w:tc>
      </w:tr>
      <w:tr w:rsidR="00AC1DAA" w:rsidRPr="003E6B3B" w14:paraId="09BD0A45" w14:textId="77777777" w:rsidTr="00DC7269">
        <w:trPr>
          <w:jc w:val="center"/>
        </w:trPr>
        <w:tc>
          <w:tcPr>
            <w:tcW w:w="723" w:type="dxa"/>
            <w:tcBorders>
              <w:top w:val="single" w:sz="4" w:space="0" w:color="auto"/>
              <w:bottom w:val="single" w:sz="4" w:space="0" w:color="auto"/>
            </w:tcBorders>
            <w:shd w:val="clear" w:color="auto" w:fill="auto"/>
            <w:vAlign w:val="center"/>
          </w:tcPr>
          <w:p w14:paraId="75389CF6"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F</w:t>
            </w:r>
          </w:p>
        </w:tc>
        <w:tc>
          <w:tcPr>
            <w:tcW w:w="9588" w:type="dxa"/>
            <w:tcBorders>
              <w:top w:val="single" w:sz="4" w:space="0" w:color="auto"/>
              <w:bottom w:val="single" w:sz="4" w:space="0" w:color="auto"/>
            </w:tcBorders>
            <w:shd w:val="clear" w:color="auto" w:fill="auto"/>
            <w:vAlign w:val="center"/>
          </w:tcPr>
          <w:p w14:paraId="17EA7AA9"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B AND C</w:t>
            </w:r>
          </w:p>
          <w:p w14:paraId="19707173"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 xml:space="preserve">(“robust counterpart” OR “robust optimization”) AND (“uncertainty” OR “polyhedral uncertainty set”) AND (“adjustable robust optimization” OR “adjustable robust counterpart”) </w:t>
            </w:r>
            <w:r w:rsidRPr="003E6B3B">
              <w:rPr>
                <w:rFonts w:asciiTheme="majorHAnsi" w:hAnsiTheme="majorHAnsi"/>
                <w:b/>
                <w:bCs/>
                <w:sz w:val="22"/>
                <w:szCs w:val="22"/>
              </w:rPr>
              <w:t xml:space="preserve">AND </w:t>
            </w:r>
            <w:r w:rsidRPr="003E6B3B">
              <w:rPr>
                <w:rFonts w:asciiTheme="majorHAnsi" w:hAnsiTheme="majorHAnsi"/>
                <w:sz w:val="22"/>
                <w:szCs w:val="22"/>
              </w:rPr>
              <w:t>“benders decomposition method”</w:t>
            </w:r>
          </w:p>
        </w:tc>
      </w:tr>
      <w:tr w:rsidR="00AC1DAA" w:rsidRPr="003E6B3B" w14:paraId="3539B8C4" w14:textId="77777777" w:rsidTr="00DC7269">
        <w:trPr>
          <w:jc w:val="center"/>
        </w:trPr>
        <w:tc>
          <w:tcPr>
            <w:tcW w:w="723" w:type="dxa"/>
            <w:tcBorders>
              <w:top w:val="single" w:sz="4" w:space="0" w:color="auto"/>
              <w:bottom w:val="single" w:sz="4" w:space="0" w:color="auto"/>
            </w:tcBorders>
            <w:shd w:val="clear" w:color="auto" w:fill="auto"/>
            <w:vAlign w:val="center"/>
          </w:tcPr>
          <w:p w14:paraId="343FA31A"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G</w:t>
            </w:r>
          </w:p>
        </w:tc>
        <w:tc>
          <w:tcPr>
            <w:tcW w:w="9588" w:type="dxa"/>
            <w:tcBorders>
              <w:top w:val="single" w:sz="4" w:space="0" w:color="auto"/>
              <w:bottom w:val="single" w:sz="4" w:space="0" w:color="auto"/>
            </w:tcBorders>
            <w:shd w:val="clear" w:color="auto" w:fill="auto"/>
            <w:vAlign w:val="center"/>
          </w:tcPr>
          <w:p w14:paraId="0860F277"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A AND B AND C</w:t>
            </w:r>
          </w:p>
          <w:p w14:paraId="0A4286CA"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“optimization model” AND “integer” AND (“multi-objective” OR “</w:t>
            </w:r>
            <w:proofErr w:type="spellStart"/>
            <w:r w:rsidRPr="003E6B3B">
              <w:rPr>
                <w:rFonts w:asciiTheme="majorHAnsi" w:hAnsiTheme="majorHAnsi"/>
                <w:sz w:val="22"/>
                <w:szCs w:val="22"/>
              </w:rPr>
              <w:t>multiobjective</w:t>
            </w:r>
            <w:proofErr w:type="spellEnd"/>
            <w:r w:rsidRPr="003E6B3B">
              <w:rPr>
                <w:rFonts w:asciiTheme="majorHAnsi" w:hAnsiTheme="majorHAnsi"/>
                <w:sz w:val="22"/>
                <w:szCs w:val="22"/>
              </w:rPr>
              <w:t xml:space="preserve">”) </w:t>
            </w:r>
            <w:r w:rsidRPr="003E6B3B">
              <w:rPr>
                <w:rFonts w:asciiTheme="majorHAnsi" w:hAnsiTheme="majorHAnsi"/>
                <w:b/>
                <w:bCs/>
                <w:sz w:val="22"/>
                <w:szCs w:val="22"/>
              </w:rPr>
              <w:t>AND</w:t>
            </w:r>
            <w:r w:rsidRPr="003E6B3B">
              <w:rPr>
                <w:rFonts w:asciiTheme="majorHAnsi" w:hAnsiTheme="majorHAnsi"/>
                <w:sz w:val="22"/>
                <w:szCs w:val="22"/>
              </w:rPr>
              <w:t xml:space="preserve"> (“robust counterpart” OR “robust optimization”) AND (“uncertainty” OR “polyhedral uncertainty set”) AND (“adjustable robust optimization” OR “adjustable robust counterpart”) </w:t>
            </w:r>
            <w:r w:rsidRPr="003E6B3B">
              <w:rPr>
                <w:rFonts w:asciiTheme="majorHAnsi" w:hAnsiTheme="majorHAnsi"/>
                <w:b/>
                <w:bCs/>
                <w:sz w:val="22"/>
                <w:szCs w:val="22"/>
              </w:rPr>
              <w:t xml:space="preserve">AND </w:t>
            </w:r>
            <w:r w:rsidRPr="003E6B3B">
              <w:rPr>
                <w:rFonts w:asciiTheme="majorHAnsi" w:hAnsiTheme="majorHAnsi"/>
                <w:sz w:val="22"/>
                <w:szCs w:val="22"/>
              </w:rPr>
              <w:t>“benders decomposition method”</w:t>
            </w:r>
          </w:p>
        </w:tc>
      </w:tr>
    </w:tbl>
    <w:p w14:paraId="40F2C25F" w14:textId="77777777" w:rsidR="00AC1DAA" w:rsidRPr="003E6B3B" w:rsidRDefault="00AC1DAA" w:rsidP="005D033B">
      <w:pPr>
        <w:pStyle w:val="IEEEParagraph"/>
        <w:spacing w:line="23" w:lineRule="atLeast"/>
        <w:ind w:firstLine="357"/>
        <w:rPr>
          <w:rStyle w:val="longtext"/>
          <w:rFonts w:asciiTheme="majorHAnsi" w:hAnsiTheme="majorHAnsi"/>
          <w:shd w:val="clear" w:color="auto" w:fill="FFFFFF"/>
          <w:lang w:val="id-ID"/>
        </w:rPr>
      </w:pPr>
    </w:p>
    <w:p w14:paraId="2B485267" w14:textId="072BA676" w:rsidR="00062122" w:rsidRPr="003E6B3B" w:rsidRDefault="00AC1DAA" w:rsidP="005D033B">
      <w:pPr>
        <w:pStyle w:val="IEEEParagraph"/>
        <w:spacing w:line="23" w:lineRule="atLeast"/>
        <w:ind w:firstLine="357"/>
        <w:rPr>
          <w:rFonts w:asciiTheme="majorHAnsi" w:hAnsiTheme="majorHAnsi"/>
          <w:lang w:val="sv-SE"/>
        </w:rPr>
      </w:pPr>
      <w:r w:rsidRPr="003E6B3B">
        <w:rPr>
          <w:rFonts w:asciiTheme="majorHAnsi" w:hAnsiTheme="majorHAnsi"/>
          <w:lang w:val="sv-SE"/>
        </w:rPr>
        <w:t xml:space="preserve">Furthermore, after compiling keywords, the next step is to determine the article database source. In this article, the author used four database sources, namely Scopus, Science Direct, Dimensions, and Google Scholar. The database obtained from mining on these four sources serves as the material used in the PRISMA method. The six keywords obtained in Table 2 are inputted in the four databases, which will then get the total number identified in Table 3. Previously, in the application of database mining, data type filtering is also required. The searched database is filtered under several conditions: (1). The database is open access, that is, unlimited access via the internet, (2). Databases are publications published in the last six years, from 2017 to 2022 (3). The database is research in mathematics, mathematical science, or applied mathematics (this selection of research fields used only in Scopus, Science Direct, and Dimensions), (4). The database is in research articles or conference papers, (5). Source type database is open access journals and conference proceedings that have been published, (6). The database used English, (7). Using all types of publication stage, journal name, affiliation, funding sponsor, country/territory, and lastly (8). Database search within article title, abstract, and keywords. Based on the eight data type limitations, the results obtained are the number of </w:t>
      </w:r>
      <w:r w:rsidRPr="003E6B3B">
        <w:rPr>
          <w:rFonts w:asciiTheme="majorHAnsi" w:hAnsiTheme="majorHAnsi"/>
          <w:lang w:val="sv-SE"/>
        </w:rPr>
        <w:lastRenderedPageBreak/>
        <w:t>articles in the four sources and their totals, as shown in Table 3. Based on Table 3, it can be seen that the more specific the inputted keywords, the fewer the number of databases obtained, even for keywords D to G, none of the articles identified</w:t>
      </w:r>
      <w:r w:rsidR="00062122" w:rsidRPr="003E6B3B">
        <w:rPr>
          <w:rFonts w:asciiTheme="majorHAnsi" w:hAnsiTheme="majorHAnsi"/>
          <w:lang w:val="sv-SE"/>
        </w:rPr>
        <w:t>.</w:t>
      </w:r>
    </w:p>
    <w:p w14:paraId="309DB105" w14:textId="77777777" w:rsidR="00AC1DAA" w:rsidRPr="003E6B3B" w:rsidRDefault="00AC1DAA" w:rsidP="005D033B">
      <w:pPr>
        <w:pStyle w:val="IEEEParagraph"/>
        <w:spacing w:line="23" w:lineRule="atLeast"/>
        <w:ind w:firstLine="357"/>
        <w:rPr>
          <w:rFonts w:asciiTheme="majorHAnsi" w:hAnsiTheme="majorHAnsi"/>
          <w:lang w:val="sv-SE"/>
        </w:rPr>
      </w:pPr>
    </w:p>
    <w:p w14:paraId="5D81A994" w14:textId="443CF72C" w:rsidR="00AC1DAA" w:rsidRPr="003E6B3B" w:rsidRDefault="00AC1DAA" w:rsidP="00AC1DAA">
      <w:pPr>
        <w:spacing w:line="360" w:lineRule="auto"/>
        <w:ind w:left="360"/>
        <w:jc w:val="center"/>
        <w:rPr>
          <w:rFonts w:asciiTheme="majorHAnsi" w:hAnsiTheme="majorHAnsi"/>
          <w:sz w:val="22"/>
          <w:szCs w:val="22"/>
        </w:rPr>
      </w:pPr>
      <w:r w:rsidRPr="003E6B3B">
        <w:rPr>
          <w:rFonts w:asciiTheme="majorHAnsi" w:hAnsiTheme="majorHAnsi"/>
          <w:b/>
          <w:bCs/>
          <w:sz w:val="22"/>
          <w:szCs w:val="22"/>
        </w:rPr>
        <w:t>Table 3</w:t>
      </w:r>
      <w:r w:rsidRPr="003E6B3B">
        <w:rPr>
          <w:rFonts w:asciiTheme="majorHAnsi" w:hAnsiTheme="majorHAnsi"/>
          <w:sz w:val="22"/>
          <w:szCs w:val="22"/>
        </w:rPr>
        <w:t>. The Results of Database Mining of Six Type of Keywords in The Four Sources</w:t>
      </w:r>
    </w:p>
    <w:tbl>
      <w:tblPr>
        <w:tblW w:w="10124" w:type="dxa"/>
        <w:jc w:val="center"/>
        <w:tblLayout w:type="fixed"/>
        <w:tblLook w:val="04A0" w:firstRow="1" w:lastRow="0" w:firstColumn="1" w:lastColumn="0" w:noHBand="0" w:noVBand="1"/>
      </w:tblPr>
      <w:tblGrid>
        <w:gridCol w:w="884"/>
        <w:gridCol w:w="1574"/>
        <w:gridCol w:w="1701"/>
        <w:gridCol w:w="1417"/>
        <w:gridCol w:w="3702"/>
        <w:gridCol w:w="846"/>
      </w:tblGrid>
      <w:tr w:rsidR="00AC1DAA" w:rsidRPr="003E6B3B" w14:paraId="7B2FF3BE" w14:textId="77777777" w:rsidTr="00DC7269">
        <w:trPr>
          <w:jc w:val="center"/>
        </w:trPr>
        <w:tc>
          <w:tcPr>
            <w:tcW w:w="884" w:type="dxa"/>
            <w:tcBorders>
              <w:top w:val="single" w:sz="4" w:space="0" w:color="auto"/>
              <w:bottom w:val="single" w:sz="4" w:space="0" w:color="auto"/>
            </w:tcBorders>
            <w:shd w:val="clear" w:color="auto" w:fill="auto"/>
            <w:vAlign w:val="center"/>
          </w:tcPr>
          <w:p w14:paraId="5253893A" w14:textId="77777777" w:rsidR="00AC1DAA" w:rsidRPr="003E6B3B" w:rsidRDefault="00AC1DAA" w:rsidP="00DC7269">
            <w:pPr>
              <w:jc w:val="center"/>
              <w:rPr>
                <w:rFonts w:asciiTheme="majorHAnsi" w:hAnsiTheme="majorHAnsi"/>
                <w:b/>
                <w:bCs/>
                <w:sz w:val="22"/>
                <w:szCs w:val="22"/>
              </w:rPr>
            </w:pPr>
            <w:bookmarkStart w:id="2" w:name="_Hlk96285250"/>
            <w:r w:rsidRPr="003E6B3B">
              <w:rPr>
                <w:rFonts w:asciiTheme="majorHAnsi" w:hAnsiTheme="majorHAnsi"/>
                <w:b/>
                <w:bCs/>
                <w:sz w:val="22"/>
                <w:szCs w:val="22"/>
              </w:rPr>
              <w:t>Code</w:t>
            </w:r>
          </w:p>
        </w:tc>
        <w:tc>
          <w:tcPr>
            <w:tcW w:w="1574" w:type="dxa"/>
            <w:tcBorders>
              <w:top w:val="single" w:sz="4" w:space="0" w:color="auto"/>
              <w:bottom w:val="single" w:sz="4" w:space="0" w:color="auto"/>
            </w:tcBorders>
            <w:shd w:val="clear" w:color="auto" w:fill="auto"/>
            <w:vAlign w:val="center"/>
          </w:tcPr>
          <w:p w14:paraId="69C45693" w14:textId="77777777" w:rsidR="00AC1DAA" w:rsidRPr="003E6B3B" w:rsidRDefault="00AC1DAA" w:rsidP="00DC7269">
            <w:pPr>
              <w:jc w:val="center"/>
              <w:rPr>
                <w:rFonts w:asciiTheme="majorHAnsi" w:hAnsiTheme="majorHAnsi"/>
                <w:b/>
                <w:bCs/>
                <w:sz w:val="22"/>
                <w:szCs w:val="22"/>
              </w:rPr>
            </w:pPr>
            <w:r w:rsidRPr="003E6B3B">
              <w:rPr>
                <w:rFonts w:asciiTheme="majorHAnsi" w:hAnsiTheme="majorHAnsi"/>
                <w:b/>
                <w:bCs/>
                <w:sz w:val="22"/>
                <w:szCs w:val="22"/>
              </w:rPr>
              <w:t>Scopus</w:t>
            </w:r>
          </w:p>
        </w:tc>
        <w:tc>
          <w:tcPr>
            <w:tcW w:w="1701" w:type="dxa"/>
            <w:tcBorders>
              <w:top w:val="single" w:sz="4" w:space="0" w:color="auto"/>
              <w:bottom w:val="single" w:sz="4" w:space="0" w:color="auto"/>
            </w:tcBorders>
            <w:shd w:val="clear" w:color="auto" w:fill="auto"/>
            <w:vAlign w:val="center"/>
          </w:tcPr>
          <w:p w14:paraId="2C3A43CF" w14:textId="77777777" w:rsidR="00AC1DAA" w:rsidRPr="003E6B3B" w:rsidRDefault="00AC1DAA" w:rsidP="00DC7269">
            <w:pPr>
              <w:jc w:val="center"/>
              <w:rPr>
                <w:rFonts w:asciiTheme="majorHAnsi" w:hAnsiTheme="majorHAnsi"/>
                <w:b/>
                <w:bCs/>
                <w:sz w:val="22"/>
                <w:szCs w:val="22"/>
              </w:rPr>
            </w:pPr>
            <w:r w:rsidRPr="003E6B3B">
              <w:rPr>
                <w:rFonts w:asciiTheme="majorHAnsi" w:hAnsiTheme="majorHAnsi"/>
                <w:b/>
                <w:bCs/>
                <w:sz w:val="22"/>
                <w:szCs w:val="22"/>
              </w:rPr>
              <w:t>Science Direct</w:t>
            </w:r>
          </w:p>
        </w:tc>
        <w:tc>
          <w:tcPr>
            <w:tcW w:w="1417" w:type="dxa"/>
            <w:tcBorders>
              <w:top w:val="single" w:sz="4" w:space="0" w:color="auto"/>
              <w:bottom w:val="single" w:sz="4" w:space="0" w:color="auto"/>
            </w:tcBorders>
            <w:shd w:val="clear" w:color="auto" w:fill="auto"/>
            <w:vAlign w:val="center"/>
          </w:tcPr>
          <w:p w14:paraId="52482015" w14:textId="77777777" w:rsidR="00AC1DAA" w:rsidRPr="003E6B3B" w:rsidRDefault="00AC1DAA" w:rsidP="00DC7269">
            <w:pPr>
              <w:jc w:val="center"/>
              <w:rPr>
                <w:rFonts w:asciiTheme="majorHAnsi" w:hAnsiTheme="majorHAnsi"/>
                <w:b/>
                <w:bCs/>
                <w:sz w:val="22"/>
                <w:szCs w:val="22"/>
              </w:rPr>
            </w:pPr>
            <w:r w:rsidRPr="003E6B3B">
              <w:rPr>
                <w:rFonts w:asciiTheme="majorHAnsi" w:hAnsiTheme="majorHAnsi"/>
                <w:b/>
                <w:bCs/>
                <w:sz w:val="22"/>
                <w:szCs w:val="22"/>
              </w:rPr>
              <w:t>Dimensions</w:t>
            </w:r>
          </w:p>
        </w:tc>
        <w:tc>
          <w:tcPr>
            <w:tcW w:w="3702" w:type="dxa"/>
            <w:tcBorders>
              <w:top w:val="single" w:sz="4" w:space="0" w:color="auto"/>
              <w:bottom w:val="single" w:sz="4" w:space="0" w:color="auto"/>
            </w:tcBorders>
            <w:shd w:val="clear" w:color="auto" w:fill="auto"/>
            <w:vAlign w:val="center"/>
          </w:tcPr>
          <w:p w14:paraId="3403B533" w14:textId="77777777" w:rsidR="00AC1DAA" w:rsidRPr="003E6B3B" w:rsidRDefault="00AC1DAA" w:rsidP="00DC7269">
            <w:pPr>
              <w:jc w:val="center"/>
              <w:rPr>
                <w:rFonts w:asciiTheme="majorHAnsi" w:hAnsiTheme="majorHAnsi"/>
                <w:b/>
                <w:bCs/>
                <w:sz w:val="22"/>
                <w:szCs w:val="22"/>
              </w:rPr>
            </w:pPr>
            <w:r w:rsidRPr="003E6B3B">
              <w:rPr>
                <w:rFonts w:asciiTheme="majorHAnsi" w:hAnsiTheme="majorHAnsi"/>
                <w:b/>
                <w:bCs/>
                <w:sz w:val="22"/>
                <w:szCs w:val="22"/>
              </w:rPr>
              <w:t>Google Scholar</w:t>
            </w:r>
          </w:p>
          <w:p w14:paraId="0D4B2AC4" w14:textId="77777777" w:rsidR="00AC1DAA" w:rsidRPr="003E6B3B" w:rsidRDefault="00AC1DAA" w:rsidP="00DC7269">
            <w:pPr>
              <w:jc w:val="center"/>
              <w:rPr>
                <w:rFonts w:asciiTheme="majorHAnsi" w:hAnsiTheme="majorHAnsi"/>
                <w:b/>
                <w:bCs/>
                <w:sz w:val="22"/>
                <w:szCs w:val="22"/>
              </w:rPr>
            </w:pPr>
            <w:r w:rsidRPr="003E6B3B">
              <w:rPr>
                <w:rFonts w:asciiTheme="majorHAnsi" w:hAnsiTheme="majorHAnsi"/>
                <w:b/>
                <w:bCs/>
                <w:sz w:val="22"/>
                <w:szCs w:val="22"/>
              </w:rPr>
              <w:t>(with Publish or Perish application)</w:t>
            </w:r>
          </w:p>
        </w:tc>
        <w:tc>
          <w:tcPr>
            <w:tcW w:w="846" w:type="dxa"/>
            <w:tcBorders>
              <w:top w:val="single" w:sz="4" w:space="0" w:color="auto"/>
              <w:bottom w:val="single" w:sz="4" w:space="0" w:color="auto"/>
            </w:tcBorders>
            <w:shd w:val="clear" w:color="auto" w:fill="auto"/>
            <w:vAlign w:val="center"/>
          </w:tcPr>
          <w:p w14:paraId="17B44E63" w14:textId="77777777" w:rsidR="00AC1DAA" w:rsidRPr="003E6B3B" w:rsidRDefault="00AC1DAA" w:rsidP="00DC7269">
            <w:pPr>
              <w:jc w:val="center"/>
              <w:rPr>
                <w:rFonts w:asciiTheme="majorHAnsi" w:hAnsiTheme="majorHAnsi"/>
                <w:b/>
                <w:bCs/>
                <w:sz w:val="22"/>
                <w:szCs w:val="22"/>
              </w:rPr>
            </w:pPr>
            <w:r w:rsidRPr="003E6B3B">
              <w:rPr>
                <w:rFonts w:asciiTheme="majorHAnsi" w:hAnsiTheme="majorHAnsi"/>
                <w:b/>
                <w:bCs/>
                <w:sz w:val="22"/>
                <w:szCs w:val="22"/>
              </w:rPr>
              <w:t>Total</w:t>
            </w:r>
          </w:p>
        </w:tc>
      </w:tr>
      <w:bookmarkEnd w:id="2"/>
      <w:tr w:rsidR="00AC1DAA" w:rsidRPr="003E6B3B" w14:paraId="50F0891C" w14:textId="77777777" w:rsidTr="00DC7269">
        <w:trPr>
          <w:jc w:val="center"/>
        </w:trPr>
        <w:tc>
          <w:tcPr>
            <w:tcW w:w="884" w:type="dxa"/>
            <w:tcBorders>
              <w:top w:val="single" w:sz="4" w:space="0" w:color="auto"/>
            </w:tcBorders>
            <w:shd w:val="clear" w:color="auto" w:fill="auto"/>
            <w:vAlign w:val="center"/>
          </w:tcPr>
          <w:p w14:paraId="79A6C0AC"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A</w:t>
            </w:r>
          </w:p>
        </w:tc>
        <w:tc>
          <w:tcPr>
            <w:tcW w:w="1574" w:type="dxa"/>
            <w:tcBorders>
              <w:top w:val="single" w:sz="4" w:space="0" w:color="auto"/>
            </w:tcBorders>
            <w:shd w:val="clear" w:color="auto" w:fill="auto"/>
            <w:vAlign w:val="center"/>
          </w:tcPr>
          <w:p w14:paraId="0D3A820B"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25</w:t>
            </w:r>
          </w:p>
        </w:tc>
        <w:tc>
          <w:tcPr>
            <w:tcW w:w="1701" w:type="dxa"/>
            <w:tcBorders>
              <w:top w:val="single" w:sz="4" w:space="0" w:color="auto"/>
            </w:tcBorders>
            <w:shd w:val="clear" w:color="auto" w:fill="auto"/>
            <w:vAlign w:val="center"/>
          </w:tcPr>
          <w:p w14:paraId="189BA7B5"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21</w:t>
            </w:r>
          </w:p>
        </w:tc>
        <w:tc>
          <w:tcPr>
            <w:tcW w:w="1417" w:type="dxa"/>
            <w:tcBorders>
              <w:top w:val="single" w:sz="4" w:space="0" w:color="auto"/>
            </w:tcBorders>
            <w:shd w:val="clear" w:color="auto" w:fill="auto"/>
            <w:vAlign w:val="center"/>
          </w:tcPr>
          <w:p w14:paraId="267D77B6"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19</w:t>
            </w:r>
          </w:p>
        </w:tc>
        <w:tc>
          <w:tcPr>
            <w:tcW w:w="3702" w:type="dxa"/>
            <w:tcBorders>
              <w:top w:val="single" w:sz="4" w:space="0" w:color="auto"/>
            </w:tcBorders>
            <w:shd w:val="clear" w:color="auto" w:fill="auto"/>
            <w:vAlign w:val="center"/>
          </w:tcPr>
          <w:p w14:paraId="36665A5C"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5</w:t>
            </w:r>
          </w:p>
        </w:tc>
        <w:tc>
          <w:tcPr>
            <w:tcW w:w="846" w:type="dxa"/>
            <w:tcBorders>
              <w:top w:val="single" w:sz="4" w:space="0" w:color="auto"/>
            </w:tcBorders>
            <w:shd w:val="clear" w:color="auto" w:fill="auto"/>
            <w:vAlign w:val="center"/>
          </w:tcPr>
          <w:p w14:paraId="0FA53BB7"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70</w:t>
            </w:r>
          </w:p>
        </w:tc>
      </w:tr>
      <w:tr w:rsidR="00AC1DAA" w:rsidRPr="003E6B3B" w14:paraId="1282D281" w14:textId="77777777" w:rsidTr="00DC7269">
        <w:trPr>
          <w:jc w:val="center"/>
        </w:trPr>
        <w:tc>
          <w:tcPr>
            <w:tcW w:w="884" w:type="dxa"/>
            <w:shd w:val="clear" w:color="auto" w:fill="auto"/>
            <w:vAlign w:val="center"/>
          </w:tcPr>
          <w:p w14:paraId="36C8E8C4"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B</w:t>
            </w:r>
          </w:p>
        </w:tc>
        <w:tc>
          <w:tcPr>
            <w:tcW w:w="1574" w:type="dxa"/>
            <w:shd w:val="clear" w:color="auto" w:fill="auto"/>
            <w:vAlign w:val="center"/>
          </w:tcPr>
          <w:p w14:paraId="549668C4"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11</w:t>
            </w:r>
          </w:p>
        </w:tc>
        <w:tc>
          <w:tcPr>
            <w:tcW w:w="1701" w:type="dxa"/>
            <w:shd w:val="clear" w:color="auto" w:fill="auto"/>
            <w:vAlign w:val="center"/>
          </w:tcPr>
          <w:p w14:paraId="293DFE92"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5</w:t>
            </w:r>
          </w:p>
        </w:tc>
        <w:tc>
          <w:tcPr>
            <w:tcW w:w="1417" w:type="dxa"/>
            <w:shd w:val="clear" w:color="auto" w:fill="auto"/>
            <w:vAlign w:val="center"/>
          </w:tcPr>
          <w:p w14:paraId="4A5BF8EF"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16</w:t>
            </w:r>
          </w:p>
        </w:tc>
        <w:tc>
          <w:tcPr>
            <w:tcW w:w="3702" w:type="dxa"/>
            <w:shd w:val="clear" w:color="auto" w:fill="auto"/>
            <w:vAlign w:val="center"/>
          </w:tcPr>
          <w:p w14:paraId="4569D71E"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8</w:t>
            </w:r>
          </w:p>
        </w:tc>
        <w:tc>
          <w:tcPr>
            <w:tcW w:w="846" w:type="dxa"/>
            <w:shd w:val="clear" w:color="auto" w:fill="auto"/>
            <w:vAlign w:val="center"/>
          </w:tcPr>
          <w:p w14:paraId="086E8221"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40</w:t>
            </w:r>
          </w:p>
        </w:tc>
      </w:tr>
      <w:tr w:rsidR="00AC1DAA" w:rsidRPr="003E6B3B" w14:paraId="2F173341" w14:textId="77777777" w:rsidTr="00DC7269">
        <w:trPr>
          <w:jc w:val="center"/>
        </w:trPr>
        <w:tc>
          <w:tcPr>
            <w:tcW w:w="884" w:type="dxa"/>
            <w:shd w:val="clear" w:color="auto" w:fill="auto"/>
            <w:vAlign w:val="center"/>
          </w:tcPr>
          <w:p w14:paraId="3FD26047"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C</w:t>
            </w:r>
          </w:p>
        </w:tc>
        <w:tc>
          <w:tcPr>
            <w:tcW w:w="1574" w:type="dxa"/>
            <w:shd w:val="clear" w:color="auto" w:fill="auto"/>
            <w:vAlign w:val="center"/>
          </w:tcPr>
          <w:p w14:paraId="04C44D3A"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12</w:t>
            </w:r>
          </w:p>
        </w:tc>
        <w:tc>
          <w:tcPr>
            <w:tcW w:w="1701" w:type="dxa"/>
            <w:shd w:val="clear" w:color="auto" w:fill="auto"/>
            <w:vAlign w:val="center"/>
          </w:tcPr>
          <w:p w14:paraId="79D35DD8"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17</w:t>
            </w:r>
          </w:p>
        </w:tc>
        <w:tc>
          <w:tcPr>
            <w:tcW w:w="1417" w:type="dxa"/>
            <w:shd w:val="clear" w:color="auto" w:fill="auto"/>
            <w:vAlign w:val="center"/>
          </w:tcPr>
          <w:p w14:paraId="3CC41504"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9</w:t>
            </w:r>
          </w:p>
        </w:tc>
        <w:tc>
          <w:tcPr>
            <w:tcW w:w="3702" w:type="dxa"/>
            <w:shd w:val="clear" w:color="auto" w:fill="auto"/>
            <w:vAlign w:val="center"/>
          </w:tcPr>
          <w:p w14:paraId="49670382"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35</w:t>
            </w:r>
          </w:p>
        </w:tc>
        <w:tc>
          <w:tcPr>
            <w:tcW w:w="846" w:type="dxa"/>
            <w:shd w:val="clear" w:color="auto" w:fill="auto"/>
            <w:vAlign w:val="center"/>
          </w:tcPr>
          <w:p w14:paraId="0FFE6FE4"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73</w:t>
            </w:r>
          </w:p>
        </w:tc>
      </w:tr>
      <w:tr w:rsidR="00AC1DAA" w:rsidRPr="003E6B3B" w14:paraId="2BF7B75C" w14:textId="77777777" w:rsidTr="00DC7269">
        <w:trPr>
          <w:jc w:val="center"/>
        </w:trPr>
        <w:tc>
          <w:tcPr>
            <w:tcW w:w="884" w:type="dxa"/>
            <w:shd w:val="clear" w:color="auto" w:fill="auto"/>
            <w:vAlign w:val="center"/>
          </w:tcPr>
          <w:p w14:paraId="28160BA6"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D</w:t>
            </w:r>
          </w:p>
        </w:tc>
        <w:tc>
          <w:tcPr>
            <w:tcW w:w="1574" w:type="dxa"/>
            <w:shd w:val="clear" w:color="auto" w:fill="auto"/>
            <w:vAlign w:val="center"/>
          </w:tcPr>
          <w:p w14:paraId="70C99A45"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1701" w:type="dxa"/>
            <w:shd w:val="clear" w:color="auto" w:fill="auto"/>
            <w:vAlign w:val="center"/>
          </w:tcPr>
          <w:p w14:paraId="01304766"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w:t>
            </w:r>
          </w:p>
        </w:tc>
        <w:tc>
          <w:tcPr>
            <w:tcW w:w="1417" w:type="dxa"/>
            <w:shd w:val="clear" w:color="auto" w:fill="auto"/>
            <w:vAlign w:val="center"/>
          </w:tcPr>
          <w:p w14:paraId="342FD11F"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3702" w:type="dxa"/>
            <w:shd w:val="clear" w:color="auto" w:fill="auto"/>
            <w:vAlign w:val="center"/>
          </w:tcPr>
          <w:p w14:paraId="29766D87"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846" w:type="dxa"/>
            <w:shd w:val="clear" w:color="auto" w:fill="auto"/>
            <w:vAlign w:val="center"/>
          </w:tcPr>
          <w:p w14:paraId="3F549C29"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r>
      <w:tr w:rsidR="00AC1DAA" w:rsidRPr="003E6B3B" w14:paraId="357E8E2F" w14:textId="77777777" w:rsidTr="00DC7269">
        <w:trPr>
          <w:jc w:val="center"/>
        </w:trPr>
        <w:tc>
          <w:tcPr>
            <w:tcW w:w="884" w:type="dxa"/>
            <w:shd w:val="clear" w:color="auto" w:fill="auto"/>
            <w:vAlign w:val="center"/>
          </w:tcPr>
          <w:p w14:paraId="59421A23"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E</w:t>
            </w:r>
          </w:p>
        </w:tc>
        <w:tc>
          <w:tcPr>
            <w:tcW w:w="1574" w:type="dxa"/>
            <w:shd w:val="clear" w:color="auto" w:fill="auto"/>
            <w:vAlign w:val="center"/>
          </w:tcPr>
          <w:p w14:paraId="57F1A920"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1701" w:type="dxa"/>
            <w:shd w:val="clear" w:color="auto" w:fill="auto"/>
            <w:vAlign w:val="center"/>
          </w:tcPr>
          <w:p w14:paraId="6CF2067E"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1417" w:type="dxa"/>
            <w:shd w:val="clear" w:color="auto" w:fill="auto"/>
            <w:vAlign w:val="center"/>
          </w:tcPr>
          <w:p w14:paraId="1BEFEFC2"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3702" w:type="dxa"/>
            <w:shd w:val="clear" w:color="auto" w:fill="auto"/>
            <w:vAlign w:val="center"/>
          </w:tcPr>
          <w:p w14:paraId="5ECDB32D"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846" w:type="dxa"/>
            <w:shd w:val="clear" w:color="auto" w:fill="auto"/>
            <w:vAlign w:val="center"/>
          </w:tcPr>
          <w:p w14:paraId="145FAD0D"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r>
      <w:tr w:rsidR="00AC1DAA" w:rsidRPr="003E6B3B" w14:paraId="2F507236" w14:textId="77777777" w:rsidTr="00DC7269">
        <w:trPr>
          <w:jc w:val="center"/>
        </w:trPr>
        <w:tc>
          <w:tcPr>
            <w:tcW w:w="884" w:type="dxa"/>
            <w:shd w:val="clear" w:color="auto" w:fill="auto"/>
            <w:vAlign w:val="center"/>
          </w:tcPr>
          <w:p w14:paraId="53217F55"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F</w:t>
            </w:r>
          </w:p>
        </w:tc>
        <w:tc>
          <w:tcPr>
            <w:tcW w:w="1574" w:type="dxa"/>
            <w:shd w:val="clear" w:color="auto" w:fill="auto"/>
            <w:vAlign w:val="center"/>
          </w:tcPr>
          <w:p w14:paraId="471ECD0D"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1701" w:type="dxa"/>
            <w:shd w:val="clear" w:color="auto" w:fill="auto"/>
            <w:vAlign w:val="center"/>
          </w:tcPr>
          <w:p w14:paraId="03AD3827"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w:t>
            </w:r>
          </w:p>
        </w:tc>
        <w:tc>
          <w:tcPr>
            <w:tcW w:w="1417" w:type="dxa"/>
            <w:shd w:val="clear" w:color="auto" w:fill="auto"/>
            <w:vAlign w:val="center"/>
          </w:tcPr>
          <w:p w14:paraId="274FEE23"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3702" w:type="dxa"/>
            <w:shd w:val="clear" w:color="auto" w:fill="auto"/>
            <w:vAlign w:val="center"/>
          </w:tcPr>
          <w:p w14:paraId="406F7082"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846" w:type="dxa"/>
            <w:shd w:val="clear" w:color="auto" w:fill="auto"/>
            <w:vAlign w:val="center"/>
          </w:tcPr>
          <w:p w14:paraId="0E3C031F"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r>
      <w:tr w:rsidR="00AC1DAA" w:rsidRPr="003E6B3B" w14:paraId="5E89F55F" w14:textId="77777777" w:rsidTr="00DC7269">
        <w:trPr>
          <w:jc w:val="center"/>
        </w:trPr>
        <w:tc>
          <w:tcPr>
            <w:tcW w:w="884" w:type="dxa"/>
            <w:tcBorders>
              <w:bottom w:val="single" w:sz="4" w:space="0" w:color="auto"/>
            </w:tcBorders>
            <w:shd w:val="clear" w:color="auto" w:fill="auto"/>
            <w:vAlign w:val="center"/>
          </w:tcPr>
          <w:p w14:paraId="3C3A5311"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G</w:t>
            </w:r>
          </w:p>
        </w:tc>
        <w:tc>
          <w:tcPr>
            <w:tcW w:w="1574" w:type="dxa"/>
            <w:tcBorders>
              <w:bottom w:val="single" w:sz="4" w:space="0" w:color="auto"/>
            </w:tcBorders>
            <w:shd w:val="clear" w:color="auto" w:fill="auto"/>
            <w:vAlign w:val="center"/>
          </w:tcPr>
          <w:p w14:paraId="249177AA"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1701" w:type="dxa"/>
            <w:tcBorders>
              <w:bottom w:val="single" w:sz="4" w:space="0" w:color="auto"/>
            </w:tcBorders>
            <w:shd w:val="clear" w:color="auto" w:fill="auto"/>
            <w:vAlign w:val="center"/>
          </w:tcPr>
          <w:p w14:paraId="7BA868FB"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w:t>
            </w:r>
          </w:p>
        </w:tc>
        <w:tc>
          <w:tcPr>
            <w:tcW w:w="1417" w:type="dxa"/>
            <w:tcBorders>
              <w:bottom w:val="single" w:sz="4" w:space="0" w:color="auto"/>
            </w:tcBorders>
            <w:shd w:val="clear" w:color="auto" w:fill="auto"/>
            <w:vAlign w:val="center"/>
          </w:tcPr>
          <w:p w14:paraId="06D0562E"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3702" w:type="dxa"/>
            <w:tcBorders>
              <w:bottom w:val="single" w:sz="4" w:space="0" w:color="auto"/>
            </w:tcBorders>
            <w:shd w:val="clear" w:color="auto" w:fill="auto"/>
            <w:vAlign w:val="center"/>
          </w:tcPr>
          <w:p w14:paraId="0186D2E5"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846" w:type="dxa"/>
            <w:tcBorders>
              <w:bottom w:val="single" w:sz="4" w:space="0" w:color="auto"/>
            </w:tcBorders>
            <w:shd w:val="clear" w:color="auto" w:fill="auto"/>
            <w:vAlign w:val="center"/>
          </w:tcPr>
          <w:p w14:paraId="2C5546CD"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r>
      <w:tr w:rsidR="00AC1DAA" w:rsidRPr="003E6B3B" w14:paraId="106A0A31" w14:textId="77777777" w:rsidTr="00DC7269">
        <w:trPr>
          <w:jc w:val="center"/>
        </w:trPr>
        <w:tc>
          <w:tcPr>
            <w:tcW w:w="884" w:type="dxa"/>
            <w:tcBorders>
              <w:top w:val="single" w:sz="4" w:space="0" w:color="auto"/>
              <w:bottom w:val="single" w:sz="4" w:space="0" w:color="auto"/>
            </w:tcBorders>
            <w:shd w:val="clear" w:color="auto" w:fill="auto"/>
            <w:vAlign w:val="center"/>
          </w:tcPr>
          <w:p w14:paraId="6D972D1D"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Total</w:t>
            </w:r>
          </w:p>
        </w:tc>
        <w:tc>
          <w:tcPr>
            <w:tcW w:w="1574" w:type="dxa"/>
            <w:tcBorders>
              <w:top w:val="single" w:sz="4" w:space="0" w:color="auto"/>
              <w:bottom w:val="single" w:sz="4" w:space="0" w:color="auto"/>
            </w:tcBorders>
            <w:shd w:val="clear" w:color="auto" w:fill="auto"/>
            <w:vAlign w:val="center"/>
          </w:tcPr>
          <w:p w14:paraId="5BAAB3C2"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48</w:t>
            </w:r>
          </w:p>
        </w:tc>
        <w:tc>
          <w:tcPr>
            <w:tcW w:w="1701" w:type="dxa"/>
            <w:tcBorders>
              <w:top w:val="single" w:sz="4" w:space="0" w:color="auto"/>
              <w:bottom w:val="single" w:sz="4" w:space="0" w:color="auto"/>
            </w:tcBorders>
            <w:shd w:val="clear" w:color="auto" w:fill="auto"/>
            <w:vAlign w:val="center"/>
          </w:tcPr>
          <w:p w14:paraId="3EBF0DFE"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43</w:t>
            </w:r>
          </w:p>
        </w:tc>
        <w:tc>
          <w:tcPr>
            <w:tcW w:w="1417" w:type="dxa"/>
            <w:tcBorders>
              <w:top w:val="single" w:sz="4" w:space="0" w:color="auto"/>
              <w:bottom w:val="single" w:sz="4" w:space="0" w:color="auto"/>
            </w:tcBorders>
            <w:shd w:val="clear" w:color="auto" w:fill="auto"/>
            <w:vAlign w:val="center"/>
          </w:tcPr>
          <w:p w14:paraId="42888E0F"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44</w:t>
            </w:r>
          </w:p>
        </w:tc>
        <w:tc>
          <w:tcPr>
            <w:tcW w:w="3702" w:type="dxa"/>
            <w:tcBorders>
              <w:top w:val="single" w:sz="4" w:space="0" w:color="auto"/>
              <w:bottom w:val="single" w:sz="4" w:space="0" w:color="auto"/>
            </w:tcBorders>
            <w:shd w:val="clear" w:color="auto" w:fill="auto"/>
            <w:vAlign w:val="center"/>
          </w:tcPr>
          <w:p w14:paraId="0BBEA58D"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48</w:t>
            </w:r>
          </w:p>
        </w:tc>
        <w:tc>
          <w:tcPr>
            <w:tcW w:w="846" w:type="dxa"/>
            <w:tcBorders>
              <w:top w:val="single" w:sz="4" w:space="0" w:color="auto"/>
              <w:bottom w:val="single" w:sz="4" w:space="0" w:color="auto"/>
              <w:tl2br w:val="single" w:sz="4" w:space="0" w:color="auto"/>
            </w:tcBorders>
            <w:shd w:val="clear" w:color="auto" w:fill="auto"/>
            <w:vAlign w:val="center"/>
          </w:tcPr>
          <w:p w14:paraId="2BE1CC5E" w14:textId="77777777" w:rsidR="00AC1DAA" w:rsidRPr="003E6B3B" w:rsidRDefault="00AC1DAA" w:rsidP="00DC7269">
            <w:pPr>
              <w:jc w:val="center"/>
              <w:rPr>
                <w:rFonts w:asciiTheme="majorHAnsi" w:hAnsiTheme="majorHAnsi"/>
                <w:sz w:val="22"/>
                <w:szCs w:val="22"/>
              </w:rPr>
            </w:pPr>
          </w:p>
        </w:tc>
      </w:tr>
    </w:tbl>
    <w:p w14:paraId="4F15BDAF" w14:textId="77777777" w:rsidR="00AC1DAA" w:rsidRPr="003E6B3B" w:rsidRDefault="00AC1DAA" w:rsidP="00AC1DAA">
      <w:pPr>
        <w:rPr>
          <w:rFonts w:asciiTheme="majorHAnsi" w:hAnsiTheme="majorHAnsi"/>
          <w:sz w:val="20"/>
          <w:szCs w:val="20"/>
        </w:rPr>
      </w:pPr>
      <w:r w:rsidRPr="003E6B3B">
        <w:rPr>
          <w:rFonts w:asciiTheme="majorHAnsi" w:hAnsiTheme="majorHAnsi"/>
          <w:sz w:val="20"/>
          <w:szCs w:val="20"/>
        </w:rPr>
        <w:t xml:space="preserve">  Note: *Database mining can't be done because we have to use fewer </w:t>
      </w:r>
      <w:proofErr w:type="spellStart"/>
      <w:r w:rsidRPr="003E6B3B">
        <w:rPr>
          <w:rFonts w:asciiTheme="majorHAnsi" w:hAnsiTheme="majorHAnsi"/>
          <w:sz w:val="20"/>
          <w:szCs w:val="20"/>
        </w:rPr>
        <w:t>boolean</w:t>
      </w:r>
      <w:proofErr w:type="spellEnd"/>
      <w:r w:rsidRPr="003E6B3B">
        <w:rPr>
          <w:rFonts w:asciiTheme="majorHAnsi" w:hAnsiTheme="majorHAnsi"/>
          <w:sz w:val="20"/>
          <w:szCs w:val="20"/>
        </w:rPr>
        <w:t xml:space="preserve"> connectors (max 8 per field)</w:t>
      </w:r>
    </w:p>
    <w:p w14:paraId="266D5B06" w14:textId="77777777" w:rsidR="00AC1DAA" w:rsidRPr="003E6B3B" w:rsidRDefault="00AC1DAA" w:rsidP="005D033B">
      <w:pPr>
        <w:pStyle w:val="IEEEParagraph"/>
        <w:spacing w:line="23" w:lineRule="atLeast"/>
        <w:ind w:firstLine="357"/>
        <w:rPr>
          <w:rFonts w:asciiTheme="majorHAnsi" w:hAnsiTheme="majorHAnsi"/>
          <w:lang w:val="sv-SE"/>
        </w:rPr>
      </w:pPr>
    </w:p>
    <w:p w14:paraId="69304D46" w14:textId="77777777" w:rsidR="00AC1DAA" w:rsidRPr="003E6B3B" w:rsidRDefault="00AC1DAA" w:rsidP="00AC1DAA">
      <w:pPr>
        <w:pStyle w:val="IEEEParagraph"/>
        <w:spacing w:line="23" w:lineRule="atLeast"/>
        <w:ind w:firstLine="357"/>
        <w:rPr>
          <w:rFonts w:asciiTheme="majorHAnsi" w:hAnsiTheme="majorHAnsi"/>
          <w:lang w:val="sv-SE"/>
        </w:rPr>
      </w:pPr>
      <w:r w:rsidRPr="003E6B3B">
        <w:rPr>
          <w:rFonts w:asciiTheme="majorHAnsi" w:hAnsiTheme="majorHAnsi"/>
          <w:lang w:val="sv-SE"/>
        </w:rPr>
        <w:t xml:space="preserve">Furthermore, because there were no articles identified in keywords D to G, it was necessary to reconstruct the keywords so that at least the distribution of articles identified in each keyword was increased. The reconstruct in the form of a few generalizations and changes in the period to “all year research” on keywords are shown in Table 4, and the search results in the four databases can be seen in Table 5. Table 5 shows that the number of articles identified has increased. This means that database mining is sufficient for all six keywords. </w:t>
      </w:r>
    </w:p>
    <w:p w14:paraId="4CAE1DB0" w14:textId="6ADF6ED2" w:rsidR="00AC1DAA" w:rsidRPr="003E6B3B" w:rsidRDefault="00AC1DAA" w:rsidP="00AC1DAA">
      <w:pPr>
        <w:pStyle w:val="IEEEParagraph"/>
        <w:spacing w:line="23" w:lineRule="atLeast"/>
        <w:ind w:firstLine="357"/>
        <w:rPr>
          <w:rFonts w:asciiTheme="majorHAnsi" w:hAnsiTheme="majorHAnsi"/>
          <w:lang w:val="sv-SE"/>
        </w:rPr>
      </w:pPr>
      <w:r w:rsidRPr="003E6B3B">
        <w:rPr>
          <w:rFonts w:asciiTheme="majorHAnsi" w:hAnsiTheme="majorHAnsi"/>
          <w:lang w:val="sv-SE"/>
        </w:rPr>
        <w:t>The literature review in this paper was conducted using the Preferred Reporting Items for Systematic reviews and Meta-Analyses (PRISMA) Method20. PRISMA Method provides a standardized and accurate methodology for describing article selection criteria, search strategies, data extraction, and data analysis procedures</w:t>
      </w:r>
      <w:r w:rsidR="00AF47A1" w:rsidRPr="003E6B3B">
        <w:rPr>
          <w:rFonts w:asciiTheme="majorHAnsi" w:hAnsiTheme="majorHAnsi"/>
          <w:lang w:val="sv-SE"/>
        </w:rPr>
        <w:t xml:space="preserve"> </w:t>
      </w:r>
      <w:r w:rsidR="00AF47A1" w:rsidRPr="003E6B3B">
        <w:rPr>
          <w:rFonts w:asciiTheme="majorHAnsi" w:hAnsiTheme="majorHAnsi"/>
          <w:lang w:val="sv-SE"/>
        </w:rPr>
        <w:fldChar w:fldCharType="begin" w:fldLock="1"/>
      </w:r>
      <w:r w:rsidR="00AF47A1" w:rsidRPr="003E6B3B">
        <w:rPr>
          <w:rFonts w:asciiTheme="majorHAnsi" w:hAnsiTheme="majorHAnsi"/>
          <w:lang w:val="sv-SE"/>
        </w:rPr>
        <w:instrText>ADDIN CSL_CITATION {"citationItems":[{"id":"ITEM-1","itemData":{"DOI":"10.3390/SU12155900","ISSN":"20711050","abstract":"This paper aims to develop a systematic review on graduate employability and competence development, intending to present an international perspective on the matter. It analyses the role of higher education institutions in promoting the development of competences for employability. The Preferred Reporting Items for Systematic Reviews (PRISMA) statement was used as a formal systematic review guideline for data collection. Data was obtained from research studies over the period 2009-2019. The analysis included a total of 69 papers from Web of Science (WoS) and Scopus databases. Results show that Europe leads the number of publications on these topics during the past decade. One of the main issues associated with competence development and graduate employability found in the review is related to the (mis)match between university graduates' competences and employers' needs. Findings indicate that higher education institutions are concerned with using strategies to enhance the development of competences for graduate employability. Graduate employability and competence development around the world depend on a strong sense of innovation and collaboration practices implemented in higher education.","author":[{"dropping-particle":"","family":"Abelha","given":"Marta","non-dropping-particle":"","parse-names":false,"suffix":""},{"dropping-particle":"","family":"Fernandes","given":"Sandra","non-dropping-particle":"","parse-names":false,"suffix":""},{"dropping-particle":"","family":"Mesquita","given":"Diana","non-dropping-particle":"","parse-names":false,"suffix":""},{"dropping-particle":"","family":"Seabra","given":"Filipa","non-dropping-particle":"","parse-names":false,"suffix":""},{"dropping-particle":"","family":"Ferreira-Oliveira","given":"Ana Teresa","non-dropping-particle":"","parse-names":false,"suffix":""}],"container-title":"Sustainability (Switzerland)","id":"ITEM-1","issue":"15","issued":{"date-parts":[["2020"]]},"title":"Graduate employability and competence development in higher education-A systematic literature review using PRISMA","type":"article-journal","volume":"12"},"uris":["http://www.mendeley.com/documents/?uuid=6176c723-d38e-4696-8b86-7f4af60c966b"]}],"mendeley":{"formattedCitation":"(Abelha et al., 2020)","plainTextFormattedCitation":"(Abelha et al., 2020)","previouslyFormattedCitation":"(Abelha et al., 2020)"},"properties":{"noteIndex":0},"schema":"https://github.com/citation-style-language/schema/raw/master/csl-citation.json"}</w:instrText>
      </w:r>
      <w:r w:rsidR="00AF47A1" w:rsidRPr="003E6B3B">
        <w:rPr>
          <w:rFonts w:asciiTheme="majorHAnsi" w:hAnsiTheme="majorHAnsi"/>
          <w:lang w:val="sv-SE"/>
        </w:rPr>
        <w:fldChar w:fldCharType="separate"/>
      </w:r>
      <w:r w:rsidR="00AF47A1" w:rsidRPr="003E6B3B">
        <w:rPr>
          <w:rFonts w:asciiTheme="majorHAnsi" w:hAnsiTheme="majorHAnsi"/>
          <w:noProof/>
          <w:lang w:val="sv-SE"/>
        </w:rPr>
        <w:t>(Abelha et al., 2020)</w:t>
      </w:r>
      <w:r w:rsidR="00AF47A1" w:rsidRPr="003E6B3B">
        <w:rPr>
          <w:rFonts w:asciiTheme="majorHAnsi" w:hAnsiTheme="majorHAnsi"/>
          <w:lang w:val="sv-SE"/>
        </w:rPr>
        <w:fldChar w:fldCharType="end"/>
      </w:r>
      <w:r w:rsidRPr="003E6B3B">
        <w:rPr>
          <w:rFonts w:asciiTheme="majorHAnsi" w:hAnsiTheme="majorHAnsi"/>
          <w:lang w:val="sv-SE"/>
        </w:rPr>
        <w:t>. Furthermore, both in terms of the methodology used and the results obtained, the PRISMA method has been proven to improve literature review quality</w:t>
      </w:r>
      <w:r w:rsidR="00AF47A1" w:rsidRPr="003E6B3B">
        <w:rPr>
          <w:rFonts w:asciiTheme="majorHAnsi" w:hAnsiTheme="majorHAnsi"/>
          <w:lang w:val="sv-SE"/>
        </w:rPr>
        <w:t xml:space="preserve"> </w:t>
      </w:r>
      <w:r w:rsidR="00AF47A1" w:rsidRPr="003E6B3B">
        <w:rPr>
          <w:rFonts w:asciiTheme="majorHAnsi" w:hAnsiTheme="majorHAnsi"/>
          <w:lang w:val="sv-SE"/>
        </w:rPr>
        <w:fldChar w:fldCharType="begin" w:fldLock="1"/>
      </w:r>
      <w:r w:rsidR="006271CA" w:rsidRPr="003E6B3B">
        <w:rPr>
          <w:rFonts w:asciiTheme="majorHAnsi" w:hAnsiTheme="majorHAnsi"/>
          <w:lang w:val="sv-SE"/>
        </w:rPr>
        <w:instrText>ADDIN CSL_CITATION {"citationItems":[{"id":"ITEM-1","itemData":{"DOI":"10.1371/journal.pone.0083138","ISSN":"19326203","PMID":"24386151","abstract":"Introduction: PRISMA statement was published in 2009 in order to set standards in the reporting of systematic reviews and meta-analyses. Our aim was to evaluate the impact of PRISMA endorsement on the quality of reporting and methodological quality of systematic reviews and meta-analyses, published in journals in the field of gastroenterology and hepatology (GH). Methods: Quality of reporting and methodological quality were evaluated by assessing the adherence of papers to PRISMA checklist and AMSTAR quality scale. After identifying the GH journals which endorsed PRISMA in instructions for authors (IA), we appraised: 15 papers published in 2012 explicitly mentioning PRISMA in the full text (Group A); 15 papers from the same journals published in 2012 not explicitly mentioning PRISMA in the full text (Group B); 30 papers published the year preceding PRISMA endorsement from the same journals as above (Group C); 30 papers published in 2012 on the 10 highest impact factor journals in GH which not endorsed PRISMA (Group D). Results: PRISMA statement was referred in the IA in 9 out of 70 GH journals (12.9%). We found significant increase in overall adherence to PRISMA checklist (Group A, 90.1%; Group C, 83.1%; p = 0.003) and compliance to AMSTAR scale (Group A, 85.0%; Group C, 74.6%; p = 0.002), following the PRISMA endorsement from the nine GH journals. Explicit referencing of PRISMA in manuscript was not associated with increase in quality of reporting and methodological quality (Group A vs. B, p = 0.651, p = 0.900, respectively). Adherence to PRISMA checklist, and the compliance with AMSTAR were significantly higher in journals endorsing PRISMA compared to those not (Groups A+B vs. D; p = 0.003 and p = 0.016, respectively). Conclusion: The endorsement of PRISMA resulted in increase of both quality of reporting and methodological quality. It is advised that an increasing number of medical journals include PRISMA in the instructions for authors. Copyright: © 2013 Panic et al.","author":[{"dropping-particle":"","family":"Panic","given":"Nikola","non-dropping-particle":"","parse-names":false,"suffix":""},{"dropping-particle":"","family":"Leoncini","given":"Emanuele","non-dropping-particle":"","parse-names":false,"suffix":""},{"dropping-particle":"","family":"Belvis","given":"Giulio","non-dropping-particle":"De","parse-names":false,"suffix":""},{"dropping-particle":"","family":"Ricciardi","given":"Walter","non-dropping-particle":"","parse-names":false,"suffix":""},{"dropping-particle":"","family":"Boccia","given":"Stefania","non-dropping-particle":"","parse-names":false,"suffix":""}],"container-title":"PLoS ONE","id":"ITEM-1","issue":"12","issued":{"date-parts":[["2013"]]},"title":"Evaluation of the endorsement of the preferred reporting items for systematic reviews and meta-analysis (PRISMA) statement on the quality of published systematic review and meta-analyses","type":"article-journal","volume":"8"},"uris":["http://www.mendeley.com/documents/?uuid=5f66b9db-0f43-442f-9afc-26beaf0576ae"]}],"mendeley":{"formattedCitation":"(Panic et al., 2013)","plainTextFormattedCitation":"(Panic et al., 2013)","previouslyFormattedCitation":"(Panic et al., 2013)"},"properties":{"noteIndex":0},"schema":"https://github.com/citation-style-language/schema/raw/master/csl-citation.json"}</w:instrText>
      </w:r>
      <w:r w:rsidR="00AF47A1" w:rsidRPr="003E6B3B">
        <w:rPr>
          <w:rFonts w:asciiTheme="majorHAnsi" w:hAnsiTheme="majorHAnsi"/>
          <w:lang w:val="sv-SE"/>
        </w:rPr>
        <w:fldChar w:fldCharType="separate"/>
      </w:r>
      <w:r w:rsidR="00AF47A1" w:rsidRPr="003E6B3B">
        <w:rPr>
          <w:rFonts w:asciiTheme="majorHAnsi" w:hAnsiTheme="majorHAnsi"/>
          <w:noProof/>
          <w:lang w:val="sv-SE"/>
        </w:rPr>
        <w:t>(Panic et al., 2013)</w:t>
      </w:r>
      <w:r w:rsidR="00AF47A1" w:rsidRPr="003E6B3B">
        <w:rPr>
          <w:rFonts w:asciiTheme="majorHAnsi" w:hAnsiTheme="majorHAnsi"/>
          <w:lang w:val="sv-SE"/>
        </w:rPr>
        <w:fldChar w:fldCharType="end"/>
      </w:r>
      <w:r w:rsidRPr="003E6B3B">
        <w:rPr>
          <w:rFonts w:asciiTheme="majorHAnsi" w:hAnsiTheme="majorHAnsi"/>
          <w:lang w:val="sv-SE"/>
        </w:rPr>
        <w:t>. The PRISMA Method consists of four stages, as shown in Figure 1.</w:t>
      </w:r>
    </w:p>
    <w:p w14:paraId="6862AF3B" w14:textId="77777777" w:rsidR="00AC1DAA" w:rsidRPr="003E6B3B" w:rsidRDefault="00AC1DAA" w:rsidP="00AC1DAA">
      <w:pPr>
        <w:pStyle w:val="IEEEParagraph"/>
        <w:spacing w:line="23" w:lineRule="atLeast"/>
        <w:ind w:firstLine="357"/>
        <w:rPr>
          <w:rFonts w:asciiTheme="majorHAnsi" w:hAnsiTheme="majorHAnsi"/>
          <w:lang w:val="sv-SE"/>
        </w:rPr>
      </w:pPr>
    </w:p>
    <w:p w14:paraId="1AA91957" w14:textId="6252DF13" w:rsidR="00AC1DAA" w:rsidRPr="003E6B3B" w:rsidRDefault="00AC1DAA" w:rsidP="00AC1DAA">
      <w:pPr>
        <w:ind w:left="357"/>
        <w:jc w:val="center"/>
        <w:rPr>
          <w:rFonts w:asciiTheme="majorHAnsi" w:hAnsiTheme="majorHAnsi"/>
          <w:sz w:val="22"/>
          <w:szCs w:val="22"/>
        </w:rPr>
      </w:pPr>
      <w:r w:rsidRPr="003E6B3B">
        <w:rPr>
          <w:rFonts w:asciiTheme="majorHAnsi" w:hAnsiTheme="majorHAnsi"/>
          <w:b/>
          <w:bCs/>
          <w:sz w:val="22"/>
          <w:szCs w:val="22"/>
        </w:rPr>
        <w:t>Table 4</w:t>
      </w:r>
      <w:r w:rsidRPr="003E6B3B">
        <w:rPr>
          <w:rFonts w:asciiTheme="majorHAnsi" w:hAnsiTheme="majorHAnsi"/>
          <w:sz w:val="22"/>
          <w:szCs w:val="22"/>
        </w:rPr>
        <w:t>. Generalized Keywords</w:t>
      </w:r>
    </w:p>
    <w:tbl>
      <w:tblPr>
        <w:tblW w:w="10309" w:type="dxa"/>
        <w:jc w:val="center"/>
        <w:tblLook w:val="04A0" w:firstRow="1" w:lastRow="0" w:firstColumn="1" w:lastColumn="0" w:noHBand="0" w:noVBand="1"/>
      </w:tblPr>
      <w:tblGrid>
        <w:gridCol w:w="723"/>
        <w:gridCol w:w="9586"/>
      </w:tblGrid>
      <w:tr w:rsidR="00AC1DAA" w:rsidRPr="003E6B3B" w14:paraId="76902B68" w14:textId="77777777" w:rsidTr="00DC7269">
        <w:trPr>
          <w:jc w:val="center"/>
        </w:trPr>
        <w:tc>
          <w:tcPr>
            <w:tcW w:w="723" w:type="dxa"/>
            <w:tcBorders>
              <w:top w:val="single" w:sz="4" w:space="0" w:color="auto"/>
              <w:bottom w:val="single" w:sz="4" w:space="0" w:color="auto"/>
            </w:tcBorders>
            <w:shd w:val="clear" w:color="auto" w:fill="auto"/>
            <w:vAlign w:val="center"/>
          </w:tcPr>
          <w:p w14:paraId="643DD41A" w14:textId="77777777" w:rsidR="00AC1DAA" w:rsidRPr="003E6B3B" w:rsidRDefault="00AC1DAA" w:rsidP="00DC7269">
            <w:pPr>
              <w:jc w:val="center"/>
              <w:rPr>
                <w:rFonts w:asciiTheme="majorHAnsi" w:hAnsiTheme="majorHAnsi"/>
                <w:b/>
                <w:bCs/>
                <w:sz w:val="22"/>
                <w:szCs w:val="22"/>
              </w:rPr>
            </w:pPr>
            <w:r w:rsidRPr="003E6B3B">
              <w:rPr>
                <w:rFonts w:asciiTheme="majorHAnsi" w:hAnsiTheme="majorHAnsi"/>
                <w:b/>
                <w:bCs/>
                <w:sz w:val="22"/>
                <w:szCs w:val="22"/>
              </w:rPr>
              <w:t>Code</w:t>
            </w:r>
          </w:p>
        </w:tc>
        <w:tc>
          <w:tcPr>
            <w:tcW w:w="9586" w:type="dxa"/>
            <w:tcBorders>
              <w:top w:val="single" w:sz="4" w:space="0" w:color="auto"/>
              <w:bottom w:val="single" w:sz="4" w:space="0" w:color="auto"/>
            </w:tcBorders>
            <w:shd w:val="clear" w:color="auto" w:fill="auto"/>
            <w:vAlign w:val="center"/>
          </w:tcPr>
          <w:p w14:paraId="32FEDDCF" w14:textId="77777777" w:rsidR="00AC1DAA" w:rsidRPr="003E6B3B" w:rsidRDefault="00AC1DAA" w:rsidP="00DC7269">
            <w:pPr>
              <w:jc w:val="center"/>
              <w:rPr>
                <w:rFonts w:asciiTheme="majorHAnsi" w:hAnsiTheme="majorHAnsi"/>
                <w:b/>
                <w:bCs/>
                <w:sz w:val="22"/>
                <w:szCs w:val="22"/>
              </w:rPr>
            </w:pPr>
            <w:r w:rsidRPr="003E6B3B">
              <w:rPr>
                <w:rFonts w:asciiTheme="majorHAnsi" w:hAnsiTheme="majorHAnsi"/>
                <w:b/>
                <w:bCs/>
                <w:sz w:val="22"/>
                <w:szCs w:val="22"/>
              </w:rPr>
              <w:t>Keywords</w:t>
            </w:r>
          </w:p>
        </w:tc>
      </w:tr>
      <w:tr w:rsidR="00AC1DAA" w:rsidRPr="003E6B3B" w14:paraId="52F0CCCA" w14:textId="77777777" w:rsidTr="00DC7269">
        <w:trPr>
          <w:trHeight w:val="142"/>
          <w:jc w:val="center"/>
        </w:trPr>
        <w:tc>
          <w:tcPr>
            <w:tcW w:w="723" w:type="dxa"/>
            <w:tcBorders>
              <w:top w:val="single" w:sz="4" w:space="0" w:color="auto"/>
            </w:tcBorders>
            <w:shd w:val="clear" w:color="auto" w:fill="auto"/>
            <w:vAlign w:val="center"/>
          </w:tcPr>
          <w:p w14:paraId="13DE337D"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A</w:t>
            </w:r>
          </w:p>
        </w:tc>
        <w:tc>
          <w:tcPr>
            <w:tcW w:w="9586" w:type="dxa"/>
            <w:tcBorders>
              <w:top w:val="single" w:sz="4" w:space="0" w:color="auto"/>
            </w:tcBorders>
            <w:shd w:val="clear" w:color="auto" w:fill="auto"/>
            <w:vAlign w:val="center"/>
          </w:tcPr>
          <w:p w14:paraId="4E69FBE1"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“optimization model” AND “integer”</w:t>
            </w:r>
          </w:p>
        </w:tc>
      </w:tr>
      <w:tr w:rsidR="00AC1DAA" w:rsidRPr="003E6B3B" w14:paraId="4EE7AF8B" w14:textId="77777777" w:rsidTr="00DC7269">
        <w:trPr>
          <w:jc w:val="center"/>
        </w:trPr>
        <w:tc>
          <w:tcPr>
            <w:tcW w:w="723" w:type="dxa"/>
            <w:shd w:val="clear" w:color="auto" w:fill="auto"/>
            <w:vAlign w:val="center"/>
          </w:tcPr>
          <w:p w14:paraId="7AED4A5B"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B</w:t>
            </w:r>
          </w:p>
        </w:tc>
        <w:tc>
          <w:tcPr>
            <w:tcW w:w="9586" w:type="dxa"/>
            <w:shd w:val="clear" w:color="auto" w:fill="auto"/>
            <w:vAlign w:val="center"/>
          </w:tcPr>
          <w:p w14:paraId="7C4A7140"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(“adjustable robust optimization” OR “adjustable robust counterpart”)</w:t>
            </w:r>
          </w:p>
        </w:tc>
      </w:tr>
      <w:tr w:rsidR="00AC1DAA" w:rsidRPr="003E6B3B" w14:paraId="2B2ED9C4" w14:textId="77777777" w:rsidTr="00DC7269">
        <w:trPr>
          <w:jc w:val="center"/>
        </w:trPr>
        <w:tc>
          <w:tcPr>
            <w:tcW w:w="723" w:type="dxa"/>
            <w:shd w:val="clear" w:color="auto" w:fill="auto"/>
            <w:vAlign w:val="center"/>
          </w:tcPr>
          <w:p w14:paraId="294634C0"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C</w:t>
            </w:r>
          </w:p>
        </w:tc>
        <w:tc>
          <w:tcPr>
            <w:tcW w:w="9586" w:type="dxa"/>
            <w:shd w:val="clear" w:color="auto" w:fill="auto"/>
            <w:vAlign w:val="center"/>
          </w:tcPr>
          <w:p w14:paraId="056267A5"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 xml:space="preserve">“benders decomposition method” </w:t>
            </w:r>
          </w:p>
        </w:tc>
      </w:tr>
      <w:tr w:rsidR="00AC1DAA" w:rsidRPr="003E6B3B" w14:paraId="66B9B156" w14:textId="77777777" w:rsidTr="00DC7269">
        <w:trPr>
          <w:jc w:val="center"/>
        </w:trPr>
        <w:tc>
          <w:tcPr>
            <w:tcW w:w="723" w:type="dxa"/>
            <w:shd w:val="clear" w:color="auto" w:fill="auto"/>
            <w:vAlign w:val="center"/>
          </w:tcPr>
          <w:p w14:paraId="3F651037"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D</w:t>
            </w:r>
          </w:p>
        </w:tc>
        <w:tc>
          <w:tcPr>
            <w:tcW w:w="9586" w:type="dxa"/>
            <w:shd w:val="clear" w:color="auto" w:fill="auto"/>
            <w:vAlign w:val="center"/>
          </w:tcPr>
          <w:p w14:paraId="232BE9EB"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 xml:space="preserve">A AND B: “optimization model” AND “integer” </w:t>
            </w:r>
            <w:r w:rsidRPr="003E6B3B">
              <w:rPr>
                <w:rFonts w:asciiTheme="majorHAnsi" w:hAnsiTheme="majorHAnsi"/>
                <w:b/>
                <w:bCs/>
                <w:sz w:val="22"/>
                <w:szCs w:val="22"/>
              </w:rPr>
              <w:t>AND</w:t>
            </w:r>
            <w:r w:rsidRPr="003E6B3B">
              <w:rPr>
                <w:rFonts w:asciiTheme="majorHAnsi" w:hAnsiTheme="majorHAnsi"/>
                <w:sz w:val="22"/>
                <w:szCs w:val="22"/>
              </w:rPr>
              <w:t xml:space="preserve"> (“adjustable robust optimization” OR “adjustable robust counterpart”)</w:t>
            </w:r>
          </w:p>
        </w:tc>
      </w:tr>
      <w:tr w:rsidR="00AC1DAA" w:rsidRPr="003E6B3B" w14:paraId="4E499D79" w14:textId="77777777" w:rsidTr="00DC7269">
        <w:trPr>
          <w:jc w:val="center"/>
        </w:trPr>
        <w:tc>
          <w:tcPr>
            <w:tcW w:w="723" w:type="dxa"/>
            <w:shd w:val="clear" w:color="auto" w:fill="auto"/>
            <w:vAlign w:val="center"/>
          </w:tcPr>
          <w:p w14:paraId="7CD52FB1"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E</w:t>
            </w:r>
          </w:p>
        </w:tc>
        <w:tc>
          <w:tcPr>
            <w:tcW w:w="9586" w:type="dxa"/>
            <w:shd w:val="clear" w:color="auto" w:fill="auto"/>
            <w:vAlign w:val="center"/>
          </w:tcPr>
          <w:p w14:paraId="19939862"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 xml:space="preserve">A AND C: “optimization model” AND “integer” </w:t>
            </w:r>
            <w:r w:rsidRPr="003E6B3B">
              <w:rPr>
                <w:rFonts w:asciiTheme="majorHAnsi" w:hAnsiTheme="majorHAnsi"/>
                <w:b/>
                <w:bCs/>
                <w:sz w:val="22"/>
                <w:szCs w:val="22"/>
              </w:rPr>
              <w:t xml:space="preserve">AND </w:t>
            </w:r>
            <w:r w:rsidRPr="003E6B3B">
              <w:rPr>
                <w:rFonts w:asciiTheme="majorHAnsi" w:hAnsiTheme="majorHAnsi"/>
                <w:sz w:val="22"/>
                <w:szCs w:val="22"/>
              </w:rPr>
              <w:t>“benders decomposition method”</w:t>
            </w:r>
          </w:p>
        </w:tc>
      </w:tr>
      <w:tr w:rsidR="00AC1DAA" w:rsidRPr="003E6B3B" w14:paraId="09CAE98F" w14:textId="77777777" w:rsidTr="00DC7269">
        <w:trPr>
          <w:jc w:val="center"/>
        </w:trPr>
        <w:tc>
          <w:tcPr>
            <w:tcW w:w="723" w:type="dxa"/>
            <w:shd w:val="clear" w:color="auto" w:fill="auto"/>
            <w:vAlign w:val="center"/>
          </w:tcPr>
          <w:p w14:paraId="792B1BCC"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F</w:t>
            </w:r>
          </w:p>
        </w:tc>
        <w:tc>
          <w:tcPr>
            <w:tcW w:w="9586" w:type="dxa"/>
            <w:shd w:val="clear" w:color="auto" w:fill="auto"/>
            <w:vAlign w:val="center"/>
          </w:tcPr>
          <w:p w14:paraId="05D65015"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 xml:space="preserve">B AND C: (“adjustable robust optimization” OR “adjustable robust counterpart”) </w:t>
            </w:r>
            <w:r w:rsidRPr="003E6B3B">
              <w:rPr>
                <w:rFonts w:asciiTheme="majorHAnsi" w:hAnsiTheme="majorHAnsi"/>
                <w:b/>
                <w:bCs/>
                <w:sz w:val="22"/>
                <w:szCs w:val="22"/>
              </w:rPr>
              <w:t xml:space="preserve">AND </w:t>
            </w:r>
            <w:r w:rsidRPr="003E6B3B">
              <w:rPr>
                <w:rFonts w:asciiTheme="majorHAnsi" w:hAnsiTheme="majorHAnsi"/>
                <w:sz w:val="22"/>
                <w:szCs w:val="22"/>
              </w:rPr>
              <w:t>“benders decomposition method”</w:t>
            </w:r>
          </w:p>
        </w:tc>
      </w:tr>
      <w:tr w:rsidR="00AC1DAA" w:rsidRPr="003E6B3B" w14:paraId="064BC259" w14:textId="77777777" w:rsidTr="00DC7269">
        <w:trPr>
          <w:jc w:val="center"/>
        </w:trPr>
        <w:tc>
          <w:tcPr>
            <w:tcW w:w="723" w:type="dxa"/>
            <w:tcBorders>
              <w:bottom w:val="single" w:sz="4" w:space="0" w:color="auto"/>
            </w:tcBorders>
            <w:shd w:val="clear" w:color="auto" w:fill="auto"/>
            <w:vAlign w:val="center"/>
          </w:tcPr>
          <w:p w14:paraId="486EC1B4"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G</w:t>
            </w:r>
          </w:p>
        </w:tc>
        <w:tc>
          <w:tcPr>
            <w:tcW w:w="9586" w:type="dxa"/>
            <w:tcBorders>
              <w:bottom w:val="single" w:sz="4" w:space="0" w:color="auto"/>
            </w:tcBorders>
            <w:shd w:val="clear" w:color="auto" w:fill="auto"/>
            <w:vAlign w:val="center"/>
          </w:tcPr>
          <w:p w14:paraId="5C09FD6A" w14:textId="77777777" w:rsidR="00AC1DAA" w:rsidRPr="003E6B3B" w:rsidRDefault="00AC1DAA" w:rsidP="00DC7269">
            <w:pPr>
              <w:jc w:val="both"/>
              <w:rPr>
                <w:rFonts w:asciiTheme="majorHAnsi" w:hAnsiTheme="majorHAnsi"/>
                <w:sz w:val="22"/>
                <w:szCs w:val="22"/>
              </w:rPr>
            </w:pPr>
            <w:r w:rsidRPr="003E6B3B">
              <w:rPr>
                <w:rFonts w:asciiTheme="majorHAnsi" w:hAnsiTheme="majorHAnsi"/>
                <w:sz w:val="22"/>
                <w:szCs w:val="22"/>
              </w:rPr>
              <w:t xml:space="preserve">A AND B AND C: “optimization model” AND “integer” </w:t>
            </w:r>
            <w:r w:rsidRPr="003E6B3B">
              <w:rPr>
                <w:rFonts w:asciiTheme="majorHAnsi" w:hAnsiTheme="majorHAnsi"/>
                <w:b/>
                <w:bCs/>
                <w:sz w:val="22"/>
                <w:szCs w:val="22"/>
              </w:rPr>
              <w:t>AND</w:t>
            </w:r>
            <w:r w:rsidRPr="003E6B3B">
              <w:rPr>
                <w:rFonts w:asciiTheme="majorHAnsi" w:hAnsiTheme="majorHAnsi"/>
                <w:sz w:val="22"/>
                <w:szCs w:val="22"/>
              </w:rPr>
              <w:t xml:space="preserve"> (“adjustable robust optimization” OR “adjustable robust counterpart”) </w:t>
            </w:r>
            <w:r w:rsidRPr="003E6B3B">
              <w:rPr>
                <w:rFonts w:asciiTheme="majorHAnsi" w:hAnsiTheme="majorHAnsi"/>
                <w:b/>
                <w:bCs/>
                <w:sz w:val="22"/>
                <w:szCs w:val="22"/>
              </w:rPr>
              <w:t xml:space="preserve">AND </w:t>
            </w:r>
            <w:r w:rsidRPr="003E6B3B">
              <w:rPr>
                <w:rFonts w:asciiTheme="majorHAnsi" w:hAnsiTheme="majorHAnsi"/>
                <w:sz w:val="22"/>
                <w:szCs w:val="22"/>
              </w:rPr>
              <w:t>“benders decomposition method”</w:t>
            </w:r>
          </w:p>
        </w:tc>
      </w:tr>
    </w:tbl>
    <w:p w14:paraId="2D406680" w14:textId="073968FC" w:rsidR="00AC1DAA" w:rsidRPr="003E6B3B" w:rsidRDefault="00AC1DAA" w:rsidP="00AC1DAA">
      <w:pPr>
        <w:pStyle w:val="IEEEParagraph"/>
        <w:spacing w:line="23" w:lineRule="atLeast"/>
        <w:ind w:firstLine="357"/>
        <w:rPr>
          <w:rFonts w:asciiTheme="majorHAnsi" w:hAnsiTheme="majorHAnsi"/>
          <w:lang w:val="sv-SE"/>
        </w:rPr>
      </w:pPr>
    </w:p>
    <w:p w14:paraId="407D34C2" w14:textId="2A848C43" w:rsidR="00AC1DAA" w:rsidRPr="003E6B3B" w:rsidRDefault="00AC1DAA" w:rsidP="00AC1DAA">
      <w:pPr>
        <w:pStyle w:val="IEEEParagraph"/>
        <w:spacing w:line="23" w:lineRule="atLeast"/>
        <w:ind w:firstLine="357"/>
        <w:rPr>
          <w:rFonts w:asciiTheme="majorHAnsi" w:hAnsiTheme="majorHAnsi"/>
          <w:lang w:val="sv-SE"/>
        </w:rPr>
      </w:pPr>
      <w:r w:rsidRPr="003E6B3B">
        <w:rPr>
          <w:rFonts w:asciiTheme="majorHAnsi" w:hAnsiTheme="majorHAnsi"/>
          <w:lang w:val="sv-SE"/>
        </w:rPr>
        <w:t>Based on Figure 1, the first thing to do is determine the keywords relevant to the planned research topic. Keyword classification is needed to provide the best specifications for the article results obtained. Keywords can be grouped from general to specific issues, then inputted into at least one desired database source so that the total number of articles identified is obtained. Furthermore, when inputting keywords into the database, article limitations are also applied as needed. This article uses eight search limitations as previously described.</w:t>
      </w:r>
    </w:p>
    <w:p w14:paraId="61A75B69" w14:textId="5BA341DE" w:rsidR="00AC1DAA" w:rsidRPr="003E6B3B" w:rsidRDefault="00AC1DAA" w:rsidP="00AC1DAA">
      <w:pPr>
        <w:ind w:left="357"/>
        <w:jc w:val="center"/>
        <w:rPr>
          <w:rFonts w:asciiTheme="majorHAnsi" w:hAnsiTheme="majorHAnsi"/>
          <w:sz w:val="22"/>
          <w:szCs w:val="22"/>
        </w:rPr>
      </w:pPr>
      <w:r w:rsidRPr="003E6B3B">
        <w:rPr>
          <w:rFonts w:asciiTheme="majorHAnsi" w:hAnsiTheme="majorHAnsi"/>
          <w:b/>
          <w:bCs/>
          <w:sz w:val="22"/>
          <w:szCs w:val="22"/>
        </w:rPr>
        <w:lastRenderedPageBreak/>
        <w:t>Table 5</w:t>
      </w:r>
      <w:r w:rsidRPr="003E6B3B">
        <w:rPr>
          <w:rFonts w:asciiTheme="majorHAnsi" w:hAnsiTheme="majorHAnsi"/>
          <w:sz w:val="22"/>
          <w:szCs w:val="22"/>
        </w:rPr>
        <w:t>. The Results of Database Mining from Generalized Keywords</w:t>
      </w:r>
    </w:p>
    <w:tbl>
      <w:tblPr>
        <w:tblW w:w="10273" w:type="dxa"/>
        <w:jc w:val="center"/>
        <w:tblLook w:val="04A0" w:firstRow="1" w:lastRow="0" w:firstColumn="1" w:lastColumn="0" w:noHBand="0" w:noVBand="1"/>
      </w:tblPr>
      <w:tblGrid>
        <w:gridCol w:w="870"/>
        <w:gridCol w:w="1517"/>
        <w:gridCol w:w="1696"/>
        <w:gridCol w:w="1699"/>
        <w:gridCol w:w="3743"/>
        <w:gridCol w:w="748"/>
      </w:tblGrid>
      <w:tr w:rsidR="00AC1DAA" w:rsidRPr="003E6B3B" w14:paraId="3E1F3010" w14:textId="77777777" w:rsidTr="00DC7269">
        <w:trPr>
          <w:jc w:val="center"/>
        </w:trPr>
        <w:tc>
          <w:tcPr>
            <w:tcW w:w="870" w:type="dxa"/>
            <w:tcBorders>
              <w:top w:val="single" w:sz="4" w:space="0" w:color="auto"/>
              <w:bottom w:val="single" w:sz="4" w:space="0" w:color="auto"/>
            </w:tcBorders>
            <w:shd w:val="clear" w:color="auto" w:fill="auto"/>
            <w:vAlign w:val="center"/>
          </w:tcPr>
          <w:p w14:paraId="6C6AA8CD" w14:textId="77777777" w:rsidR="00AC1DAA" w:rsidRPr="003E6B3B" w:rsidRDefault="00AC1DAA" w:rsidP="00DC7269">
            <w:pPr>
              <w:jc w:val="center"/>
              <w:rPr>
                <w:rFonts w:asciiTheme="majorHAnsi" w:hAnsiTheme="majorHAnsi"/>
                <w:b/>
                <w:bCs/>
                <w:sz w:val="22"/>
                <w:szCs w:val="22"/>
              </w:rPr>
            </w:pPr>
            <w:r w:rsidRPr="003E6B3B">
              <w:rPr>
                <w:rFonts w:asciiTheme="majorHAnsi" w:hAnsiTheme="majorHAnsi"/>
                <w:b/>
                <w:bCs/>
                <w:sz w:val="22"/>
                <w:szCs w:val="22"/>
              </w:rPr>
              <w:t>CODE</w:t>
            </w:r>
          </w:p>
        </w:tc>
        <w:tc>
          <w:tcPr>
            <w:tcW w:w="1521" w:type="dxa"/>
            <w:tcBorders>
              <w:top w:val="single" w:sz="4" w:space="0" w:color="auto"/>
              <w:bottom w:val="single" w:sz="4" w:space="0" w:color="auto"/>
            </w:tcBorders>
            <w:shd w:val="clear" w:color="auto" w:fill="auto"/>
            <w:vAlign w:val="center"/>
          </w:tcPr>
          <w:p w14:paraId="52DAC29F" w14:textId="77777777" w:rsidR="00AC1DAA" w:rsidRPr="003E6B3B" w:rsidRDefault="00AC1DAA" w:rsidP="00DC7269">
            <w:pPr>
              <w:jc w:val="center"/>
              <w:rPr>
                <w:rFonts w:asciiTheme="majorHAnsi" w:hAnsiTheme="majorHAnsi"/>
                <w:b/>
                <w:bCs/>
                <w:sz w:val="22"/>
                <w:szCs w:val="22"/>
              </w:rPr>
            </w:pPr>
            <w:r w:rsidRPr="003E6B3B">
              <w:rPr>
                <w:rFonts w:asciiTheme="majorHAnsi" w:hAnsiTheme="majorHAnsi"/>
                <w:b/>
                <w:bCs/>
                <w:sz w:val="22"/>
                <w:szCs w:val="22"/>
              </w:rPr>
              <w:t>Scopus</w:t>
            </w:r>
          </w:p>
        </w:tc>
        <w:tc>
          <w:tcPr>
            <w:tcW w:w="1701" w:type="dxa"/>
            <w:tcBorders>
              <w:top w:val="single" w:sz="4" w:space="0" w:color="auto"/>
              <w:bottom w:val="single" w:sz="4" w:space="0" w:color="auto"/>
            </w:tcBorders>
            <w:shd w:val="clear" w:color="auto" w:fill="auto"/>
            <w:vAlign w:val="center"/>
          </w:tcPr>
          <w:p w14:paraId="2D693B3C" w14:textId="77777777" w:rsidR="00AC1DAA" w:rsidRPr="003E6B3B" w:rsidRDefault="00AC1DAA" w:rsidP="00DC7269">
            <w:pPr>
              <w:jc w:val="center"/>
              <w:rPr>
                <w:rFonts w:asciiTheme="majorHAnsi" w:hAnsiTheme="majorHAnsi"/>
                <w:b/>
                <w:bCs/>
                <w:sz w:val="22"/>
                <w:szCs w:val="22"/>
              </w:rPr>
            </w:pPr>
            <w:r w:rsidRPr="003E6B3B">
              <w:rPr>
                <w:rFonts w:asciiTheme="majorHAnsi" w:hAnsiTheme="majorHAnsi"/>
                <w:b/>
                <w:bCs/>
                <w:sz w:val="22"/>
                <w:szCs w:val="22"/>
              </w:rPr>
              <w:t>Science Direct</w:t>
            </w:r>
          </w:p>
        </w:tc>
        <w:tc>
          <w:tcPr>
            <w:tcW w:w="1701" w:type="dxa"/>
            <w:tcBorders>
              <w:top w:val="single" w:sz="4" w:space="0" w:color="auto"/>
              <w:bottom w:val="single" w:sz="4" w:space="0" w:color="auto"/>
            </w:tcBorders>
            <w:shd w:val="clear" w:color="auto" w:fill="auto"/>
            <w:vAlign w:val="center"/>
          </w:tcPr>
          <w:p w14:paraId="39122EBC" w14:textId="77777777" w:rsidR="00AC1DAA" w:rsidRPr="003E6B3B" w:rsidRDefault="00AC1DAA" w:rsidP="00DC7269">
            <w:pPr>
              <w:jc w:val="center"/>
              <w:rPr>
                <w:rFonts w:asciiTheme="majorHAnsi" w:hAnsiTheme="majorHAnsi"/>
                <w:b/>
                <w:bCs/>
                <w:sz w:val="22"/>
                <w:szCs w:val="22"/>
              </w:rPr>
            </w:pPr>
            <w:r w:rsidRPr="003E6B3B">
              <w:rPr>
                <w:rFonts w:asciiTheme="majorHAnsi" w:hAnsiTheme="majorHAnsi"/>
                <w:b/>
                <w:bCs/>
                <w:sz w:val="22"/>
                <w:szCs w:val="22"/>
              </w:rPr>
              <w:t>Dimensions</w:t>
            </w:r>
          </w:p>
        </w:tc>
        <w:tc>
          <w:tcPr>
            <w:tcW w:w="3757" w:type="dxa"/>
            <w:tcBorders>
              <w:top w:val="single" w:sz="4" w:space="0" w:color="auto"/>
              <w:bottom w:val="single" w:sz="4" w:space="0" w:color="auto"/>
            </w:tcBorders>
            <w:shd w:val="clear" w:color="auto" w:fill="auto"/>
            <w:vAlign w:val="center"/>
          </w:tcPr>
          <w:p w14:paraId="0997B625" w14:textId="77777777" w:rsidR="00AC1DAA" w:rsidRPr="003E6B3B" w:rsidRDefault="00AC1DAA" w:rsidP="00DC7269">
            <w:pPr>
              <w:jc w:val="center"/>
              <w:rPr>
                <w:rFonts w:asciiTheme="majorHAnsi" w:hAnsiTheme="majorHAnsi"/>
                <w:b/>
                <w:bCs/>
                <w:sz w:val="22"/>
                <w:szCs w:val="22"/>
              </w:rPr>
            </w:pPr>
            <w:r w:rsidRPr="003E6B3B">
              <w:rPr>
                <w:rFonts w:asciiTheme="majorHAnsi" w:hAnsiTheme="majorHAnsi"/>
                <w:b/>
                <w:bCs/>
                <w:sz w:val="22"/>
                <w:szCs w:val="22"/>
              </w:rPr>
              <w:t>Google Scholar</w:t>
            </w:r>
          </w:p>
          <w:p w14:paraId="1C3366BC" w14:textId="77777777" w:rsidR="00AC1DAA" w:rsidRPr="003E6B3B" w:rsidRDefault="00AC1DAA" w:rsidP="00DC7269">
            <w:pPr>
              <w:jc w:val="center"/>
              <w:rPr>
                <w:rFonts w:asciiTheme="majorHAnsi" w:hAnsiTheme="majorHAnsi"/>
                <w:b/>
                <w:bCs/>
                <w:sz w:val="22"/>
                <w:szCs w:val="22"/>
              </w:rPr>
            </w:pPr>
            <w:r w:rsidRPr="003E6B3B">
              <w:rPr>
                <w:rFonts w:asciiTheme="majorHAnsi" w:hAnsiTheme="majorHAnsi"/>
                <w:b/>
                <w:bCs/>
                <w:sz w:val="22"/>
                <w:szCs w:val="22"/>
              </w:rPr>
              <w:t>(with Publish or Perish application)</w:t>
            </w:r>
          </w:p>
        </w:tc>
        <w:tc>
          <w:tcPr>
            <w:tcW w:w="723" w:type="dxa"/>
            <w:tcBorders>
              <w:top w:val="single" w:sz="4" w:space="0" w:color="auto"/>
              <w:bottom w:val="single" w:sz="4" w:space="0" w:color="auto"/>
            </w:tcBorders>
            <w:shd w:val="clear" w:color="auto" w:fill="auto"/>
            <w:vAlign w:val="center"/>
          </w:tcPr>
          <w:p w14:paraId="7AF90419" w14:textId="77777777" w:rsidR="00AC1DAA" w:rsidRPr="003E6B3B" w:rsidRDefault="00AC1DAA" w:rsidP="00DC7269">
            <w:pPr>
              <w:jc w:val="center"/>
              <w:rPr>
                <w:rFonts w:asciiTheme="majorHAnsi" w:hAnsiTheme="majorHAnsi"/>
                <w:b/>
                <w:bCs/>
                <w:sz w:val="22"/>
                <w:szCs w:val="22"/>
              </w:rPr>
            </w:pPr>
            <w:r w:rsidRPr="003E6B3B">
              <w:rPr>
                <w:rFonts w:asciiTheme="majorHAnsi" w:hAnsiTheme="majorHAnsi"/>
                <w:b/>
                <w:bCs/>
                <w:sz w:val="22"/>
                <w:szCs w:val="22"/>
              </w:rPr>
              <w:t>Total</w:t>
            </w:r>
          </w:p>
        </w:tc>
      </w:tr>
      <w:tr w:rsidR="00AC1DAA" w:rsidRPr="003E6B3B" w14:paraId="4D30DDB3" w14:textId="77777777" w:rsidTr="00DC7269">
        <w:trPr>
          <w:jc w:val="center"/>
        </w:trPr>
        <w:tc>
          <w:tcPr>
            <w:tcW w:w="870" w:type="dxa"/>
            <w:tcBorders>
              <w:top w:val="single" w:sz="4" w:space="0" w:color="auto"/>
              <w:bottom w:val="single" w:sz="4" w:space="0" w:color="auto"/>
            </w:tcBorders>
            <w:shd w:val="clear" w:color="auto" w:fill="auto"/>
            <w:vAlign w:val="center"/>
          </w:tcPr>
          <w:p w14:paraId="4D83AEC0"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A</w:t>
            </w:r>
          </w:p>
        </w:tc>
        <w:tc>
          <w:tcPr>
            <w:tcW w:w="1521" w:type="dxa"/>
            <w:tcBorders>
              <w:top w:val="single" w:sz="4" w:space="0" w:color="auto"/>
              <w:bottom w:val="single" w:sz="4" w:space="0" w:color="auto"/>
            </w:tcBorders>
            <w:shd w:val="clear" w:color="auto" w:fill="auto"/>
            <w:vAlign w:val="center"/>
          </w:tcPr>
          <w:p w14:paraId="4FD3ECE4"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213</w:t>
            </w:r>
          </w:p>
        </w:tc>
        <w:tc>
          <w:tcPr>
            <w:tcW w:w="1701" w:type="dxa"/>
            <w:tcBorders>
              <w:top w:val="single" w:sz="4" w:space="0" w:color="auto"/>
              <w:bottom w:val="single" w:sz="4" w:space="0" w:color="auto"/>
            </w:tcBorders>
            <w:shd w:val="clear" w:color="auto" w:fill="auto"/>
            <w:vAlign w:val="center"/>
          </w:tcPr>
          <w:p w14:paraId="1033CB4F"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179</w:t>
            </w:r>
          </w:p>
        </w:tc>
        <w:tc>
          <w:tcPr>
            <w:tcW w:w="1701" w:type="dxa"/>
            <w:tcBorders>
              <w:top w:val="single" w:sz="4" w:space="0" w:color="auto"/>
              <w:bottom w:val="single" w:sz="4" w:space="0" w:color="auto"/>
            </w:tcBorders>
            <w:shd w:val="clear" w:color="auto" w:fill="auto"/>
            <w:vAlign w:val="center"/>
          </w:tcPr>
          <w:p w14:paraId="2E0B5F6E"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216</w:t>
            </w:r>
          </w:p>
        </w:tc>
        <w:tc>
          <w:tcPr>
            <w:tcW w:w="3757" w:type="dxa"/>
            <w:tcBorders>
              <w:top w:val="single" w:sz="4" w:space="0" w:color="auto"/>
              <w:bottom w:val="single" w:sz="4" w:space="0" w:color="auto"/>
            </w:tcBorders>
            <w:shd w:val="clear" w:color="auto" w:fill="auto"/>
            <w:vAlign w:val="center"/>
          </w:tcPr>
          <w:p w14:paraId="0558CE9D"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80</w:t>
            </w:r>
          </w:p>
        </w:tc>
        <w:tc>
          <w:tcPr>
            <w:tcW w:w="723" w:type="dxa"/>
            <w:tcBorders>
              <w:top w:val="single" w:sz="4" w:space="0" w:color="auto"/>
              <w:bottom w:val="single" w:sz="4" w:space="0" w:color="auto"/>
            </w:tcBorders>
            <w:shd w:val="clear" w:color="auto" w:fill="auto"/>
            <w:vAlign w:val="center"/>
          </w:tcPr>
          <w:p w14:paraId="3AFB13BC"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686</w:t>
            </w:r>
          </w:p>
        </w:tc>
      </w:tr>
      <w:tr w:rsidR="00AC1DAA" w:rsidRPr="003E6B3B" w14:paraId="181240B2" w14:textId="77777777" w:rsidTr="00DC7269">
        <w:trPr>
          <w:jc w:val="center"/>
        </w:trPr>
        <w:tc>
          <w:tcPr>
            <w:tcW w:w="870" w:type="dxa"/>
            <w:tcBorders>
              <w:top w:val="single" w:sz="4" w:space="0" w:color="auto"/>
              <w:bottom w:val="single" w:sz="4" w:space="0" w:color="auto"/>
            </w:tcBorders>
            <w:shd w:val="clear" w:color="auto" w:fill="auto"/>
            <w:vAlign w:val="center"/>
          </w:tcPr>
          <w:p w14:paraId="66B60407"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B</w:t>
            </w:r>
          </w:p>
        </w:tc>
        <w:tc>
          <w:tcPr>
            <w:tcW w:w="1521" w:type="dxa"/>
            <w:tcBorders>
              <w:top w:val="single" w:sz="4" w:space="0" w:color="auto"/>
              <w:bottom w:val="single" w:sz="4" w:space="0" w:color="auto"/>
            </w:tcBorders>
            <w:shd w:val="clear" w:color="auto" w:fill="auto"/>
            <w:vAlign w:val="center"/>
          </w:tcPr>
          <w:p w14:paraId="6FC55EE0"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13</w:t>
            </w:r>
          </w:p>
        </w:tc>
        <w:tc>
          <w:tcPr>
            <w:tcW w:w="1701" w:type="dxa"/>
            <w:tcBorders>
              <w:top w:val="single" w:sz="4" w:space="0" w:color="auto"/>
              <w:bottom w:val="single" w:sz="4" w:space="0" w:color="auto"/>
            </w:tcBorders>
            <w:shd w:val="clear" w:color="auto" w:fill="auto"/>
            <w:vAlign w:val="center"/>
          </w:tcPr>
          <w:p w14:paraId="01D5AB85"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5</w:t>
            </w:r>
          </w:p>
        </w:tc>
        <w:tc>
          <w:tcPr>
            <w:tcW w:w="1701" w:type="dxa"/>
            <w:tcBorders>
              <w:top w:val="single" w:sz="4" w:space="0" w:color="auto"/>
              <w:bottom w:val="single" w:sz="4" w:space="0" w:color="auto"/>
            </w:tcBorders>
            <w:shd w:val="clear" w:color="auto" w:fill="auto"/>
            <w:vAlign w:val="center"/>
          </w:tcPr>
          <w:p w14:paraId="7D21AF68"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18</w:t>
            </w:r>
          </w:p>
        </w:tc>
        <w:tc>
          <w:tcPr>
            <w:tcW w:w="3757" w:type="dxa"/>
            <w:tcBorders>
              <w:top w:val="single" w:sz="4" w:space="0" w:color="auto"/>
              <w:bottom w:val="single" w:sz="4" w:space="0" w:color="auto"/>
            </w:tcBorders>
            <w:shd w:val="clear" w:color="auto" w:fill="auto"/>
            <w:vAlign w:val="center"/>
          </w:tcPr>
          <w:p w14:paraId="10531B6D"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68</w:t>
            </w:r>
          </w:p>
        </w:tc>
        <w:tc>
          <w:tcPr>
            <w:tcW w:w="723" w:type="dxa"/>
            <w:tcBorders>
              <w:top w:val="single" w:sz="4" w:space="0" w:color="auto"/>
              <w:bottom w:val="single" w:sz="4" w:space="0" w:color="auto"/>
            </w:tcBorders>
            <w:shd w:val="clear" w:color="auto" w:fill="auto"/>
            <w:vAlign w:val="center"/>
          </w:tcPr>
          <w:p w14:paraId="5F4FEBB4"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104</w:t>
            </w:r>
          </w:p>
        </w:tc>
      </w:tr>
      <w:tr w:rsidR="00AC1DAA" w:rsidRPr="003E6B3B" w14:paraId="1B8C2F9C" w14:textId="77777777" w:rsidTr="00DC7269">
        <w:trPr>
          <w:jc w:val="center"/>
        </w:trPr>
        <w:tc>
          <w:tcPr>
            <w:tcW w:w="870" w:type="dxa"/>
            <w:tcBorders>
              <w:top w:val="single" w:sz="4" w:space="0" w:color="auto"/>
              <w:bottom w:val="single" w:sz="4" w:space="0" w:color="auto"/>
            </w:tcBorders>
            <w:shd w:val="clear" w:color="auto" w:fill="auto"/>
            <w:vAlign w:val="center"/>
          </w:tcPr>
          <w:p w14:paraId="0F489A26"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C</w:t>
            </w:r>
          </w:p>
        </w:tc>
        <w:tc>
          <w:tcPr>
            <w:tcW w:w="1521" w:type="dxa"/>
            <w:tcBorders>
              <w:top w:val="single" w:sz="4" w:space="0" w:color="auto"/>
              <w:bottom w:val="single" w:sz="4" w:space="0" w:color="auto"/>
            </w:tcBorders>
            <w:shd w:val="clear" w:color="auto" w:fill="auto"/>
            <w:vAlign w:val="center"/>
          </w:tcPr>
          <w:p w14:paraId="6F4E6118"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12</w:t>
            </w:r>
          </w:p>
        </w:tc>
        <w:tc>
          <w:tcPr>
            <w:tcW w:w="1701" w:type="dxa"/>
            <w:tcBorders>
              <w:top w:val="single" w:sz="4" w:space="0" w:color="auto"/>
              <w:bottom w:val="single" w:sz="4" w:space="0" w:color="auto"/>
            </w:tcBorders>
            <w:shd w:val="clear" w:color="auto" w:fill="auto"/>
            <w:vAlign w:val="center"/>
          </w:tcPr>
          <w:p w14:paraId="2CEFC5E3"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17</w:t>
            </w:r>
          </w:p>
        </w:tc>
        <w:tc>
          <w:tcPr>
            <w:tcW w:w="1701" w:type="dxa"/>
            <w:tcBorders>
              <w:top w:val="single" w:sz="4" w:space="0" w:color="auto"/>
              <w:bottom w:val="single" w:sz="4" w:space="0" w:color="auto"/>
            </w:tcBorders>
            <w:shd w:val="clear" w:color="auto" w:fill="auto"/>
            <w:vAlign w:val="center"/>
          </w:tcPr>
          <w:p w14:paraId="05876C29"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9</w:t>
            </w:r>
          </w:p>
        </w:tc>
        <w:tc>
          <w:tcPr>
            <w:tcW w:w="3757" w:type="dxa"/>
            <w:tcBorders>
              <w:top w:val="single" w:sz="4" w:space="0" w:color="auto"/>
              <w:bottom w:val="single" w:sz="4" w:space="0" w:color="auto"/>
            </w:tcBorders>
            <w:shd w:val="clear" w:color="auto" w:fill="auto"/>
            <w:vAlign w:val="center"/>
          </w:tcPr>
          <w:p w14:paraId="374D1A71"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35</w:t>
            </w:r>
          </w:p>
        </w:tc>
        <w:tc>
          <w:tcPr>
            <w:tcW w:w="723" w:type="dxa"/>
            <w:tcBorders>
              <w:top w:val="single" w:sz="4" w:space="0" w:color="auto"/>
              <w:bottom w:val="single" w:sz="4" w:space="0" w:color="auto"/>
            </w:tcBorders>
            <w:shd w:val="clear" w:color="auto" w:fill="auto"/>
            <w:vAlign w:val="center"/>
          </w:tcPr>
          <w:p w14:paraId="23FC27B6"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73</w:t>
            </w:r>
          </w:p>
        </w:tc>
      </w:tr>
      <w:tr w:rsidR="00AC1DAA" w:rsidRPr="003E6B3B" w14:paraId="19BD4172" w14:textId="77777777" w:rsidTr="00DC7269">
        <w:trPr>
          <w:jc w:val="center"/>
        </w:trPr>
        <w:tc>
          <w:tcPr>
            <w:tcW w:w="870" w:type="dxa"/>
            <w:tcBorders>
              <w:top w:val="single" w:sz="4" w:space="0" w:color="auto"/>
              <w:bottom w:val="single" w:sz="4" w:space="0" w:color="auto"/>
            </w:tcBorders>
            <w:shd w:val="clear" w:color="auto" w:fill="FFFFFF"/>
            <w:vAlign w:val="center"/>
          </w:tcPr>
          <w:p w14:paraId="6C0B39E1"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D</w:t>
            </w:r>
          </w:p>
        </w:tc>
        <w:tc>
          <w:tcPr>
            <w:tcW w:w="1521" w:type="dxa"/>
            <w:tcBorders>
              <w:top w:val="single" w:sz="4" w:space="0" w:color="auto"/>
              <w:bottom w:val="single" w:sz="4" w:space="0" w:color="auto"/>
            </w:tcBorders>
            <w:shd w:val="clear" w:color="auto" w:fill="FFFFFF"/>
            <w:vAlign w:val="center"/>
          </w:tcPr>
          <w:p w14:paraId="05B84E26"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4</w:t>
            </w:r>
          </w:p>
        </w:tc>
        <w:tc>
          <w:tcPr>
            <w:tcW w:w="1701" w:type="dxa"/>
            <w:tcBorders>
              <w:top w:val="single" w:sz="4" w:space="0" w:color="auto"/>
              <w:bottom w:val="single" w:sz="4" w:space="0" w:color="auto"/>
            </w:tcBorders>
            <w:shd w:val="clear" w:color="auto" w:fill="FFFFFF"/>
            <w:vAlign w:val="center"/>
          </w:tcPr>
          <w:p w14:paraId="0A9AC061"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2</w:t>
            </w:r>
          </w:p>
        </w:tc>
        <w:tc>
          <w:tcPr>
            <w:tcW w:w="1701" w:type="dxa"/>
            <w:tcBorders>
              <w:top w:val="single" w:sz="4" w:space="0" w:color="auto"/>
              <w:bottom w:val="single" w:sz="4" w:space="0" w:color="auto"/>
            </w:tcBorders>
            <w:shd w:val="clear" w:color="auto" w:fill="FFFFFF"/>
            <w:vAlign w:val="center"/>
          </w:tcPr>
          <w:p w14:paraId="6DD30208"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78</w:t>
            </w:r>
          </w:p>
        </w:tc>
        <w:tc>
          <w:tcPr>
            <w:tcW w:w="3757" w:type="dxa"/>
            <w:tcBorders>
              <w:top w:val="single" w:sz="4" w:space="0" w:color="auto"/>
              <w:bottom w:val="single" w:sz="4" w:space="0" w:color="auto"/>
            </w:tcBorders>
            <w:shd w:val="clear" w:color="auto" w:fill="FFFFFF"/>
            <w:vAlign w:val="center"/>
          </w:tcPr>
          <w:p w14:paraId="5301E0F8"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723" w:type="dxa"/>
            <w:tcBorders>
              <w:top w:val="single" w:sz="4" w:space="0" w:color="auto"/>
              <w:bottom w:val="single" w:sz="4" w:space="0" w:color="auto"/>
            </w:tcBorders>
            <w:shd w:val="clear" w:color="auto" w:fill="FFFFFF"/>
            <w:vAlign w:val="center"/>
          </w:tcPr>
          <w:p w14:paraId="0A2071DF"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84</w:t>
            </w:r>
          </w:p>
        </w:tc>
      </w:tr>
      <w:tr w:rsidR="00AC1DAA" w:rsidRPr="003E6B3B" w14:paraId="03513C22" w14:textId="77777777" w:rsidTr="00DC7269">
        <w:trPr>
          <w:jc w:val="center"/>
        </w:trPr>
        <w:tc>
          <w:tcPr>
            <w:tcW w:w="870" w:type="dxa"/>
            <w:tcBorders>
              <w:top w:val="single" w:sz="4" w:space="0" w:color="auto"/>
              <w:bottom w:val="single" w:sz="4" w:space="0" w:color="auto"/>
            </w:tcBorders>
            <w:shd w:val="clear" w:color="auto" w:fill="FFFFFF"/>
            <w:vAlign w:val="center"/>
          </w:tcPr>
          <w:p w14:paraId="0C846631"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E</w:t>
            </w:r>
          </w:p>
        </w:tc>
        <w:tc>
          <w:tcPr>
            <w:tcW w:w="1521" w:type="dxa"/>
            <w:tcBorders>
              <w:top w:val="single" w:sz="4" w:space="0" w:color="auto"/>
              <w:bottom w:val="single" w:sz="4" w:space="0" w:color="auto"/>
            </w:tcBorders>
            <w:shd w:val="clear" w:color="auto" w:fill="FFFFFF"/>
            <w:vAlign w:val="center"/>
          </w:tcPr>
          <w:p w14:paraId="4E512CFB"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12</w:t>
            </w:r>
          </w:p>
        </w:tc>
        <w:tc>
          <w:tcPr>
            <w:tcW w:w="1701" w:type="dxa"/>
            <w:tcBorders>
              <w:top w:val="single" w:sz="4" w:space="0" w:color="auto"/>
              <w:bottom w:val="single" w:sz="4" w:space="0" w:color="auto"/>
            </w:tcBorders>
            <w:shd w:val="clear" w:color="auto" w:fill="FFFFFF"/>
            <w:vAlign w:val="center"/>
          </w:tcPr>
          <w:p w14:paraId="1B378874"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3</w:t>
            </w:r>
          </w:p>
        </w:tc>
        <w:tc>
          <w:tcPr>
            <w:tcW w:w="1701" w:type="dxa"/>
            <w:tcBorders>
              <w:top w:val="single" w:sz="4" w:space="0" w:color="auto"/>
              <w:bottom w:val="single" w:sz="4" w:space="0" w:color="auto"/>
            </w:tcBorders>
            <w:shd w:val="clear" w:color="auto" w:fill="FFFFFF"/>
            <w:vAlign w:val="center"/>
          </w:tcPr>
          <w:p w14:paraId="3C7A99DD"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63</w:t>
            </w:r>
          </w:p>
        </w:tc>
        <w:tc>
          <w:tcPr>
            <w:tcW w:w="3757" w:type="dxa"/>
            <w:tcBorders>
              <w:top w:val="single" w:sz="4" w:space="0" w:color="auto"/>
              <w:bottom w:val="single" w:sz="4" w:space="0" w:color="auto"/>
            </w:tcBorders>
            <w:shd w:val="clear" w:color="auto" w:fill="FFFFFF"/>
            <w:vAlign w:val="center"/>
          </w:tcPr>
          <w:p w14:paraId="466D9750"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723" w:type="dxa"/>
            <w:tcBorders>
              <w:top w:val="single" w:sz="4" w:space="0" w:color="auto"/>
              <w:bottom w:val="single" w:sz="4" w:space="0" w:color="auto"/>
            </w:tcBorders>
            <w:shd w:val="clear" w:color="auto" w:fill="FFFFFF"/>
            <w:vAlign w:val="center"/>
          </w:tcPr>
          <w:p w14:paraId="7552C4B5"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78</w:t>
            </w:r>
          </w:p>
        </w:tc>
      </w:tr>
      <w:tr w:rsidR="00AC1DAA" w:rsidRPr="003E6B3B" w14:paraId="1561EEB1" w14:textId="77777777" w:rsidTr="00DC7269">
        <w:trPr>
          <w:jc w:val="center"/>
        </w:trPr>
        <w:tc>
          <w:tcPr>
            <w:tcW w:w="870" w:type="dxa"/>
            <w:tcBorders>
              <w:top w:val="single" w:sz="4" w:space="0" w:color="auto"/>
              <w:bottom w:val="single" w:sz="4" w:space="0" w:color="auto"/>
            </w:tcBorders>
            <w:shd w:val="clear" w:color="auto" w:fill="FFFFFF"/>
            <w:vAlign w:val="center"/>
          </w:tcPr>
          <w:p w14:paraId="5E7C98E0"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F</w:t>
            </w:r>
          </w:p>
        </w:tc>
        <w:tc>
          <w:tcPr>
            <w:tcW w:w="1521" w:type="dxa"/>
            <w:tcBorders>
              <w:top w:val="single" w:sz="4" w:space="0" w:color="auto"/>
              <w:bottom w:val="single" w:sz="4" w:space="0" w:color="auto"/>
            </w:tcBorders>
            <w:shd w:val="clear" w:color="auto" w:fill="FFFFFF"/>
            <w:vAlign w:val="center"/>
          </w:tcPr>
          <w:p w14:paraId="6D01AFE0"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1701" w:type="dxa"/>
            <w:tcBorders>
              <w:top w:val="single" w:sz="4" w:space="0" w:color="auto"/>
              <w:bottom w:val="single" w:sz="4" w:space="0" w:color="auto"/>
            </w:tcBorders>
            <w:shd w:val="clear" w:color="auto" w:fill="FFFFFF"/>
            <w:vAlign w:val="center"/>
          </w:tcPr>
          <w:p w14:paraId="74C527CC"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1701" w:type="dxa"/>
            <w:tcBorders>
              <w:top w:val="single" w:sz="4" w:space="0" w:color="auto"/>
              <w:bottom w:val="single" w:sz="4" w:space="0" w:color="auto"/>
            </w:tcBorders>
            <w:shd w:val="clear" w:color="auto" w:fill="FFFFFF"/>
            <w:vAlign w:val="center"/>
          </w:tcPr>
          <w:p w14:paraId="4A94AE07"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5</w:t>
            </w:r>
          </w:p>
        </w:tc>
        <w:tc>
          <w:tcPr>
            <w:tcW w:w="3757" w:type="dxa"/>
            <w:tcBorders>
              <w:top w:val="single" w:sz="4" w:space="0" w:color="auto"/>
              <w:bottom w:val="single" w:sz="4" w:space="0" w:color="auto"/>
            </w:tcBorders>
            <w:shd w:val="clear" w:color="auto" w:fill="FFFFFF"/>
            <w:vAlign w:val="center"/>
          </w:tcPr>
          <w:p w14:paraId="44E51231"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723" w:type="dxa"/>
            <w:tcBorders>
              <w:top w:val="single" w:sz="4" w:space="0" w:color="auto"/>
              <w:bottom w:val="single" w:sz="4" w:space="0" w:color="auto"/>
            </w:tcBorders>
            <w:shd w:val="clear" w:color="auto" w:fill="FFFFFF"/>
            <w:vAlign w:val="center"/>
          </w:tcPr>
          <w:p w14:paraId="22F7BEDD"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5</w:t>
            </w:r>
          </w:p>
        </w:tc>
      </w:tr>
      <w:tr w:rsidR="00AC1DAA" w:rsidRPr="003E6B3B" w14:paraId="28616BBE" w14:textId="77777777" w:rsidTr="00DC7269">
        <w:trPr>
          <w:jc w:val="center"/>
        </w:trPr>
        <w:tc>
          <w:tcPr>
            <w:tcW w:w="870" w:type="dxa"/>
            <w:tcBorders>
              <w:top w:val="single" w:sz="4" w:space="0" w:color="auto"/>
              <w:bottom w:val="single" w:sz="4" w:space="0" w:color="auto"/>
            </w:tcBorders>
            <w:shd w:val="clear" w:color="auto" w:fill="FFFFFF"/>
            <w:vAlign w:val="center"/>
          </w:tcPr>
          <w:p w14:paraId="690EBDF0"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G</w:t>
            </w:r>
          </w:p>
        </w:tc>
        <w:tc>
          <w:tcPr>
            <w:tcW w:w="1521" w:type="dxa"/>
            <w:tcBorders>
              <w:top w:val="single" w:sz="4" w:space="0" w:color="auto"/>
              <w:bottom w:val="single" w:sz="4" w:space="0" w:color="auto"/>
            </w:tcBorders>
            <w:shd w:val="clear" w:color="auto" w:fill="FFFFFF"/>
            <w:vAlign w:val="center"/>
          </w:tcPr>
          <w:p w14:paraId="75997E85"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1701" w:type="dxa"/>
            <w:tcBorders>
              <w:top w:val="single" w:sz="4" w:space="0" w:color="auto"/>
              <w:bottom w:val="single" w:sz="4" w:space="0" w:color="auto"/>
            </w:tcBorders>
            <w:shd w:val="clear" w:color="auto" w:fill="FFFFFF"/>
            <w:vAlign w:val="center"/>
          </w:tcPr>
          <w:p w14:paraId="1C97A875"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1701" w:type="dxa"/>
            <w:tcBorders>
              <w:top w:val="single" w:sz="4" w:space="0" w:color="auto"/>
              <w:bottom w:val="single" w:sz="4" w:space="0" w:color="auto"/>
            </w:tcBorders>
            <w:shd w:val="clear" w:color="auto" w:fill="FFFFFF"/>
            <w:vAlign w:val="center"/>
          </w:tcPr>
          <w:p w14:paraId="012658F7"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3</w:t>
            </w:r>
          </w:p>
        </w:tc>
        <w:tc>
          <w:tcPr>
            <w:tcW w:w="3757" w:type="dxa"/>
            <w:tcBorders>
              <w:top w:val="single" w:sz="4" w:space="0" w:color="auto"/>
              <w:bottom w:val="single" w:sz="4" w:space="0" w:color="auto"/>
            </w:tcBorders>
            <w:shd w:val="clear" w:color="auto" w:fill="FFFFFF"/>
            <w:vAlign w:val="center"/>
          </w:tcPr>
          <w:p w14:paraId="372FA1A5"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0</w:t>
            </w:r>
          </w:p>
        </w:tc>
        <w:tc>
          <w:tcPr>
            <w:tcW w:w="723" w:type="dxa"/>
            <w:tcBorders>
              <w:top w:val="single" w:sz="4" w:space="0" w:color="auto"/>
              <w:bottom w:val="single" w:sz="4" w:space="0" w:color="auto"/>
            </w:tcBorders>
            <w:shd w:val="clear" w:color="auto" w:fill="FFFFFF"/>
            <w:vAlign w:val="center"/>
          </w:tcPr>
          <w:p w14:paraId="39590D56"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3</w:t>
            </w:r>
          </w:p>
        </w:tc>
      </w:tr>
      <w:tr w:rsidR="00AC1DAA" w:rsidRPr="003E6B3B" w14:paraId="2E6C2C35" w14:textId="77777777" w:rsidTr="00DC7269">
        <w:trPr>
          <w:jc w:val="center"/>
        </w:trPr>
        <w:tc>
          <w:tcPr>
            <w:tcW w:w="870" w:type="dxa"/>
            <w:tcBorders>
              <w:top w:val="single" w:sz="4" w:space="0" w:color="auto"/>
              <w:bottom w:val="single" w:sz="4" w:space="0" w:color="auto"/>
            </w:tcBorders>
            <w:shd w:val="clear" w:color="auto" w:fill="auto"/>
            <w:vAlign w:val="center"/>
          </w:tcPr>
          <w:p w14:paraId="3C6F2726"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Total</w:t>
            </w:r>
          </w:p>
        </w:tc>
        <w:tc>
          <w:tcPr>
            <w:tcW w:w="1521" w:type="dxa"/>
            <w:tcBorders>
              <w:top w:val="single" w:sz="4" w:space="0" w:color="auto"/>
              <w:bottom w:val="single" w:sz="4" w:space="0" w:color="auto"/>
            </w:tcBorders>
            <w:shd w:val="clear" w:color="auto" w:fill="auto"/>
            <w:vAlign w:val="center"/>
          </w:tcPr>
          <w:p w14:paraId="0F3DAF74"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254</w:t>
            </w:r>
          </w:p>
        </w:tc>
        <w:tc>
          <w:tcPr>
            <w:tcW w:w="1701" w:type="dxa"/>
            <w:tcBorders>
              <w:top w:val="single" w:sz="4" w:space="0" w:color="auto"/>
              <w:bottom w:val="single" w:sz="4" w:space="0" w:color="auto"/>
            </w:tcBorders>
            <w:shd w:val="clear" w:color="auto" w:fill="auto"/>
            <w:vAlign w:val="center"/>
          </w:tcPr>
          <w:p w14:paraId="4C80B607"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200</w:t>
            </w:r>
          </w:p>
        </w:tc>
        <w:tc>
          <w:tcPr>
            <w:tcW w:w="1701" w:type="dxa"/>
            <w:tcBorders>
              <w:top w:val="single" w:sz="4" w:space="0" w:color="auto"/>
              <w:bottom w:val="single" w:sz="4" w:space="0" w:color="auto"/>
            </w:tcBorders>
            <w:shd w:val="clear" w:color="auto" w:fill="auto"/>
            <w:vAlign w:val="center"/>
          </w:tcPr>
          <w:p w14:paraId="00D40FED"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392</w:t>
            </w:r>
          </w:p>
        </w:tc>
        <w:tc>
          <w:tcPr>
            <w:tcW w:w="3757" w:type="dxa"/>
            <w:tcBorders>
              <w:top w:val="single" w:sz="4" w:space="0" w:color="auto"/>
              <w:bottom w:val="single" w:sz="4" w:space="0" w:color="auto"/>
            </w:tcBorders>
            <w:shd w:val="clear" w:color="auto" w:fill="auto"/>
            <w:vAlign w:val="center"/>
          </w:tcPr>
          <w:p w14:paraId="6273A15B" w14:textId="77777777" w:rsidR="00AC1DAA" w:rsidRPr="003E6B3B" w:rsidRDefault="00AC1DAA" w:rsidP="00DC7269">
            <w:pPr>
              <w:jc w:val="center"/>
              <w:rPr>
                <w:rFonts w:asciiTheme="majorHAnsi" w:hAnsiTheme="majorHAnsi"/>
                <w:sz w:val="22"/>
                <w:szCs w:val="22"/>
              </w:rPr>
            </w:pPr>
            <w:r w:rsidRPr="003E6B3B">
              <w:rPr>
                <w:rFonts w:asciiTheme="majorHAnsi" w:hAnsiTheme="majorHAnsi"/>
                <w:sz w:val="22"/>
                <w:szCs w:val="22"/>
              </w:rPr>
              <w:t>183</w:t>
            </w:r>
          </w:p>
        </w:tc>
        <w:tc>
          <w:tcPr>
            <w:tcW w:w="723" w:type="dxa"/>
            <w:tcBorders>
              <w:top w:val="single" w:sz="4" w:space="0" w:color="auto"/>
              <w:bottom w:val="single" w:sz="4" w:space="0" w:color="auto"/>
              <w:tl2br w:val="single" w:sz="4" w:space="0" w:color="auto"/>
            </w:tcBorders>
            <w:shd w:val="clear" w:color="auto" w:fill="auto"/>
            <w:vAlign w:val="center"/>
          </w:tcPr>
          <w:p w14:paraId="09020AFC" w14:textId="77777777" w:rsidR="00AC1DAA" w:rsidRPr="003E6B3B" w:rsidRDefault="00AC1DAA" w:rsidP="00DC7269">
            <w:pPr>
              <w:ind w:left="360"/>
              <w:jc w:val="center"/>
              <w:rPr>
                <w:rFonts w:asciiTheme="majorHAnsi" w:hAnsiTheme="majorHAnsi"/>
                <w:sz w:val="22"/>
                <w:szCs w:val="22"/>
              </w:rPr>
            </w:pPr>
          </w:p>
        </w:tc>
      </w:tr>
    </w:tbl>
    <w:p w14:paraId="2541A017" w14:textId="77777777" w:rsidR="00AC1DAA" w:rsidRPr="003E6B3B" w:rsidRDefault="00AC1DAA" w:rsidP="00AC1DAA">
      <w:pPr>
        <w:pStyle w:val="IEEEParagraph"/>
        <w:spacing w:line="23" w:lineRule="atLeast"/>
        <w:ind w:firstLine="357"/>
        <w:rPr>
          <w:rFonts w:asciiTheme="majorHAnsi" w:hAnsiTheme="majorHAnsi"/>
          <w:lang w:val="sv-SE"/>
        </w:rPr>
      </w:pPr>
    </w:p>
    <w:p w14:paraId="2ABECF75" w14:textId="77777777" w:rsidR="00AC1DAA" w:rsidRPr="003E6B3B" w:rsidRDefault="00AC1DAA" w:rsidP="00AC1DAA">
      <w:pPr>
        <w:pStyle w:val="IEEEParagraph"/>
        <w:spacing w:line="23" w:lineRule="atLeast"/>
        <w:ind w:firstLine="357"/>
        <w:rPr>
          <w:rFonts w:asciiTheme="majorHAnsi" w:hAnsiTheme="majorHAnsi"/>
          <w:lang w:val="sv-SE"/>
        </w:rPr>
      </w:pPr>
      <w:r w:rsidRPr="003E6B3B">
        <w:rPr>
          <w:rFonts w:asciiTheme="majorHAnsi" w:hAnsiTheme="majorHAnsi"/>
          <w:lang w:val="sv-SE"/>
        </w:rPr>
        <w:t xml:space="preserve"> The second stage is the screening stage. The first thing to do is screen duplication of identified articles at this stage. Duplicate may occur if using more than one article database source and will capture articles with the same title and author. Duplication checks can use the help of Jabref or Mendeley software until finally the total number of the latest articles is obtained. The next stage of the screening stage is to filter the articles that have been successfully selected to the duplicate screening stage based on the title and abstract.</w:t>
      </w:r>
    </w:p>
    <w:p w14:paraId="30F3B149" w14:textId="0DE026D8" w:rsidR="004D6A8C" w:rsidRPr="003E6B3B" w:rsidRDefault="00AC1DAA" w:rsidP="00AC1DAA">
      <w:pPr>
        <w:pStyle w:val="IEEEParagraph"/>
        <w:spacing w:line="23" w:lineRule="atLeast"/>
        <w:ind w:firstLine="357"/>
        <w:rPr>
          <w:rFonts w:asciiTheme="majorHAnsi" w:hAnsiTheme="majorHAnsi"/>
          <w:lang w:val="sv-SE"/>
        </w:rPr>
      </w:pPr>
      <w:r w:rsidRPr="003E6B3B">
        <w:rPr>
          <w:rFonts w:asciiTheme="majorHAnsi" w:hAnsiTheme="majorHAnsi"/>
          <w:lang w:val="sv-SE"/>
        </w:rPr>
        <w:t>Furthermore, the articles selected at the screening stage enter the eligibility stage by checking and reading the articles one by one thoroughly so that non-conforming articles are returned. Checking is done by examining the research methods, objectives, and outputs. The results of the article selection at the eligibility stage are articles that enter the final step, namely included, where the article is ready to be used as literature review material, bibliometric map mapping, and state-of-the-art preparation.</w:t>
      </w:r>
    </w:p>
    <w:p w14:paraId="6B3EED48" w14:textId="77777777" w:rsidR="00AC1DAA" w:rsidRPr="003E6B3B" w:rsidRDefault="00AC1DAA" w:rsidP="00AC1DAA">
      <w:pPr>
        <w:pStyle w:val="IEEEParagraph"/>
        <w:spacing w:line="23" w:lineRule="atLeast"/>
        <w:ind w:firstLine="357"/>
        <w:rPr>
          <w:rFonts w:asciiTheme="majorHAnsi" w:hAnsiTheme="majorHAnsi"/>
          <w:lang w:val="sv-SE"/>
        </w:rPr>
      </w:pPr>
    </w:p>
    <w:p w14:paraId="67248AEA" w14:textId="66B6CCEA" w:rsidR="00AC1DAA" w:rsidRPr="003E6B3B" w:rsidRDefault="00AC1DAA" w:rsidP="00AC1DAA">
      <w:pPr>
        <w:pStyle w:val="IEEEParagraph"/>
        <w:spacing w:line="23" w:lineRule="atLeast"/>
        <w:ind w:firstLine="357"/>
        <w:jc w:val="center"/>
        <w:rPr>
          <w:rFonts w:asciiTheme="majorHAnsi" w:hAnsiTheme="majorHAnsi"/>
          <w:lang w:val="sv-SE"/>
        </w:rPr>
      </w:pPr>
      <w:r w:rsidRPr="003E6B3B">
        <w:rPr>
          <w:rFonts w:asciiTheme="majorHAnsi" w:hAnsiTheme="majorHAnsi"/>
          <w:noProof/>
        </w:rPr>
        <w:drawing>
          <wp:inline distT="0" distB="0" distL="0" distR="0" wp14:anchorId="5862F43B" wp14:editId="0D007C8C">
            <wp:extent cx="3550920" cy="34080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550920" cy="3408045"/>
                    </a:xfrm>
                    <a:prstGeom prst="rect">
                      <a:avLst/>
                    </a:prstGeom>
                    <a:noFill/>
                    <a:ln>
                      <a:noFill/>
                    </a:ln>
                  </pic:spPr>
                </pic:pic>
              </a:graphicData>
            </a:graphic>
          </wp:inline>
        </w:drawing>
      </w:r>
    </w:p>
    <w:p w14:paraId="086CFE43" w14:textId="3D3E0B95" w:rsidR="00AC1DAA" w:rsidRPr="003E6B3B" w:rsidRDefault="00AC1DAA" w:rsidP="00AC1DAA">
      <w:pPr>
        <w:pStyle w:val="IEEEParagraph"/>
        <w:spacing w:line="23" w:lineRule="atLeast"/>
        <w:ind w:firstLine="357"/>
        <w:jc w:val="center"/>
        <w:rPr>
          <w:rFonts w:asciiTheme="majorHAnsi" w:hAnsiTheme="majorHAnsi"/>
          <w:sz w:val="22"/>
          <w:szCs w:val="22"/>
          <w:lang w:val="sv-SE"/>
        </w:rPr>
      </w:pPr>
      <w:r w:rsidRPr="003E6B3B">
        <w:rPr>
          <w:rFonts w:asciiTheme="majorHAnsi" w:hAnsiTheme="majorHAnsi"/>
          <w:b/>
          <w:bCs/>
          <w:sz w:val="22"/>
          <w:szCs w:val="22"/>
        </w:rPr>
        <w:t>Figure 1</w:t>
      </w:r>
      <w:r w:rsidRPr="003E6B3B">
        <w:rPr>
          <w:rFonts w:asciiTheme="majorHAnsi" w:hAnsiTheme="majorHAnsi"/>
          <w:sz w:val="22"/>
          <w:szCs w:val="22"/>
        </w:rPr>
        <w:t>. PRISMA Method Flowchart</w:t>
      </w:r>
      <w:r w:rsidR="003E6B3B" w:rsidRPr="003E6B3B">
        <w:rPr>
          <w:rFonts w:asciiTheme="majorHAnsi" w:hAnsiTheme="majorHAnsi"/>
          <w:sz w:val="22"/>
          <w:szCs w:val="22"/>
        </w:rPr>
        <w:t xml:space="preserve"> </w:t>
      </w:r>
      <w:r w:rsidR="003E6B3B" w:rsidRPr="003E6B3B">
        <w:rPr>
          <w:rFonts w:asciiTheme="majorHAnsi" w:hAnsiTheme="majorHAnsi"/>
          <w:sz w:val="22"/>
          <w:szCs w:val="22"/>
        </w:rPr>
        <w:fldChar w:fldCharType="begin" w:fldLock="1"/>
      </w:r>
      <w:r w:rsidR="003E6B3B" w:rsidRPr="003E6B3B">
        <w:rPr>
          <w:rFonts w:asciiTheme="majorHAnsi" w:hAnsiTheme="majorHAnsi"/>
          <w:sz w:val="22"/>
          <w:szCs w:val="22"/>
        </w:rPr>
        <w:instrText>ADDIN CSL_CITATION {"citationItems":[{"id":"ITEM-1","itemData":{"DOI":"10.1016/j.ejor.2017.10.041","ISSN":"03772217","abstract":"Agri-food supply chains (ASC) are an important application domain for Operational Research/Management Science. In particular, the use of agent-based simulation (ABS) has increased in ASC research in recent years. This paper reviews existing ASC research that use ABS. The review begins by analysing the characteristics of the models and modelling reported in the literature. It illustrates that existing modelling research features extensive use of: single echelon supply chains; cases from high and middle income countries; unprocessed food products, empirical (as opposed to hypothetical) data; decision-making related to production planning and investment; and the use of black box validation. The second part of the review uses bibliographic mapping to analyse areas in ASC research which are yet to be addressed using ABS. We find that areas such as collaboration and competition, buyer–seller relationships, and service are under-researched. In addition, key actors in ASC such as food processors, supermarkets and retailers have not been included in the ABS models reported. Furthermore, these models have yet to incorporate important supply chain management theories such as Transaction Cost Economics and Resource-Based View as part of their design.","author":[{"dropping-particle":"","family":"Utomo","given":"Dhanan Sarwo","non-dropping-particle":"","parse-names":false,"suffix":""},{"dropping-particle":"","family":"Onggo","given":"Bhakti Stephan","non-dropping-particle":"","parse-names":false,"suffix":""},{"dropping-particle":"","family":"Eldridge","given":"Stephen","non-dropping-particle":"","parse-names":false,"suffix":""}],"container-title":"European Journal of Operational Research","id":"ITEM-1","issue":"3","issued":{"date-parts":[["2018"]]},"page":"794-805","publisher":"Elsevier B.V.","title":"Applications of agent-based modelling and simulation in the agri-food supply chains","type":"article-journal","volume":"269"},"uris":["http://www.mendeley.com/documents/?uuid=f87c27b3-99d0-4893-8b08-c5853f3fc84e"]}],"mendeley":{"formattedCitation":"(Utomo et al., 2018)","plainTextFormattedCitation":"(Utomo et al., 2018)"},"properties":{"noteIndex":0},"schema":"https://github.com/citation-style-language/schema/raw/master/csl-citation.json"}</w:instrText>
      </w:r>
      <w:r w:rsidR="003E6B3B" w:rsidRPr="003E6B3B">
        <w:rPr>
          <w:rFonts w:asciiTheme="majorHAnsi" w:hAnsiTheme="majorHAnsi"/>
          <w:sz w:val="22"/>
          <w:szCs w:val="22"/>
        </w:rPr>
        <w:fldChar w:fldCharType="separate"/>
      </w:r>
      <w:r w:rsidR="003E6B3B" w:rsidRPr="003E6B3B">
        <w:rPr>
          <w:rFonts w:asciiTheme="majorHAnsi" w:hAnsiTheme="majorHAnsi"/>
          <w:noProof/>
          <w:sz w:val="22"/>
          <w:szCs w:val="22"/>
        </w:rPr>
        <w:t>(Utomo et al., 2018)</w:t>
      </w:r>
      <w:r w:rsidR="003E6B3B" w:rsidRPr="003E6B3B">
        <w:rPr>
          <w:rFonts w:asciiTheme="majorHAnsi" w:hAnsiTheme="majorHAnsi"/>
          <w:sz w:val="22"/>
          <w:szCs w:val="22"/>
        </w:rPr>
        <w:fldChar w:fldCharType="end"/>
      </w:r>
    </w:p>
    <w:p w14:paraId="295EC5E0" w14:textId="7A260F03" w:rsidR="00AC1DAA" w:rsidRPr="003E6B3B" w:rsidRDefault="00AC1DAA" w:rsidP="00AC1DAA">
      <w:pPr>
        <w:pStyle w:val="IEEEParagraph"/>
        <w:spacing w:line="23" w:lineRule="atLeast"/>
        <w:ind w:firstLine="357"/>
        <w:rPr>
          <w:rFonts w:asciiTheme="majorHAnsi" w:hAnsiTheme="majorHAnsi"/>
          <w:lang w:val="sv-SE"/>
        </w:rPr>
      </w:pPr>
    </w:p>
    <w:p w14:paraId="211AF01C" w14:textId="217A2C21" w:rsidR="000A10E6" w:rsidRPr="003E6B3B" w:rsidRDefault="000A10E6" w:rsidP="00AC1DAA">
      <w:pPr>
        <w:pStyle w:val="IEEEParagraph"/>
        <w:spacing w:line="23" w:lineRule="atLeast"/>
        <w:ind w:firstLine="357"/>
        <w:rPr>
          <w:rFonts w:asciiTheme="majorHAnsi" w:hAnsiTheme="majorHAnsi"/>
          <w:lang w:val="sv-SE"/>
        </w:rPr>
      </w:pPr>
    </w:p>
    <w:p w14:paraId="66FBAC2D" w14:textId="7BFF6FA9" w:rsidR="000A10E6" w:rsidRPr="003E6B3B" w:rsidRDefault="000A10E6" w:rsidP="00AC1DAA">
      <w:pPr>
        <w:pStyle w:val="IEEEParagraph"/>
        <w:spacing w:line="23" w:lineRule="atLeast"/>
        <w:ind w:firstLine="357"/>
        <w:rPr>
          <w:rFonts w:asciiTheme="majorHAnsi" w:hAnsiTheme="majorHAnsi"/>
          <w:lang w:val="sv-SE"/>
        </w:rPr>
      </w:pPr>
    </w:p>
    <w:p w14:paraId="116B8F13" w14:textId="77777777" w:rsidR="00AF47A1" w:rsidRPr="003E6B3B" w:rsidRDefault="00AF47A1" w:rsidP="00AC1DAA">
      <w:pPr>
        <w:pStyle w:val="IEEEParagraph"/>
        <w:spacing w:line="23" w:lineRule="atLeast"/>
        <w:ind w:firstLine="357"/>
        <w:rPr>
          <w:rFonts w:asciiTheme="majorHAnsi" w:hAnsiTheme="majorHAnsi"/>
          <w:lang w:val="sv-SE"/>
        </w:rPr>
      </w:pPr>
    </w:p>
    <w:p w14:paraId="0FE50C33" w14:textId="77777777" w:rsidR="00E70EE3" w:rsidRPr="003E6B3B" w:rsidRDefault="00062122" w:rsidP="00E77E85">
      <w:pPr>
        <w:pStyle w:val="IEEEHeading1"/>
        <w:numPr>
          <w:ilvl w:val="0"/>
          <w:numId w:val="11"/>
        </w:numPr>
        <w:spacing w:before="0" w:after="0" w:line="23" w:lineRule="atLeast"/>
        <w:jc w:val="left"/>
        <w:rPr>
          <w:rFonts w:asciiTheme="majorHAnsi" w:hAnsiTheme="majorHAnsi"/>
          <w:b/>
          <w:iCs/>
          <w:sz w:val="24"/>
          <w:lang w:val="id-ID"/>
        </w:rPr>
      </w:pPr>
      <w:r w:rsidRPr="003E6B3B">
        <w:rPr>
          <w:rFonts w:asciiTheme="majorHAnsi" w:hAnsiTheme="majorHAnsi"/>
          <w:b/>
          <w:iCs/>
          <w:sz w:val="24"/>
          <w:lang w:val="en-US"/>
        </w:rPr>
        <w:lastRenderedPageBreak/>
        <w:t>RESULT AND DISCUSSION</w:t>
      </w:r>
    </w:p>
    <w:p w14:paraId="6111A95D" w14:textId="665C75EF" w:rsidR="002202B7" w:rsidRPr="003E6B3B" w:rsidRDefault="00904DCD" w:rsidP="00E77E85">
      <w:pPr>
        <w:pStyle w:val="IEEEFigure"/>
        <w:numPr>
          <w:ilvl w:val="3"/>
          <w:numId w:val="6"/>
        </w:numPr>
        <w:tabs>
          <w:tab w:val="num" w:pos="567"/>
        </w:tabs>
        <w:spacing w:line="23" w:lineRule="atLeast"/>
        <w:jc w:val="left"/>
        <w:rPr>
          <w:rFonts w:asciiTheme="majorHAnsi" w:hAnsiTheme="majorHAnsi"/>
          <w:b/>
          <w:shd w:val="clear" w:color="auto" w:fill="FFFFFF"/>
        </w:rPr>
      </w:pPr>
      <w:r w:rsidRPr="003E6B3B">
        <w:rPr>
          <w:rStyle w:val="mediumtext"/>
          <w:rFonts w:asciiTheme="majorHAnsi" w:hAnsiTheme="majorHAnsi"/>
          <w:b/>
          <w:shd w:val="clear" w:color="auto" w:fill="FFFFFF"/>
        </w:rPr>
        <w:t xml:space="preserve">Final Result of the Database Mining Using PRISMA Method </w:t>
      </w:r>
      <w:r w:rsidR="00AF47A1" w:rsidRPr="003E6B3B">
        <w:rPr>
          <w:rStyle w:val="mediumtext"/>
          <w:rFonts w:asciiTheme="majorHAnsi" w:hAnsiTheme="majorHAnsi"/>
          <w:b/>
          <w:shd w:val="clear" w:color="auto" w:fill="FFFFFF"/>
        </w:rPr>
        <w:t xml:space="preserve"> </w:t>
      </w:r>
    </w:p>
    <w:p w14:paraId="6C52669E" w14:textId="77777777" w:rsidR="00904DCD" w:rsidRPr="003E6B3B" w:rsidRDefault="00904DCD" w:rsidP="00904DCD">
      <w:pPr>
        <w:pStyle w:val="IEEEParagraph"/>
        <w:spacing w:line="23" w:lineRule="atLeast"/>
        <w:ind w:left="283"/>
        <w:rPr>
          <w:rStyle w:val="mediumtext"/>
          <w:rFonts w:asciiTheme="majorHAnsi" w:hAnsiTheme="majorHAnsi"/>
          <w:shd w:val="clear" w:color="auto" w:fill="FFFFFF"/>
        </w:rPr>
      </w:pPr>
      <w:r w:rsidRPr="003E6B3B">
        <w:rPr>
          <w:rStyle w:val="mediumtext"/>
          <w:rFonts w:asciiTheme="majorHAnsi" w:hAnsiTheme="majorHAnsi"/>
          <w:shd w:val="clear" w:color="auto" w:fill="FFFFFF"/>
        </w:rPr>
        <w:t xml:space="preserve">Describe After mining the article database and obtaining the results as shown in Table 5, the keywords with codes A to G have their totals. We store the total database of the articles in the file format </w:t>
      </w:r>
      <w:proofErr w:type="gramStart"/>
      <w:r w:rsidRPr="003E6B3B">
        <w:rPr>
          <w:rStyle w:val="mediumtext"/>
          <w:rFonts w:asciiTheme="majorHAnsi" w:hAnsiTheme="majorHAnsi"/>
          <w:shd w:val="clear" w:color="auto" w:fill="FFFFFF"/>
        </w:rPr>
        <w:t>“.bib</w:t>
      </w:r>
      <w:proofErr w:type="gramEnd"/>
      <w:r w:rsidRPr="003E6B3B">
        <w:rPr>
          <w:rStyle w:val="mediumtext"/>
          <w:rFonts w:asciiTheme="majorHAnsi" w:hAnsiTheme="majorHAnsi"/>
          <w:shd w:val="clear" w:color="auto" w:fill="FFFFFF"/>
        </w:rPr>
        <w:t xml:space="preserve">". Next, we start the PRISMA Method algorithm as described in Figure 1. Table 6 provides the results of article selection using the PRISMA method. The first stage is the identification stage. We used Mendeley and </w:t>
      </w:r>
      <w:proofErr w:type="spellStart"/>
      <w:r w:rsidRPr="003E6B3B">
        <w:rPr>
          <w:rStyle w:val="mediumtext"/>
          <w:rFonts w:asciiTheme="majorHAnsi" w:hAnsiTheme="majorHAnsi"/>
          <w:shd w:val="clear" w:color="auto" w:fill="FFFFFF"/>
        </w:rPr>
        <w:t>Jabref</w:t>
      </w:r>
      <w:proofErr w:type="spellEnd"/>
      <w:r w:rsidRPr="003E6B3B">
        <w:rPr>
          <w:rStyle w:val="mediumtext"/>
          <w:rFonts w:asciiTheme="majorHAnsi" w:hAnsiTheme="majorHAnsi"/>
          <w:shd w:val="clear" w:color="auto" w:fill="FFFFFF"/>
        </w:rPr>
        <w:t xml:space="preserve"> software to compare which software could identify the total database papers (which we marked in bold). Some wasted articles on some code keywords A to G because the </w:t>
      </w:r>
      <w:proofErr w:type="gramStart"/>
      <w:r w:rsidRPr="003E6B3B">
        <w:rPr>
          <w:rStyle w:val="mediumtext"/>
          <w:rFonts w:asciiTheme="majorHAnsi" w:hAnsiTheme="majorHAnsi"/>
          <w:shd w:val="clear" w:color="auto" w:fill="FFFFFF"/>
        </w:rPr>
        <w:t>“.bib</w:t>
      </w:r>
      <w:proofErr w:type="gramEnd"/>
      <w:r w:rsidRPr="003E6B3B">
        <w:rPr>
          <w:rStyle w:val="mediumtext"/>
          <w:rFonts w:asciiTheme="majorHAnsi" w:hAnsiTheme="majorHAnsi"/>
          <w:shd w:val="clear" w:color="auto" w:fill="FFFFFF"/>
        </w:rPr>
        <w:t xml:space="preserve">” file could not be identified. The next step is screening which is the second stage of the PRISMA Method. </w:t>
      </w:r>
    </w:p>
    <w:p w14:paraId="1A2BA31C" w14:textId="2BDA87C4" w:rsidR="00E70EE3" w:rsidRPr="003E6B3B" w:rsidRDefault="00904DCD" w:rsidP="00904DCD">
      <w:pPr>
        <w:pStyle w:val="IEEEParagraph"/>
        <w:spacing w:line="23" w:lineRule="atLeast"/>
        <w:ind w:left="283"/>
        <w:rPr>
          <w:rStyle w:val="mediumtext"/>
          <w:rFonts w:asciiTheme="majorHAnsi" w:hAnsiTheme="majorHAnsi"/>
          <w:shd w:val="clear" w:color="auto" w:fill="FFFFFF"/>
        </w:rPr>
      </w:pPr>
      <w:r w:rsidRPr="003E6B3B">
        <w:rPr>
          <w:rStyle w:val="mediumtext"/>
          <w:rFonts w:asciiTheme="majorHAnsi" w:hAnsiTheme="majorHAnsi"/>
          <w:shd w:val="clear" w:color="auto" w:fill="FFFFFF"/>
        </w:rPr>
        <w:t>In the second stage of the PRISMA Method, the duplicate screening process is the first thing done with the help of Mendeley software, thus providing a new total. Then go to title and abstract screening. In this section, we do a manual screening on the title and abstract of the article with several checking categorizations. First, the article discusses the integer optimization model in general and specifically for a particular problem. Second, the article uses the ARC methodology to solve the problem; otherwise, it is wasted. Furthermore, we stopped the second stage of the PRISMA Method until the duplicate screening stage on coded keywords A to D. We focused on keywords related to each other to see the research gap for further research, which will be discussed later</w:t>
      </w:r>
      <w:r w:rsidR="00062122" w:rsidRPr="003E6B3B">
        <w:rPr>
          <w:rStyle w:val="mediumtext"/>
          <w:rFonts w:asciiTheme="majorHAnsi" w:hAnsiTheme="majorHAnsi"/>
          <w:shd w:val="clear" w:color="auto" w:fill="FFFFFF"/>
        </w:rPr>
        <w:t>.</w:t>
      </w:r>
    </w:p>
    <w:p w14:paraId="79972522" w14:textId="36787104" w:rsidR="00904DCD" w:rsidRPr="003E6B3B" w:rsidRDefault="00904DCD" w:rsidP="00904DCD">
      <w:pPr>
        <w:pStyle w:val="IEEEParagraph"/>
        <w:spacing w:line="23" w:lineRule="atLeast"/>
        <w:ind w:left="283"/>
        <w:rPr>
          <w:rStyle w:val="mediumtext"/>
          <w:rFonts w:asciiTheme="majorHAnsi" w:hAnsiTheme="majorHAnsi"/>
          <w:shd w:val="clear" w:color="auto" w:fill="FFFFFF"/>
        </w:rPr>
      </w:pPr>
    </w:p>
    <w:p w14:paraId="6BE55C1B" w14:textId="773AC2FE" w:rsidR="00904DCD" w:rsidRPr="003E6B3B" w:rsidRDefault="00904DCD" w:rsidP="00904DCD">
      <w:pPr>
        <w:spacing w:line="360" w:lineRule="auto"/>
        <w:ind w:firstLine="284"/>
        <w:jc w:val="center"/>
        <w:rPr>
          <w:rFonts w:asciiTheme="majorHAnsi" w:hAnsiTheme="majorHAnsi"/>
          <w:sz w:val="22"/>
          <w:szCs w:val="22"/>
        </w:rPr>
      </w:pPr>
      <w:r w:rsidRPr="003E6B3B">
        <w:rPr>
          <w:rFonts w:asciiTheme="majorHAnsi" w:hAnsiTheme="majorHAnsi"/>
          <w:b/>
          <w:bCs/>
          <w:sz w:val="22"/>
          <w:szCs w:val="22"/>
        </w:rPr>
        <w:t>Table 6</w:t>
      </w:r>
      <w:r w:rsidRPr="003E6B3B">
        <w:rPr>
          <w:rFonts w:asciiTheme="majorHAnsi" w:hAnsiTheme="majorHAnsi"/>
          <w:sz w:val="22"/>
          <w:szCs w:val="22"/>
        </w:rPr>
        <w:t>. The Results of The Selection of Articles Using the PRISMA Method</w:t>
      </w:r>
    </w:p>
    <w:tbl>
      <w:tblPr>
        <w:tblW w:w="10309" w:type="dxa"/>
        <w:jc w:val="center"/>
        <w:tblLook w:val="04A0" w:firstRow="1" w:lastRow="0" w:firstColumn="1" w:lastColumn="0" w:noHBand="0" w:noVBand="1"/>
      </w:tblPr>
      <w:tblGrid>
        <w:gridCol w:w="723"/>
        <w:gridCol w:w="748"/>
        <w:gridCol w:w="1653"/>
        <w:gridCol w:w="1273"/>
        <w:gridCol w:w="1408"/>
        <w:gridCol w:w="1336"/>
        <w:gridCol w:w="830"/>
        <w:gridCol w:w="936"/>
        <w:gridCol w:w="1402"/>
      </w:tblGrid>
      <w:tr w:rsidR="00904DCD" w:rsidRPr="003E6B3B" w14:paraId="038F4006" w14:textId="77777777" w:rsidTr="00DC7269">
        <w:trPr>
          <w:jc w:val="center"/>
        </w:trPr>
        <w:tc>
          <w:tcPr>
            <w:tcW w:w="4394" w:type="dxa"/>
            <w:gridSpan w:val="4"/>
            <w:tcBorders>
              <w:top w:val="single" w:sz="4" w:space="0" w:color="auto"/>
              <w:bottom w:val="single" w:sz="4" w:space="0" w:color="auto"/>
              <w:right w:val="single" w:sz="4" w:space="0" w:color="auto"/>
            </w:tcBorders>
            <w:shd w:val="clear" w:color="auto" w:fill="auto"/>
            <w:vAlign w:val="center"/>
          </w:tcPr>
          <w:p w14:paraId="590B75E9"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Identification (1)</w:t>
            </w:r>
          </w:p>
        </w:tc>
        <w:tc>
          <w:tcPr>
            <w:tcW w:w="27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B76076"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Screening (2)</w:t>
            </w:r>
          </w:p>
        </w:tc>
        <w:tc>
          <w:tcPr>
            <w:tcW w:w="17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FC4929"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Eligibility (3)</w:t>
            </w:r>
          </w:p>
        </w:tc>
        <w:tc>
          <w:tcPr>
            <w:tcW w:w="1405" w:type="dxa"/>
            <w:tcBorders>
              <w:top w:val="single" w:sz="4" w:space="0" w:color="auto"/>
              <w:left w:val="single" w:sz="4" w:space="0" w:color="auto"/>
              <w:bottom w:val="single" w:sz="4" w:space="0" w:color="auto"/>
            </w:tcBorders>
            <w:shd w:val="clear" w:color="auto" w:fill="auto"/>
            <w:vAlign w:val="center"/>
          </w:tcPr>
          <w:p w14:paraId="298F8FE0"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Included (4)</w:t>
            </w:r>
          </w:p>
        </w:tc>
      </w:tr>
      <w:tr w:rsidR="00904DCD" w:rsidRPr="003E6B3B" w14:paraId="7B4AA753" w14:textId="77777777" w:rsidTr="00DC7269">
        <w:trPr>
          <w:jc w:val="center"/>
        </w:trPr>
        <w:tc>
          <w:tcPr>
            <w:tcW w:w="723" w:type="dxa"/>
            <w:tcBorders>
              <w:top w:val="single" w:sz="4" w:space="0" w:color="auto"/>
              <w:bottom w:val="single" w:sz="4" w:space="0" w:color="auto"/>
            </w:tcBorders>
            <w:shd w:val="clear" w:color="auto" w:fill="auto"/>
            <w:vAlign w:val="center"/>
          </w:tcPr>
          <w:p w14:paraId="2997C9C6"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Code</w:t>
            </w:r>
          </w:p>
        </w:tc>
        <w:tc>
          <w:tcPr>
            <w:tcW w:w="723" w:type="dxa"/>
            <w:tcBorders>
              <w:top w:val="single" w:sz="4" w:space="0" w:color="auto"/>
              <w:bottom w:val="single" w:sz="4" w:space="0" w:color="auto"/>
            </w:tcBorders>
            <w:shd w:val="clear" w:color="auto" w:fill="auto"/>
            <w:vAlign w:val="center"/>
          </w:tcPr>
          <w:p w14:paraId="3F246F1F"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Total</w:t>
            </w:r>
          </w:p>
        </w:tc>
        <w:tc>
          <w:tcPr>
            <w:tcW w:w="1672" w:type="dxa"/>
            <w:tcBorders>
              <w:top w:val="single" w:sz="4" w:space="0" w:color="auto"/>
              <w:bottom w:val="single" w:sz="4" w:space="0" w:color="auto"/>
            </w:tcBorders>
            <w:shd w:val="clear" w:color="auto" w:fill="auto"/>
            <w:vAlign w:val="center"/>
          </w:tcPr>
          <w:p w14:paraId="73C7C8F5"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Identified by Mendeley</w:t>
            </w:r>
          </w:p>
        </w:tc>
        <w:tc>
          <w:tcPr>
            <w:tcW w:w="1276" w:type="dxa"/>
            <w:tcBorders>
              <w:top w:val="single" w:sz="4" w:space="0" w:color="auto"/>
              <w:bottom w:val="single" w:sz="4" w:space="0" w:color="auto"/>
              <w:right w:val="single" w:sz="4" w:space="0" w:color="auto"/>
            </w:tcBorders>
            <w:shd w:val="clear" w:color="auto" w:fill="auto"/>
            <w:vAlign w:val="center"/>
          </w:tcPr>
          <w:p w14:paraId="527550E5"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 xml:space="preserve">Identified by </w:t>
            </w:r>
            <w:proofErr w:type="spellStart"/>
            <w:r w:rsidRPr="003E6B3B">
              <w:rPr>
                <w:rFonts w:asciiTheme="majorHAnsi" w:hAnsiTheme="majorHAnsi"/>
                <w:b/>
                <w:bCs/>
                <w:sz w:val="22"/>
                <w:szCs w:val="22"/>
              </w:rPr>
              <w:t>Jabref</w:t>
            </w:r>
            <w:proofErr w:type="spellEnd"/>
          </w:p>
        </w:tc>
        <w:tc>
          <w:tcPr>
            <w:tcW w:w="1417" w:type="dxa"/>
            <w:tcBorders>
              <w:top w:val="single" w:sz="4" w:space="0" w:color="auto"/>
              <w:left w:val="single" w:sz="4" w:space="0" w:color="auto"/>
              <w:bottom w:val="single" w:sz="4" w:space="0" w:color="auto"/>
            </w:tcBorders>
            <w:shd w:val="clear" w:color="auto" w:fill="auto"/>
            <w:vAlign w:val="center"/>
          </w:tcPr>
          <w:p w14:paraId="79AD3EA0"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Duplicate Check</w:t>
            </w:r>
          </w:p>
        </w:tc>
        <w:tc>
          <w:tcPr>
            <w:tcW w:w="1341" w:type="dxa"/>
            <w:tcBorders>
              <w:top w:val="single" w:sz="4" w:space="0" w:color="auto"/>
              <w:bottom w:val="single" w:sz="4" w:space="0" w:color="auto"/>
              <w:right w:val="single" w:sz="4" w:space="0" w:color="auto"/>
            </w:tcBorders>
            <w:shd w:val="clear" w:color="auto" w:fill="auto"/>
            <w:vAlign w:val="center"/>
          </w:tcPr>
          <w:p w14:paraId="06486D60"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Title and Abstract Screening</w:t>
            </w:r>
          </w:p>
        </w:tc>
        <w:tc>
          <w:tcPr>
            <w:tcW w:w="816" w:type="dxa"/>
            <w:tcBorders>
              <w:top w:val="single" w:sz="4" w:space="0" w:color="auto"/>
              <w:left w:val="single" w:sz="4" w:space="0" w:color="auto"/>
              <w:bottom w:val="single" w:sz="4" w:space="0" w:color="auto"/>
            </w:tcBorders>
            <w:shd w:val="clear" w:color="auto" w:fill="auto"/>
            <w:vAlign w:val="center"/>
          </w:tcPr>
          <w:p w14:paraId="2398A90F"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3 Stars*</w:t>
            </w:r>
          </w:p>
        </w:tc>
        <w:tc>
          <w:tcPr>
            <w:tcW w:w="936" w:type="dxa"/>
            <w:tcBorders>
              <w:top w:val="single" w:sz="4" w:space="0" w:color="auto"/>
              <w:right w:val="single" w:sz="4" w:space="0" w:color="auto"/>
            </w:tcBorders>
            <w:shd w:val="clear" w:color="auto" w:fill="auto"/>
            <w:vAlign w:val="center"/>
          </w:tcPr>
          <w:p w14:paraId="329A6C3B"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4 Stars**</w:t>
            </w:r>
          </w:p>
        </w:tc>
        <w:tc>
          <w:tcPr>
            <w:tcW w:w="1405" w:type="dxa"/>
            <w:tcBorders>
              <w:top w:val="single" w:sz="4" w:space="0" w:color="auto"/>
              <w:left w:val="single" w:sz="4" w:space="0" w:color="auto"/>
              <w:bottom w:val="single" w:sz="4" w:space="0" w:color="auto"/>
            </w:tcBorders>
            <w:shd w:val="clear" w:color="auto" w:fill="auto"/>
            <w:vAlign w:val="center"/>
          </w:tcPr>
          <w:p w14:paraId="6936EDB8"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Full Text Screening/ 5 stars***</w:t>
            </w:r>
          </w:p>
        </w:tc>
      </w:tr>
      <w:tr w:rsidR="00904DCD" w:rsidRPr="003E6B3B" w14:paraId="487CEB18" w14:textId="77777777" w:rsidTr="00DC7269">
        <w:trPr>
          <w:jc w:val="center"/>
        </w:trPr>
        <w:tc>
          <w:tcPr>
            <w:tcW w:w="723" w:type="dxa"/>
            <w:tcBorders>
              <w:top w:val="single" w:sz="4" w:space="0" w:color="auto"/>
            </w:tcBorders>
            <w:shd w:val="clear" w:color="auto" w:fill="auto"/>
            <w:vAlign w:val="center"/>
          </w:tcPr>
          <w:p w14:paraId="7A02022D"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A</w:t>
            </w:r>
          </w:p>
        </w:tc>
        <w:tc>
          <w:tcPr>
            <w:tcW w:w="723" w:type="dxa"/>
            <w:tcBorders>
              <w:top w:val="single" w:sz="4" w:space="0" w:color="auto"/>
            </w:tcBorders>
            <w:shd w:val="clear" w:color="auto" w:fill="auto"/>
            <w:vAlign w:val="center"/>
          </w:tcPr>
          <w:p w14:paraId="3A1A6F42"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680</w:t>
            </w:r>
          </w:p>
        </w:tc>
        <w:tc>
          <w:tcPr>
            <w:tcW w:w="1672" w:type="dxa"/>
            <w:tcBorders>
              <w:top w:val="single" w:sz="4" w:space="0" w:color="auto"/>
            </w:tcBorders>
            <w:shd w:val="clear" w:color="auto" w:fill="FFFFFF"/>
            <w:vAlign w:val="center"/>
          </w:tcPr>
          <w:p w14:paraId="232B1B02"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525</w:t>
            </w:r>
          </w:p>
        </w:tc>
        <w:tc>
          <w:tcPr>
            <w:tcW w:w="1276" w:type="dxa"/>
            <w:tcBorders>
              <w:top w:val="single" w:sz="4" w:space="0" w:color="auto"/>
              <w:right w:val="single" w:sz="4" w:space="0" w:color="auto"/>
            </w:tcBorders>
            <w:shd w:val="clear" w:color="auto" w:fill="FFFFFF"/>
            <w:vAlign w:val="center"/>
          </w:tcPr>
          <w:p w14:paraId="47B7E202"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509</w:t>
            </w:r>
          </w:p>
        </w:tc>
        <w:tc>
          <w:tcPr>
            <w:tcW w:w="1417" w:type="dxa"/>
            <w:tcBorders>
              <w:top w:val="single" w:sz="4" w:space="0" w:color="auto"/>
              <w:left w:val="single" w:sz="4" w:space="0" w:color="auto"/>
            </w:tcBorders>
            <w:shd w:val="clear" w:color="auto" w:fill="auto"/>
            <w:vAlign w:val="center"/>
          </w:tcPr>
          <w:p w14:paraId="74664F19"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521</w:t>
            </w:r>
          </w:p>
        </w:tc>
        <w:tc>
          <w:tcPr>
            <w:tcW w:w="1341" w:type="dxa"/>
            <w:tcBorders>
              <w:top w:val="single" w:sz="4" w:space="0" w:color="auto"/>
              <w:right w:val="single" w:sz="4" w:space="0" w:color="auto"/>
            </w:tcBorders>
            <w:shd w:val="clear" w:color="auto" w:fill="auto"/>
            <w:vAlign w:val="center"/>
          </w:tcPr>
          <w:p w14:paraId="13F57343"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w:t>
            </w:r>
          </w:p>
        </w:tc>
        <w:tc>
          <w:tcPr>
            <w:tcW w:w="816" w:type="dxa"/>
            <w:tcBorders>
              <w:top w:val="single" w:sz="4" w:space="0" w:color="auto"/>
              <w:left w:val="single" w:sz="4" w:space="0" w:color="auto"/>
            </w:tcBorders>
            <w:shd w:val="clear" w:color="auto" w:fill="auto"/>
            <w:vAlign w:val="center"/>
          </w:tcPr>
          <w:p w14:paraId="4A538A83"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w:t>
            </w:r>
          </w:p>
        </w:tc>
        <w:tc>
          <w:tcPr>
            <w:tcW w:w="936" w:type="dxa"/>
            <w:tcBorders>
              <w:top w:val="single" w:sz="4" w:space="0" w:color="auto"/>
              <w:right w:val="single" w:sz="4" w:space="0" w:color="auto"/>
            </w:tcBorders>
            <w:shd w:val="clear" w:color="auto" w:fill="auto"/>
            <w:vAlign w:val="center"/>
          </w:tcPr>
          <w:p w14:paraId="01F58DC6"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w:t>
            </w:r>
          </w:p>
        </w:tc>
        <w:tc>
          <w:tcPr>
            <w:tcW w:w="1405" w:type="dxa"/>
            <w:tcBorders>
              <w:top w:val="single" w:sz="4" w:space="0" w:color="auto"/>
              <w:left w:val="single" w:sz="4" w:space="0" w:color="auto"/>
            </w:tcBorders>
            <w:shd w:val="clear" w:color="auto" w:fill="auto"/>
            <w:vAlign w:val="center"/>
          </w:tcPr>
          <w:p w14:paraId="444C91A9"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w:t>
            </w:r>
          </w:p>
        </w:tc>
      </w:tr>
      <w:tr w:rsidR="00904DCD" w:rsidRPr="003E6B3B" w14:paraId="5266DEB3" w14:textId="77777777" w:rsidTr="00DC7269">
        <w:trPr>
          <w:jc w:val="center"/>
        </w:trPr>
        <w:tc>
          <w:tcPr>
            <w:tcW w:w="723" w:type="dxa"/>
            <w:shd w:val="clear" w:color="auto" w:fill="auto"/>
            <w:vAlign w:val="center"/>
          </w:tcPr>
          <w:p w14:paraId="7B53DB5F"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B</w:t>
            </w:r>
          </w:p>
        </w:tc>
        <w:tc>
          <w:tcPr>
            <w:tcW w:w="723" w:type="dxa"/>
            <w:shd w:val="clear" w:color="auto" w:fill="auto"/>
            <w:vAlign w:val="center"/>
          </w:tcPr>
          <w:p w14:paraId="5B13BBAE"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104</w:t>
            </w:r>
          </w:p>
        </w:tc>
        <w:tc>
          <w:tcPr>
            <w:tcW w:w="1672" w:type="dxa"/>
            <w:shd w:val="clear" w:color="auto" w:fill="FFFFFF"/>
            <w:vAlign w:val="center"/>
          </w:tcPr>
          <w:p w14:paraId="1F13D8E8"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81</w:t>
            </w:r>
          </w:p>
        </w:tc>
        <w:tc>
          <w:tcPr>
            <w:tcW w:w="1276" w:type="dxa"/>
            <w:tcBorders>
              <w:right w:val="single" w:sz="4" w:space="0" w:color="auto"/>
            </w:tcBorders>
            <w:shd w:val="clear" w:color="auto" w:fill="FFFFFF"/>
            <w:vAlign w:val="center"/>
          </w:tcPr>
          <w:p w14:paraId="5774F5D3"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95</w:t>
            </w:r>
          </w:p>
        </w:tc>
        <w:tc>
          <w:tcPr>
            <w:tcW w:w="1417" w:type="dxa"/>
            <w:tcBorders>
              <w:left w:val="single" w:sz="4" w:space="0" w:color="auto"/>
            </w:tcBorders>
            <w:shd w:val="clear" w:color="auto" w:fill="auto"/>
            <w:vAlign w:val="center"/>
          </w:tcPr>
          <w:p w14:paraId="3D078CAC"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83</w:t>
            </w:r>
          </w:p>
        </w:tc>
        <w:tc>
          <w:tcPr>
            <w:tcW w:w="1341" w:type="dxa"/>
            <w:tcBorders>
              <w:right w:val="single" w:sz="4" w:space="0" w:color="auto"/>
            </w:tcBorders>
            <w:shd w:val="clear" w:color="auto" w:fill="auto"/>
            <w:vAlign w:val="center"/>
          </w:tcPr>
          <w:p w14:paraId="65AC8756"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w:t>
            </w:r>
          </w:p>
        </w:tc>
        <w:tc>
          <w:tcPr>
            <w:tcW w:w="816" w:type="dxa"/>
            <w:tcBorders>
              <w:left w:val="single" w:sz="4" w:space="0" w:color="auto"/>
            </w:tcBorders>
            <w:shd w:val="clear" w:color="auto" w:fill="auto"/>
            <w:vAlign w:val="center"/>
          </w:tcPr>
          <w:p w14:paraId="26D0DAD1"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w:t>
            </w:r>
          </w:p>
        </w:tc>
        <w:tc>
          <w:tcPr>
            <w:tcW w:w="936" w:type="dxa"/>
            <w:tcBorders>
              <w:right w:val="single" w:sz="4" w:space="0" w:color="auto"/>
            </w:tcBorders>
            <w:shd w:val="clear" w:color="auto" w:fill="auto"/>
            <w:vAlign w:val="center"/>
          </w:tcPr>
          <w:p w14:paraId="35673EF8"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w:t>
            </w:r>
          </w:p>
        </w:tc>
        <w:tc>
          <w:tcPr>
            <w:tcW w:w="1405" w:type="dxa"/>
            <w:tcBorders>
              <w:left w:val="single" w:sz="4" w:space="0" w:color="auto"/>
            </w:tcBorders>
            <w:shd w:val="clear" w:color="auto" w:fill="auto"/>
            <w:vAlign w:val="center"/>
          </w:tcPr>
          <w:p w14:paraId="54E78F07"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w:t>
            </w:r>
          </w:p>
        </w:tc>
      </w:tr>
      <w:tr w:rsidR="00904DCD" w:rsidRPr="003E6B3B" w14:paraId="47AB192C" w14:textId="77777777" w:rsidTr="00DC7269">
        <w:trPr>
          <w:jc w:val="center"/>
        </w:trPr>
        <w:tc>
          <w:tcPr>
            <w:tcW w:w="723" w:type="dxa"/>
            <w:shd w:val="clear" w:color="auto" w:fill="auto"/>
            <w:vAlign w:val="center"/>
          </w:tcPr>
          <w:p w14:paraId="4F7A6D17"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C</w:t>
            </w:r>
          </w:p>
        </w:tc>
        <w:tc>
          <w:tcPr>
            <w:tcW w:w="723" w:type="dxa"/>
            <w:shd w:val="clear" w:color="auto" w:fill="auto"/>
            <w:vAlign w:val="center"/>
          </w:tcPr>
          <w:p w14:paraId="26B7F30F"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73</w:t>
            </w:r>
          </w:p>
        </w:tc>
        <w:tc>
          <w:tcPr>
            <w:tcW w:w="1672" w:type="dxa"/>
            <w:shd w:val="clear" w:color="auto" w:fill="FFFFFF"/>
            <w:vAlign w:val="center"/>
          </w:tcPr>
          <w:p w14:paraId="79F448E8"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69</w:t>
            </w:r>
          </w:p>
        </w:tc>
        <w:tc>
          <w:tcPr>
            <w:tcW w:w="1276" w:type="dxa"/>
            <w:tcBorders>
              <w:right w:val="single" w:sz="4" w:space="0" w:color="auto"/>
            </w:tcBorders>
            <w:shd w:val="clear" w:color="auto" w:fill="FFFFFF"/>
            <w:vAlign w:val="center"/>
          </w:tcPr>
          <w:p w14:paraId="2B9DF0E8"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70</w:t>
            </w:r>
          </w:p>
        </w:tc>
        <w:tc>
          <w:tcPr>
            <w:tcW w:w="1417" w:type="dxa"/>
            <w:tcBorders>
              <w:left w:val="single" w:sz="4" w:space="0" w:color="auto"/>
            </w:tcBorders>
            <w:shd w:val="clear" w:color="auto" w:fill="auto"/>
            <w:vAlign w:val="center"/>
          </w:tcPr>
          <w:p w14:paraId="652FBB3D"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64</w:t>
            </w:r>
          </w:p>
        </w:tc>
        <w:tc>
          <w:tcPr>
            <w:tcW w:w="1341" w:type="dxa"/>
            <w:tcBorders>
              <w:right w:val="single" w:sz="4" w:space="0" w:color="auto"/>
            </w:tcBorders>
            <w:shd w:val="clear" w:color="auto" w:fill="auto"/>
            <w:vAlign w:val="center"/>
          </w:tcPr>
          <w:p w14:paraId="732EED85"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w:t>
            </w:r>
          </w:p>
        </w:tc>
        <w:tc>
          <w:tcPr>
            <w:tcW w:w="816" w:type="dxa"/>
            <w:tcBorders>
              <w:left w:val="single" w:sz="4" w:space="0" w:color="auto"/>
            </w:tcBorders>
            <w:shd w:val="clear" w:color="auto" w:fill="auto"/>
            <w:vAlign w:val="center"/>
          </w:tcPr>
          <w:p w14:paraId="6A5B09C4"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w:t>
            </w:r>
          </w:p>
        </w:tc>
        <w:tc>
          <w:tcPr>
            <w:tcW w:w="936" w:type="dxa"/>
            <w:tcBorders>
              <w:right w:val="single" w:sz="4" w:space="0" w:color="auto"/>
            </w:tcBorders>
            <w:shd w:val="clear" w:color="auto" w:fill="auto"/>
            <w:vAlign w:val="center"/>
          </w:tcPr>
          <w:p w14:paraId="4192872F"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w:t>
            </w:r>
          </w:p>
        </w:tc>
        <w:tc>
          <w:tcPr>
            <w:tcW w:w="1405" w:type="dxa"/>
            <w:tcBorders>
              <w:left w:val="single" w:sz="4" w:space="0" w:color="auto"/>
            </w:tcBorders>
            <w:shd w:val="clear" w:color="auto" w:fill="auto"/>
            <w:vAlign w:val="center"/>
          </w:tcPr>
          <w:p w14:paraId="2D58EDE4"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w:t>
            </w:r>
          </w:p>
        </w:tc>
      </w:tr>
      <w:tr w:rsidR="00904DCD" w:rsidRPr="003E6B3B" w14:paraId="58AF7A08" w14:textId="77777777" w:rsidTr="00DC7269">
        <w:trPr>
          <w:jc w:val="center"/>
        </w:trPr>
        <w:tc>
          <w:tcPr>
            <w:tcW w:w="723" w:type="dxa"/>
            <w:shd w:val="clear" w:color="auto" w:fill="auto"/>
            <w:vAlign w:val="center"/>
          </w:tcPr>
          <w:p w14:paraId="09F1828E"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D</w:t>
            </w:r>
          </w:p>
        </w:tc>
        <w:tc>
          <w:tcPr>
            <w:tcW w:w="723" w:type="dxa"/>
            <w:shd w:val="clear" w:color="auto" w:fill="auto"/>
            <w:vAlign w:val="center"/>
          </w:tcPr>
          <w:p w14:paraId="112A45B3"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84</w:t>
            </w:r>
          </w:p>
        </w:tc>
        <w:tc>
          <w:tcPr>
            <w:tcW w:w="1672" w:type="dxa"/>
            <w:shd w:val="clear" w:color="auto" w:fill="FFFFFF"/>
            <w:vAlign w:val="center"/>
          </w:tcPr>
          <w:p w14:paraId="1DC09BC7"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83</w:t>
            </w:r>
          </w:p>
        </w:tc>
        <w:tc>
          <w:tcPr>
            <w:tcW w:w="1276" w:type="dxa"/>
            <w:tcBorders>
              <w:right w:val="single" w:sz="4" w:space="0" w:color="auto"/>
            </w:tcBorders>
            <w:shd w:val="clear" w:color="auto" w:fill="FFFFFF"/>
            <w:vAlign w:val="center"/>
          </w:tcPr>
          <w:p w14:paraId="0124DA2B"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78</w:t>
            </w:r>
          </w:p>
        </w:tc>
        <w:tc>
          <w:tcPr>
            <w:tcW w:w="1417" w:type="dxa"/>
            <w:tcBorders>
              <w:left w:val="single" w:sz="4" w:space="0" w:color="auto"/>
            </w:tcBorders>
            <w:shd w:val="clear" w:color="auto" w:fill="auto"/>
            <w:vAlign w:val="center"/>
          </w:tcPr>
          <w:p w14:paraId="7DD251EC"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83</w:t>
            </w:r>
          </w:p>
        </w:tc>
        <w:tc>
          <w:tcPr>
            <w:tcW w:w="1341" w:type="dxa"/>
            <w:tcBorders>
              <w:right w:val="single" w:sz="4" w:space="0" w:color="auto"/>
            </w:tcBorders>
            <w:shd w:val="clear" w:color="auto" w:fill="auto"/>
            <w:vAlign w:val="center"/>
          </w:tcPr>
          <w:p w14:paraId="089DD4AF"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83</w:t>
            </w:r>
          </w:p>
        </w:tc>
        <w:tc>
          <w:tcPr>
            <w:tcW w:w="816" w:type="dxa"/>
            <w:vMerge w:val="restart"/>
            <w:tcBorders>
              <w:left w:val="single" w:sz="4" w:space="0" w:color="auto"/>
            </w:tcBorders>
            <w:shd w:val="clear" w:color="auto" w:fill="auto"/>
            <w:vAlign w:val="center"/>
          </w:tcPr>
          <w:p w14:paraId="29F4E5AA"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144</w:t>
            </w:r>
          </w:p>
        </w:tc>
        <w:tc>
          <w:tcPr>
            <w:tcW w:w="936" w:type="dxa"/>
            <w:vMerge w:val="restart"/>
            <w:tcBorders>
              <w:bottom w:val="single" w:sz="4" w:space="0" w:color="auto"/>
              <w:right w:val="single" w:sz="4" w:space="0" w:color="auto"/>
            </w:tcBorders>
            <w:shd w:val="clear" w:color="auto" w:fill="auto"/>
            <w:vAlign w:val="center"/>
          </w:tcPr>
          <w:p w14:paraId="331B650E"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16</w:t>
            </w:r>
          </w:p>
        </w:tc>
        <w:tc>
          <w:tcPr>
            <w:tcW w:w="1405" w:type="dxa"/>
            <w:tcBorders>
              <w:left w:val="single" w:sz="4" w:space="0" w:color="auto"/>
            </w:tcBorders>
            <w:shd w:val="clear" w:color="auto" w:fill="auto"/>
            <w:vAlign w:val="center"/>
          </w:tcPr>
          <w:p w14:paraId="3D0089B3"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0</w:t>
            </w:r>
          </w:p>
        </w:tc>
      </w:tr>
      <w:tr w:rsidR="00904DCD" w:rsidRPr="003E6B3B" w14:paraId="4AFC75EF" w14:textId="77777777" w:rsidTr="00DC7269">
        <w:trPr>
          <w:jc w:val="center"/>
        </w:trPr>
        <w:tc>
          <w:tcPr>
            <w:tcW w:w="723" w:type="dxa"/>
            <w:shd w:val="clear" w:color="auto" w:fill="auto"/>
            <w:vAlign w:val="center"/>
          </w:tcPr>
          <w:p w14:paraId="5EE97539"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E</w:t>
            </w:r>
          </w:p>
        </w:tc>
        <w:tc>
          <w:tcPr>
            <w:tcW w:w="723" w:type="dxa"/>
            <w:shd w:val="clear" w:color="auto" w:fill="auto"/>
            <w:vAlign w:val="center"/>
          </w:tcPr>
          <w:p w14:paraId="3D42F043"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78</w:t>
            </w:r>
          </w:p>
        </w:tc>
        <w:tc>
          <w:tcPr>
            <w:tcW w:w="1672" w:type="dxa"/>
            <w:shd w:val="clear" w:color="auto" w:fill="FFFFFF"/>
            <w:vAlign w:val="center"/>
          </w:tcPr>
          <w:p w14:paraId="4C080B0A"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76</w:t>
            </w:r>
          </w:p>
        </w:tc>
        <w:tc>
          <w:tcPr>
            <w:tcW w:w="1276" w:type="dxa"/>
            <w:tcBorders>
              <w:right w:val="single" w:sz="4" w:space="0" w:color="auto"/>
            </w:tcBorders>
            <w:shd w:val="clear" w:color="auto" w:fill="FFFFFF"/>
            <w:vAlign w:val="center"/>
          </w:tcPr>
          <w:p w14:paraId="6B9C4A28"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72</w:t>
            </w:r>
          </w:p>
        </w:tc>
        <w:tc>
          <w:tcPr>
            <w:tcW w:w="1417" w:type="dxa"/>
            <w:tcBorders>
              <w:left w:val="single" w:sz="4" w:space="0" w:color="auto"/>
            </w:tcBorders>
            <w:shd w:val="clear" w:color="auto" w:fill="auto"/>
            <w:vAlign w:val="center"/>
          </w:tcPr>
          <w:p w14:paraId="65D5E454"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76</w:t>
            </w:r>
          </w:p>
        </w:tc>
        <w:tc>
          <w:tcPr>
            <w:tcW w:w="1341" w:type="dxa"/>
            <w:tcBorders>
              <w:right w:val="single" w:sz="4" w:space="0" w:color="auto"/>
            </w:tcBorders>
            <w:shd w:val="clear" w:color="auto" w:fill="auto"/>
            <w:vAlign w:val="center"/>
          </w:tcPr>
          <w:p w14:paraId="59A557D6"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76</w:t>
            </w:r>
          </w:p>
        </w:tc>
        <w:tc>
          <w:tcPr>
            <w:tcW w:w="816" w:type="dxa"/>
            <w:vMerge/>
            <w:tcBorders>
              <w:left w:val="single" w:sz="4" w:space="0" w:color="auto"/>
            </w:tcBorders>
            <w:shd w:val="clear" w:color="auto" w:fill="auto"/>
            <w:vAlign w:val="center"/>
          </w:tcPr>
          <w:p w14:paraId="3727871B" w14:textId="77777777" w:rsidR="00904DCD" w:rsidRPr="003E6B3B" w:rsidRDefault="00904DCD" w:rsidP="00DC7269">
            <w:pPr>
              <w:jc w:val="center"/>
              <w:rPr>
                <w:rFonts w:asciiTheme="majorHAnsi" w:hAnsiTheme="majorHAnsi"/>
                <w:sz w:val="22"/>
                <w:szCs w:val="22"/>
              </w:rPr>
            </w:pPr>
          </w:p>
        </w:tc>
        <w:tc>
          <w:tcPr>
            <w:tcW w:w="936" w:type="dxa"/>
            <w:vMerge/>
            <w:tcBorders>
              <w:bottom w:val="single" w:sz="4" w:space="0" w:color="auto"/>
              <w:right w:val="single" w:sz="4" w:space="0" w:color="auto"/>
            </w:tcBorders>
            <w:shd w:val="clear" w:color="auto" w:fill="auto"/>
            <w:vAlign w:val="center"/>
          </w:tcPr>
          <w:p w14:paraId="0276F2E6" w14:textId="77777777" w:rsidR="00904DCD" w:rsidRPr="003E6B3B" w:rsidRDefault="00904DCD" w:rsidP="00DC7269">
            <w:pPr>
              <w:jc w:val="center"/>
              <w:rPr>
                <w:rFonts w:asciiTheme="majorHAnsi" w:hAnsiTheme="majorHAnsi"/>
                <w:sz w:val="22"/>
                <w:szCs w:val="22"/>
              </w:rPr>
            </w:pPr>
          </w:p>
        </w:tc>
        <w:tc>
          <w:tcPr>
            <w:tcW w:w="1405" w:type="dxa"/>
            <w:tcBorders>
              <w:left w:val="single" w:sz="4" w:space="0" w:color="auto"/>
            </w:tcBorders>
            <w:shd w:val="clear" w:color="auto" w:fill="auto"/>
            <w:vAlign w:val="center"/>
          </w:tcPr>
          <w:p w14:paraId="28511E19"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3</w:t>
            </w:r>
          </w:p>
        </w:tc>
      </w:tr>
      <w:tr w:rsidR="00904DCD" w:rsidRPr="003E6B3B" w14:paraId="0C1E60BD" w14:textId="77777777" w:rsidTr="00DC7269">
        <w:trPr>
          <w:jc w:val="center"/>
        </w:trPr>
        <w:tc>
          <w:tcPr>
            <w:tcW w:w="723" w:type="dxa"/>
            <w:shd w:val="clear" w:color="auto" w:fill="auto"/>
            <w:vAlign w:val="center"/>
          </w:tcPr>
          <w:p w14:paraId="52451BED"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F</w:t>
            </w:r>
          </w:p>
        </w:tc>
        <w:tc>
          <w:tcPr>
            <w:tcW w:w="723" w:type="dxa"/>
            <w:shd w:val="clear" w:color="auto" w:fill="auto"/>
            <w:vAlign w:val="center"/>
          </w:tcPr>
          <w:p w14:paraId="404D4597"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5</w:t>
            </w:r>
          </w:p>
        </w:tc>
        <w:tc>
          <w:tcPr>
            <w:tcW w:w="1672" w:type="dxa"/>
            <w:shd w:val="clear" w:color="auto" w:fill="FFFFFF"/>
            <w:vAlign w:val="center"/>
          </w:tcPr>
          <w:p w14:paraId="6F737A4F"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5</w:t>
            </w:r>
          </w:p>
        </w:tc>
        <w:tc>
          <w:tcPr>
            <w:tcW w:w="1276" w:type="dxa"/>
            <w:tcBorders>
              <w:right w:val="single" w:sz="4" w:space="0" w:color="auto"/>
            </w:tcBorders>
            <w:shd w:val="clear" w:color="auto" w:fill="FFFFFF"/>
            <w:vAlign w:val="center"/>
          </w:tcPr>
          <w:p w14:paraId="3C281B57"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5</w:t>
            </w:r>
          </w:p>
        </w:tc>
        <w:tc>
          <w:tcPr>
            <w:tcW w:w="1417" w:type="dxa"/>
            <w:tcBorders>
              <w:left w:val="single" w:sz="4" w:space="0" w:color="auto"/>
            </w:tcBorders>
            <w:shd w:val="clear" w:color="auto" w:fill="auto"/>
            <w:vAlign w:val="center"/>
          </w:tcPr>
          <w:p w14:paraId="69ADAF25"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5</w:t>
            </w:r>
          </w:p>
        </w:tc>
        <w:tc>
          <w:tcPr>
            <w:tcW w:w="1341" w:type="dxa"/>
            <w:tcBorders>
              <w:right w:val="single" w:sz="4" w:space="0" w:color="auto"/>
            </w:tcBorders>
            <w:shd w:val="clear" w:color="auto" w:fill="auto"/>
            <w:vAlign w:val="center"/>
          </w:tcPr>
          <w:p w14:paraId="472516C7"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5</w:t>
            </w:r>
          </w:p>
        </w:tc>
        <w:tc>
          <w:tcPr>
            <w:tcW w:w="816" w:type="dxa"/>
            <w:vMerge/>
            <w:tcBorders>
              <w:left w:val="single" w:sz="4" w:space="0" w:color="auto"/>
            </w:tcBorders>
            <w:shd w:val="clear" w:color="auto" w:fill="auto"/>
            <w:vAlign w:val="center"/>
          </w:tcPr>
          <w:p w14:paraId="74E79F31" w14:textId="77777777" w:rsidR="00904DCD" w:rsidRPr="003E6B3B" w:rsidRDefault="00904DCD" w:rsidP="00DC7269">
            <w:pPr>
              <w:jc w:val="center"/>
              <w:rPr>
                <w:rFonts w:asciiTheme="majorHAnsi" w:hAnsiTheme="majorHAnsi"/>
                <w:sz w:val="22"/>
                <w:szCs w:val="22"/>
              </w:rPr>
            </w:pPr>
          </w:p>
        </w:tc>
        <w:tc>
          <w:tcPr>
            <w:tcW w:w="936" w:type="dxa"/>
            <w:vMerge/>
            <w:tcBorders>
              <w:bottom w:val="single" w:sz="4" w:space="0" w:color="auto"/>
              <w:right w:val="single" w:sz="4" w:space="0" w:color="auto"/>
            </w:tcBorders>
            <w:shd w:val="clear" w:color="auto" w:fill="auto"/>
            <w:vAlign w:val="center"/>
          </w:tcPr>
          <w:p w14:paraId="74D2FEE7" w14:textId="77777777" w:rsidR="00904DCD" w:rsidRPr="003E6B3B" w:rsidRDefault="00904DCD" w:rsidP="00DC7269">
            <w:pPr>
              <w:jc w:val="center"/>
              <w:rPr>
                <w:rFonts w:asciiTheme="majorHAnsi" w:hAnsiTheme="majorHAnsi"/>
                <w:sz w:val="22"/>
                <w:szCs w:val="22"/>
              </w:rPr>
            </w:pPr>
          </w:p>
        </w:tc>
        <w:tc>
          <w:tcPr>
            <w:tcW w:w="1405" w:type="dxa"/>
            <w:tcBorders>
              <w:left w:val="single" w:sz="4" w:space="0" w:color="auto"/>
            </w:tcBorders>
            <w:shd w:val="clear" w:color="auto" w:fill="auto"/>
            <w:vAlign w:val="center"/>
          </w:tcPr>
          <w:p w14:paraId="5D89D788"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3</w:t>
            </w:r>
          </w:p>
        </w:tc>
      </w:tr>
      <w:tr w:rsidR="00904DCD" w:rsidRPr="003E6B3B" w14:paraId="4F720468" w14:textId="77777777" w:rsidTr="00DC7269">
        <w:trPr>
          <w:jc w:val="center"/>
        </w:trPr>
        <w:tc>
          <w:tcPr>
            <w:tcW w:w="723" w:type="dxa"/>
            <w:tcBorders>
              <w:bottom w:val="single" w:sz="4" w:space="0" w:color="auto"/>
            </w:tcBorders>
            <w:shd w:val="clear" w:color="auto" w:fill="auto"/>
            <w:vAlign w:val="center"/>
          </w:tcPr>
          <w:p w14:paraId="0471EE75"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G</w:t>
            </w:r>
          </w:p>
        </w:tc>
        <w:tc>
          <w:tcPr>
            <w:tcW w:w="723" w:type="dxa"/>
            <w:tcBorders>
              <w:bottom w:val="single" w:sz="4" w:space="0" w:color="auto"/>
            </w:tcBorders>
            <w:shd w:val="clear" w:color="auto" w:fill="auto"/>
            <w:vAlign w:val="center"/>
          </w:tcPr>
          <w:p w14:paraId="21D5B009"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3</w:t>
            </w:r>
          </w:p>
        </w:tc>
        <w:tc>
          <w:tcPr>
            <w:tcW w:w="1672" w:type="dxa"/>
            <w:tcBorders>
              <w:bottom w:val="single" w:sz="4" w:space="0" w:color="auto"/>
            </w:tcBorders>
            <w:shd w:val="clear" w:color="auto" w:fill="FFFFFF"/>
            <w:vAlign w:val="center"/>
          </w:tcPr>
          <w:p w14:paraId="1DCEFF38" w14:textId="77777777" w:rsidR="00904DCD" w:rsidRPr="003E6B3B" w:rsidRDefault="00904DCD" w:rsidP="00DC7269">
            <w:pPr>
              <w:jc w:val="center"/>
              <w:rPr>
                <w:rFonts w:asciiTheme="majorHAnsi" w:hAnsiTheme="majorHAnsi"/>
                <w:b/>
                <w:bCs/>
                <w:sz w:val="22"/>
                <w:szCs w:val="22"/>
              </w:rPr>
            </w:pPr>
            <w:r w:rsidRPr="003E6B3B">
              <w:rPr>
                <w:rFonts w:asciiTheme="majorHAnsi" w:hAnsiTheme="majorHAnsi"/>
                <w:b/>
                <w:bCs/>
                <w:sz w:val="22"/>
                <w:szCs w:val="22"/>
              </w:rPr>
              <w:t>3</w:t>
            </w:r>
          </w:p>
        </w:tc>
        <w:tc>
          <w:tcPr>
            <w:tcW w:w="1276" w:type="dxa"/>
            <w:tcBorders>
              <w:bottom w:val="single" w:sz="4" w:space="0" w:color="auto"/>
              <w:right w:val="single" w:sz="4" w:space="0" w:color="auto"/>
            </w:tcBorders>
            <w:shd w:val="clear" w:color="auto" w:fill="FFFFFF"/>
            <w:vAlign w:val="center"/>
          </w:tcPr>
          <w:p w14:paraId="2921D8CB"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3</w:t>
            </w:r>
          </w:p>
        </w:tc>
        <w:tc>
          <w:tcPr>
            <w:tcW w:w="1417" w:type="dxa"/>
            <w:tcBorders>
              <w:left w:val="single" w:sz="4" w:space="0" w:color="auto"/>
              <w:bottom w:val="single" w:sz="4" w:space="0" w:color="auto"/>
            </w:tcBorders>
            <w:shd w:val="clear" w:color="auto" w:fill="auto"/>
            <w:vAlign w:val="center"/>
          </w:tcPr>
          <w:p w14:paraId="1286A83C"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3</w:t>
            </w:r>
          </w:p>
        </w:tc>
        <w:tc>
          <w:tcPr>
            <w:tcW w:w="1341" w:type="dxa"/>
            <w:tcBorders>
              <w:bottom w:val="single" w:sz="4" w:space="0" w:color="auto"/>
              <w:right w:val="single" w:sz="4" w:space="0" w:color="auto"/>
            </w:tcBorders>
            <w:shd w:val="clear" w:color="auto" w:fill="auto"/>
            <w:vAlign w:val="center"/>
          </w:tcPr>
          <w:p w14:paraId="52F0BA05"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3</w:t>
            </w:r>
          </w:p>
        </w:tc>
        <w:tc>
          <w:tcPr>
            <w:tcW w:w="816" w:type="dxa"/>
            <w:vMerge/>
            <w:tcBorders>
              <w:left w:val="single" w:sz="4" w:space="0" w:color="auto"/>
              <w:bottom w:val="single" w:sz="4" w:space="0" w:color="auto"/>
            </w:tcBorders>
            <w:shd w:val="clear" w:color="auto" w:fill="auto"/>
            <w:vAlign w:val="center"/>
          </w:tcPr>
          <w:p w14:paraId="781D42CE" w14:textId="77777777" w:rsidR="00904DCD" w:rsidRPr="003E6B3B" w:rsidRDefault="00904DCD" w:rsidP="00DC7269">
            <w:pPr>
              <w:jc w:val="center"/>
              <w:rPr>
                <w:rFonts w:asciiTheme="majorHAnsi" w:hAnsiTheme="majorHAnsi"/>
                <w:sz w:val="22"/>
                <w:szCs w:val="22"/>
              </w:rPr>
            </w:pPr>
          </w:p>
        </w:tc>
        <w:tc>
          <w:tcPr>
            <w:tcW w:w="936" w:type="dxa"/>
            <w:vMerge/>
            <w:tcBorders>
              <w:bottom w:val="single" w:sz="4" w:space="0" w:color="auto"/>
              <w:right w:val="single" w:sz="4" w:space="0" w:color="auto"/>
            </w:tcBorders>
            <w:shd w:val="clear" w:color="auto" w:fill="auto"/>
            <w:vAlign w:val="center"/>
          </w:tcPr>
          <w:p w14:paraId="1598D5BF" w14:textId="77777777" w:rsidR="00904DCD" w:rsidRPr="003E6B3B" w:rsidRDefault="00904DCD" w:rsidP="00DC7269">
            <w:pPr>
              <w:jc w:val="center"/>
              <w:rPr>
                <w:rFonts w:asciiTheme="majorHAnsi" w:hAnsiTheme="majorHAnsi"/>
                <w:sz w:val="22"/>
                <w:szCs w:val="22"/>
              </w:rPr>
            </w:pPr>
          </w:p>
        </w:tc>
        <w:tc>
          <w:tcPr>
            <w:tcW w:w="1405" w:type="dxa"/>
            <w:tcBorders>
              <w:left w:val="single" w:sz="4" w:space="0" w:color="auto"/>
              <w:bottom w:val="single" w:sz="4" w:space="0" w:color="auto"/>
            </w:tcBorders>
            <w:shd w:val="clear" w:color="auto" w:fill="auto"/>
            <w:vAlign w:val="center"/>
          </w:tcPr>
          <w:p w14:paraId="234CAC12"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1</w:t>
            </w:r>
          </w:p>
        </w:tc>
      </w:tr>
      <w:tr w:rsidR="00904DCD" w:rsidRPr="003E6B3B" w14:paraId="3FDDE188" w14:textId="77777777" w:rsidTr="00DC7269">
        <w:trPr>
          <w:jc w:val="center"/>
        </w:trPr>
        <w:tc>
          <w:tcPr>
            <w:tcW w:w="5811" w:type="dxa"/>
            <w:gridSpan w:val="5"/>
            <w:tcBorders>
              <w:top w:val="single" w:sz="4" w:space="0" w:color="auto"/>
              <w:bottom w:val="single" w:sz="4" w:space="0" w:color="auto"/>
            </w:tcBorders>
            <w:shd w:val="clear" w:color="auto" w:fill="auto"/>
            <w:vAlign w:val="center"/>
          </w:tcPr>
          <w:p w14:paraId="641FE9C3"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TOTAL</w:t>
            </w:r>
          </w:p>
        </w:tc>
        <w:tc>
          <w:tcPr>
            <w:tcW w:w="1341" w:type="dxa"/>
            <w:tcBorders>
              <w:top w:val="single" w:sz="4" w:space="0" w:color="auto"/>
              <w:bottom w:val="single" w:sz="4" w:space="0" w:color="auto"/>
            </w:tcBorders>
            <w:shd w:val="clear" w:color="auto" w:fill="auto"/>
            <w:vAlign w:val="center"/>
          </w:tcPr>
          <w:p w14:paraId="3757D1D4"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167</w:t>
            </w:r>
          </w:p>
        </w:tc>
        <w:tc>
          <w:tcPr>
            <w:tcW w:w="816" w:type="dxa"/>
            <w:tcBorders>
              <w:top w:val="single" w:sz="4" w:space="0" w:color="auto"/>
              <w:bottom w:val="single" w:sz="4" w:space="0" w:color="auto"/>
            </w:tcBorders>
            <w:shd w:val="clear" w:color="auto" w:fill="auto"/>
            <w:vAlign w:val="center"/>
          </w:tcPr>
          <w:p w14:paraId="3F1992C0"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144</w:t>
            </w:r>
          </w:p>
        </w:tc>
        <w:tc>
          <w:tcPr>
            <w:tcW w:w="936" w:type="dxa"/>
            <w:tcBorders>
              <w:top w:val="single" w:sz="4" w:space="0" w:color="auto"/>
              <w:bottom w:val="single" w:sz="4" w:space="0" w:color="auto"/>
            </w:tcBorders>
            <w:shd w:val="clear" w:color="auto" w:fill="auto"/>
            <w:vAlign w:val="center"/>
          </w:tcPr>
          <w:p w14:paraId="531F9655"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16</w:t>
            </w:r>
          </w:p>
        </w:tc>
        <w:tc>
          <w:tcPr>
            <w:tcW w:w="1405" w:type="dxa"/>
            <w:tcBorders>
              <w:top w:val="single" w:sz="4" w:space="0" w:color="auto"/>
              <w:bottom w:val="single" w:sz="4" w:space="0" w:color="auto"/>
            </w:tcBorders>
            <w:shd w:val="clear" w:color="auto" w:fill="auto"/>
            <w:vAlign w:val="center"/>
          </w:tcPr>
          <w:p w14:paraId="7DD718C3" w14:textId="77777777" w:rsidR="00904DCD" w:rsidRPr="003E6B3B" w:rsidRDefault="00904DCD" w:rsidP="00DC7269">
            <w:pPr>
              <w:jc w:val="center"/>
              <w:rPr>
                <w:rFonts w:asciiTheme="majorHAnsi" w:hAnsiTheme="majorHAnsi"/>
                <w:sz w:val="22"/>
                <w:szCs w:val="22"/>
              </w:rPr>
            </w:pPr>
            <w:r w:rsidRPr="003E6B3B">
              <w:rPr>
                <w:rFonts w:asciiTheme="majorHAnsi" w:hAnsiTheme="majorHAnsi"/>
                <w:sz w:val="22"/>
                <w:szCs w:val="22"/>
              </w:rPr>
              <w:t>6</w:t>
            </w:r>
          </w:p>
        </w:tc>
      </w:tr>
    </w:tbl>
    <w:p w14:paraId="3E21FF70" w14:textId="24577799" w:rsidR="00904DCD" w:rsidRPr="003E6B3B" w:rsidRDefault="00904DCD" w:rsidP="00904DCD">
      <w:pPr>
        <w:rPr>
          <w:rFonts w:asciiTheme="majorHAnsi" w:hAnsiTheme="majorHAnsi"/>
          <w:sz w:val="22"/>
          <w:szCs w:val="22"/>
        </w:rPr>
      </w:pPr>
      <w:r w:rsidRPr="003E6B3B">
        <w:rPr>
          <w:rFonts w:asciiTheme="majorHAnsi" w:hAnsiTheme="majorHAnsi"/>
          <w:sz w:val="22"/>
          <w:szCs w:val="22"/>
        </w:rPr>
        <w:t>Note: *not/less relevant, **Dataset 1 for bibliometric mapping, ***Dataset 2 for literature review).</w:t>
      </w:r>
    </w:p>
    <w:p w14:paraId="459478A6" w14:textId="79C7B6C6" w:rsidR="00904DCD" w:rsidRPr="003E6B3B" w:rsidRDefault="00904DCD" w:rsidP="00904DCD">
      <w:pPr>
        <w:pStyle w:val="IEEEParagraph"/>
        <w:spacing w:line="23" w:lineRule="atLeast"/>
        <w:ind w:left="283"/>
        <w:rPr>
          <w:rStyle w:val="longtext"/>
          <w:rFonts w:asciiTheme="majorHAnsi" w:hAnsiTheme="majorHAnsi"/>
          <w:shd w:val="clear" w:color="auto" w:fill="FFFFFF"/>
          <w:lang w:val="sv-SE"/>
        </w:rPr>
      </w:pPr>
    </w:p>
    <w:p w14:paraId="2387E517" w14:textId="77777777" w:rsidR="00904DCD" w:rsidRPr="003E6B3B" w:rsidRDefault="00904DCD" w:rsidP="00904DCD">
      <w:pPr>
        <w:pStyle w:val="IEEEParagraph"/>
        <w:spacing w:line="23" w:lineRule="atLeast"/>
        <w:ind w:left="283"/>
        <w:rPr>
          <w:rStyle w:val="longtext"/>
          <w:rFonts w:asciiTheme="majorHAnsi" w:hAnsiTheme="majorHAnsi"/>
          <w:shd w:val="clear" w:color="auto" w:fill="FFFFFF"/>
          <w:lang w:val="sv-SE"/>
        </w:rPr>
      </w:pPr>
      <w:r w:rsidRPr="003E6B3B">
        <w:rPr>
          <w:rStyle w:val="longtext"/>
          <w:rFonts w:asciiTheme="majorHAnsi" w:hAnsiTheme="majorHAnsi"/>
          <w:shd w:val="clear" w:color="auto" w:fill="FFFFFF"/>
          <w:lang w:val="sv-SE"/>
        </w:rPr>
        <w:t>The third stage of the PRISMA Method is eligibility. We categorize based on the number of stars, namely three stars and four stars. Three stars are articles with additional checks, namely articles that use an integer optimization model in MILP and eliminate articles that are not/less relevant. At the same time, four stars are articles that use the MILP optimization model with a Polyhedral Uncertainty Set in Robust Optimization, so that 144 articles are obtained for three stars and 16 articles that are more specific for four stars. The database of 16 articles at this stage is called Dataset 1, which is used for bibliometric mapping and determination of thematic evolution using the RStudio software.</w:t>
      </w:r>
    </w:p>
    <w:p w14:paraId="7DBBC183" w14:textId="2B66D845" w:rsidR="00904DCD" w:rsidRPr="003E6B3B" w:rsidRDefault="00904DCD" w:rsidP="00904DCD">
      <w:pPr>
        <w:pStyle w:val="IEEEParagraph"/>
        <w:spacing w:line="23" w:lineRule="atLeast"/>
        <w:ind w:left="283"/>
        <w:rPr>
          <w:rStyle w:val="longtext"/>
          <w:rFonts w:asciiTheme="majorHAnsi" w:hAnsiTheme="majorHAnsi"/>
          <w:shd w:val="clear" w:color="auto" w:fill="FFFFFF"/>
          <w:lang w:val="sv-SE"/>
        </w:rPr>
      </w:pPr>
      <w:r w:rsidRPr="003E6B3B">
        <w:rPr>
          <w:rStyle w:val="longtext"/>
          <w:rFonts w:asciiTheme="majorHAnsi" w:hAnsiTheme="majorHAnsi"/>
          <w:shd w:val="clear" w:color="auto" w:fill="FFFFFF"/>
          <w:lang w:val="sv-SE"/>
        </w:rPr>
        <w:t>The last stage of the PRISMA method is the included stage. At this stage, we finalize the selected articles called Dataset 2 (five stars), which will later be used to analyze the SLR in the form of state-of-the-art table results, the determination of research gaps, and recommendations for future research discussed. There were six final articles selected with additional checks, namely articles using the Benders Decomposition Method to handle easy and complex variables, in the next section.</w:t>
      </w:r>
    </w:p>
    <w:p w14:paraId="545F2CC6" w14:textId="34606582" w:rsidR="002202B7" w:rsidRPr="003E6B3B" w:rsidRDefault="00904DCD" w:rsidP="00E77E85">
      <w:pPr>
        <w:pStyle w:val="IEEEFigure"/>
        <w:numPr>
          <w:ilvl w:val="0"/>
          <w:numId w:val="14"/>
        </w:numPr>
        <w:spacing w:line="23" w:lineRule="atLeast"/>
        <w:jc w:val="left"/>
        <w:rPr>
          <w:rStyle w:val="longtext"/>
          <w:rFonts w:asciiTheme="majorHAnsi" w:hAnsiTheme="majorHAnsi"/>
          <w:b/>
          <w:shd w:val="clear" w:color="auto" w:fill="FFFFFF"/>
          <w:lang w:val="en-US"/>
        </w:rPr>
      </w:pPr>
      <w:r w:rsidRPr="003E6B3B">
        <w:rPr>
          <w:rStyle w:val="longtext"/>
          <w:rFonts w:asciiTheme="majorHAnsi" w:hAnsiTheme="majorHAnsi"/>
          <w:b/>
          <w:shd w:val="clear" w:color="auto" w:fill="FFFFFF"/>
          <w:lang w:val="en-US"/>
        </w:rPr>
        <w:lastRenderedPageBreak/>
        <w:t>The Result of Bibliometric Maps Using RStudio Software Procedure</w:t>
      </w:r>
    </w:p>
    <w:p w14:paraId="3FBDAF75" w14:textId="4309DB83" w:rsidR="00904DCD" w:rsidRPr="003E6B3B" w:rsidRDefault="00904DCD" w:rsidP="00904DCD">
      <w:pPr>
        <w:pStyle w:val="IEEEParagraph"/>
        <w:spacing w:line="23" w:lineRule="atLeast"/>
        <w:rPr>
          <w:rStyle w:val="longtext"/>
          <w:rFonts w:asciiTheme="majorHAnsi" w:hAnsiTheme="majorHAnsi"/>
          <w:shd w:val="clear" w:color="auto" w:fill="FFFFFF"/>
          <w:lang w:val="sv-SE"/>
        </w:rPr>
      </w:pPr>
      <w:r w:rsidRPr="003E6B3B">
        <w:rPr>
          <w:rStyle w:val="longtext"/>
          <w:rFonts w:asciiTheme="majorHAnsi" w:hAnsiTheme="majorHAnsi"/>
          <w:shd w:val="clear" w:color="auto" w:fill="FFFFFF"/>
          <w:lang w:val="sv-SE"/>
        </w:rPr>
        <w:t>The This section uses Dataset 1, which contains sixteen selected articles at the eligibility stage to determine the bibliometric map using RStudio software. Figure 2 represents the bibliometric mapping output diagram performed in this article. The diagram is divided into three general stages after total database mining for Dataset 1 is carried out, namely mining of bibliometric data, analysis of bibliometric data, and mapping of the state-of-the-art, identification, and analysis of gaps and trends. This diagram is implemented in the following discussion.</w:t>
      </w:r>
    </w:p>
    <w:p w14:paraId="2F0B08C1" w14:textId="67789FFC" w:rsidR="00904DCD" w:rsidRPr="003E6B3B" w:rsidRDefault="00904DCD" w:rsidP="00904DCD">
      <w:pPr>
        <w:pStyle w:val="IEEEParagraph"/>
        <w:spacing w:line="23" w:lineRule="atLeast"/>
        <w:rPr>
          <w:rStyle w:val="longtext"/>
          <w:rFonts w:asciiTheme="majorHAnsi" w:hAnsiTheme="majorHAnsi"/>
          <w:shd w:val="clear" w:color="auto" w:fill="FFFFFF"/>
          <w:lang w:val="sv-SE"/>
        </w:rPr>
      </w:pPr>
    </w:p>
    <w:p w14:paraId="199E791D" w14:textId="354EEE0D" w:rsidR="00904DCD" w:rsidRPr="003E6B3B" w:rsidRDefault="00904DCD" w:rsidP="00904DCD">
      <w:pPr>
        <w:pStyle w:val="IEEEParagraph"/>
        <w:spacing w:line="23" w:lineRule="atLeast"/>
        <w:jc w:val="center"/>
        <w:rPr>
          <w:rStyle w:val="longtext"/>
          <w:rFonts w:asciiTheme="majorHAnsi" w:hAnsiTheme="majorHAnsi"/>
          <w:shd w:val="clear" w:color="auto" w:fill="FFFFFF"/>
          <w:lang w:val="sv-SE"/>
        </w:rPr>
      </w:pPr>
      <w:r w:rsidRPr="003E6B3B">
        <w:rPr>
          <w:rFonts w:asciiTheme="majorHAnsi" w:hAnsiTheme="majorHAnsi"/>
          <w:noProof/>
        </w:rPr>
        <w:drawing>
          <wp:inline distT="0" distB="0" distL="0" distR="0" wp14:anchorId="6F991CF5" wp14:editId="5B8A66F3">
            <wp:extent cx="4928235" cy="5521960"/>
            <wp:effectExtent l="0" t="0" r="571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928235" cy="5521960"/>
                    </a:xfrm>
                    <a:prstGeom prst="rect">
                      <a:avLst/>
                    </a:prstGeom>
                    <a:noFill/>
                    <a:ln>
                      <a:noFill/>
                    </a:ln>
                  </pic:spPr>
                </pic:pic>
              </a:graphicData>
            </a:graphic>
          </wp:inline>
        </w:drawing>
      </w:r>
    </w:p>
    <w:p w14:paraId="7027C5A2" w14:textId="4EA91D31" w:rsidR="00904DCD" w:rsidRPr="003E6B3B" w:rsidRDefault="00904DCD" w:rsidP="00904DCD">
      <w:pPr>
        <w:spacing w:line="360" w:lineRule="auto"/>
        <w:ind w:firstLine="284"/>
        <w:jc w:val="center"/>
        <w:rPr>
          <w:rFonts w:asciiTheme="majorHAnsi" w:hAnsiTheme="majorHAnsi"/>
          <w:sz w:val="22"/>
          <w:szCs w:val="22"/>
        </w:rPr>
      </w:pPr>
      <w:r w:rsidRPr="003E6B3B">
        <w:rPr>
          <w:rFonts w:asciiTheme="majorHAnsi" w:hAnsiTheme="majorHAnsi"/>
          <w:b/>
          <w:bCs/>
          <w:sz w:val="22"/>
          <w:szCs w:val="22"/>
        </w:rPr>
        <w:t>Figure 2</w:t>
      </w:r>
      <w:r w:rsidRPr="003E6B3B">
        <w:rPr>
          <w:rFonts w:asciiTheme="majorHAnsi" w:hAnsiTheme="majorHAnsi"/>
          <w:sz w:val="22"/>
          <w:szCs w:val="22"/>
        </w:rPr>
        <w:t>. Bibliometric Mapping Output Diagram</w:t>
      </w:r>
    </w:p>
    <w:p w14:paraId="45CD612C" w14:textId="77777777" w:rsidR="00904DCD" w:rsidRPr="003E6B3B" w:rsidRDefault="00904DCD" w:rsidP="00904DCD">
      <w:pPr>
        <w:pStyle w:val="IEEEParagraph"/>
        <w:spacing w:line="23" w:lineRule="atLeast"/>
        <w:rPr>
          <w:rStyle w:val="longtext"/>
          <w:rFonts w:asciiTheme="majorHAnsi" w:hAnsiTheme="majorHAnsi"/>
          <w:shd w:val="clear" w:color="auto" w:fill="FFFFFF"/>
          <w:lang w:val="sv-SE"/>
        </w:rPr>
      </w:pPr>
    </w:p>
    <w:p w14:paraId="771C9BCC" w14:textId="30C9B910" w:rsidR="00904DCD" w:rsidRPr="003E6B3B" w:rsidRDefault="00904DCD" w:rsidP="00904DCD">
      <w:pPr>
        <w:pStyle w:val="IEEEParagraph"/>
        <w:spacing w:line="23" w:lineRule="atLeast"/>
        <w:rPr>
          <w:rStyle w:val="longtext"/>
          <w:rFonts w:asciiTheme="majorHAnsi" w:hAnsiTheme="majorHAnsi"/>
          <w:shd w:val="clear" w:color="auto" w:fill="FFFFFF"/>
          <w:lang w:val="sv-SE"/>
        </w:rPr>
      </w:pPr>
      <w:r w:rsidRPr="003E6B3B">
        <w:rPr>
          <w:rStyle w:val="longtext"/>
          <w:rFonts w:asciiTheme="majorHAnsi" w:hAnsiTheme="majorHAnsi"/>
          <w:shd w:val="clear" w:color="auto" w:fill="FFFFFF"/>
          <w:lang w:val="sv-SE"/>
        </w:rPr>
        <w:t xml:space="preserve">The sixteen articles in Dataset 1 have a timespan between 1998 and 2022 with 5.5 years from publication, 7,875 average citations per document, 1,831 average citations per year per document, and 496 references. The information obtained from the 'main information' option in the RStudio software that is used to support the emergence of a bibliometric mapping which discusses the relationship between each keyword as shown in Figure 3, the relationship between authors as in Figure 4, and the interrelationships between institutions in various countries as in Figure 5. In the process in the RStudio software, we use the command 'biblioshiny()' to create a link to the “shiny web interface”. Louvain Cluster Algorithm is used with fifty minimum number of nodes. We set the minimum number of edges to 1, which means </w:t>
      </w:r>
      <w:r w:rsidRPr="003E6B3B">
        <w:rPr>
          <w:rStyle w:val="longtext"/>
          <w:rFonts w:asciiTheme="majorHAnsi" w:hAnsiTheme="majorHAnsi"/>
          <w:shd w:val="clear" w:color="auto" w:fill="FFFFFF"/>
          <w:lang w:val="sv-SE"/>
        </w:rPr>
        <w:lastRenderedPageBreak/>
        <w:t xml:space="preserve">that the bibliometric map that will appear has at least one relationship between one node and another.  </w:t>
      </w:r>
    </w:p>
    <w:p w14:paraId="1F91CC69" w14:textId="77777777" w:rsidR="00904DCD" w:rsidRPr="003E6B3B" w:rsidRDefault="00904DCD" w:rsidP="00904DCD">
      <w:pPr>
        <w:pStyle w:val="IEEEParagraph"/>
        <w:spacing w:line="23" w:lineRule="atLeast"/>
        <w:rPr>
          <w:rStyle w:val="longtext"/>
          <w:rFonts w:asciiTheme="majorHAnsi" w:hAnsiTheme="majorHAnsi"/>
          <w:shd w:val="clear" w:color="auto" w:fill="FFFFFF"/>
          <w:lang w:val="sv-SE"/>
        </w:rPr>
      </w:pPr>
      <w:r w:rsidRPr="003E6B3B">
        <w:rPr>
          <w:rStyle w:val="longtext"/>
          <w:rFonts w:asciiTheme="majorHAnsi" w:hAnsiTheme="majorHAnsi"/>
          <w:shd w:val="clear" w:color="auto" w:fill="FFFFFF"/>
          <w:lang w:val="sv-SE"/>
        </w:rPr>
        <w:t>Figure 3 is a bibliometric map in the authors' keyword field. Sixty-one keywords appear, and eight clusters are based on color. The cluster provides information on keyword grouping based on the sixteen research topics in Dataset 1. Furthermore, the purple cluster has the most relevant impact because it raises the keywords “benders decomposition", the most pertinent words with six occurrences in the abstract field. Furthermore, the second most relevant words are the keywords “adjustable robust optimization” and “uncertainty” with three occurrences, and the keywords “microgrid”, “robust optimization”, and “unit commitment” with two occurrences. In other words, the larger the size of the words/phrase appear, the more these keywords are used in research.</w:t>
      </w:r>
    </w:p>
    <w:p w14:paraId="300F280A" w14:textId="18454322" w:rsidR="00904DCD" w:rsidRPr="003E6B3B" w:rsidRDefault="00904DCD" w:rsidP="00904DCD">
      <w:pPr>
        <w:pStyle w:val="IEEEParagraph"/>
        <w:spacing w:line="23" w:lineRule="atLeast"/>
        <w:rPr>
          <w:rStyle w:val="longtext"/>
          <w:rFonts w:asciiTheme="majorHAnsi" w:hAnsiTheme="majorHAnsi"/>
          <w:shd w:val="clear" w:color="auto" w:fill="FFFFFF"/>
          <w:lang w:val="sv-SE"/>
        </w:rPr>
      </w:pPr>
      <w:r w:rsidRPr="003E6B3B">
        <w:rPr>
          <w:rStyle w:val="longtext"/>
          <w:rFonts w:asciiTheme="majorHAnsi" w:hAnsiTheme="majorHAnsi"/>
          <w:shd w:val="clear" w:color="auto" w:fill="FFFFFF"/>
          <w:lang w:val="sv-SE"/>
        </w:rPr>
        <w:t>Additionaly, Figure 4 bring up the bibliometric map in the authors' field. It aims to see the relationship between the authors. For example, has author A ever been associated with author B in a research article project. Sixty-three authors appeared (1 author of single-authored documents and 62 authors of multi-authored papers), which were then divided into four clusters based on color, namely purple, green, blue, and red. In this case, the most productive author on the topic under study was ZHANG, LIM, and LIU.</w:t>
      </w:r>
    </w:p>
    <w:p w14:paraId="342D3E8D" w14:textId="77777777" w:rsidR="00904DCD" w:rsidRPr="003E6B3B" w:rsidRDefault="00904DCD" w:rsidP="00904DCD">
      <w:pPr>
        <w:pStyle w:val="IEEEParagraph"/>
        <w:spacing w:line="23" w:lineRule="atLeast"/>
        <w:rPr>
          <w:rStyle w:val="longtext"/>
          <w:rFonts w:asciiTheme="majorHAnsi" w:hAnsiTheme="majorHAnsi"/>
          <w:shd w:val="clear" w:color="auto" w:fill="FFFFFF"/>
          <w:lang w:val="sv-SE"/>
        </w:rPr>
      </w:pPr>
    </w:p>
    <w:p w14:paraId="1CA7449A" w14:textId="1B28504F" w:rsidR="00904DCD" w:rsidRPr="003E6B3B" w:rsidRDefault="00904DCD" w:rsidP="00904DCD">
      <w:pPr>
        <w:pStyle w:val="IEEEParagraph"/>
        <w:spacing w:line="23" w:lineRule="atLeast"/>
        <w:jc w:val="center"/>
        <w:rPr>
          <w:rStyle w:val="longtext"/>
          <w:rFonts w:asciiTheme="majorHAnsi" w:hAnsiTheme="majorHAnsi"/>
          <w:shd w:val="clear" w:color="auto" w:fill="FFFFFF"/>
          <w:lang w:val="sv-SE"/>
        </w:rPr>
      </w:pPr>
      <w:r w:rsidRPr="003E6B3B">
        <w:rPr>
          <w:rFonts w:asciiTheme="majorHAnsi" w:hAnsiTheme="majorHAnsi"/>
          <w:noProof/>
        </w:rPr>
        <w:drawing>
          <wp:inline distT="0" distB="0" distL="0" distR="0" wp14:anchorId="57FF7F9E" wp14:editId="5D0D2C32">
            <wp:extent cx="4987925" cy="2933065"/>
            <wp:effectExtent l="0" t="0" r="317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987925" cy="2933065"/>
                    </a:xfrm>
                    <a:prstGeom prst="rect">
                      <a:avLst/>
                    </a:prstGeom>
                    <a:noFill/>
                    <a:ln>
                      <a:noFill/>
                    </a:ln>
                  </pic:spPr>
                </pic:pic>
              </a:graphicData>
            </a:graphic>
          </wp:inline>
        </w:drawing>
      </w:r>
    </w:p>
    <w:p w14:paraId="08E627FD" w14:textId="321B0D78" w:rsidR="00904DCD" w:rsidRPr="003E6B3B" w:rsidRDefault="00904DCD" w:rsidP="00904DCD">
      <w:pPr>
        <w:spacing w:line="360" w:lineRule="auto"/>
        <w:jc w:val="center"/>
        <w:rPr>
          <w:rFonts w:asciiTheme="majorHAnsi" w:hAnsiTheme="majorHAnsi"/>
          <w:sz w:val="22"/>
          <w:szCs w:val="22"/>
        </w:rPr>
      </w:pPr>
      <w:r w:rsidRPr="003E6B3B">
        <w:rPr>
          <w:rFonts w:asciiTheme="majorHAnsi" w:hAnsiTheme="majorHAnsi"/>
          <w:b/>
          <w:bCs/>
          <w:sz w:val="22"/>
          <w:szCs w:val="22"/>
        </w:rPr>
        <w:t>Figure 3</w:t>
      </w:r>
      <w:r w:rsidRPr="003E6B3B">
        <w:rPr>
          <w:rFonts w:asciiTheme="majorHAnsi" w:hAnsiTheme="majorHAnsi"/>
          <w:sz w:val="22"/>
          <w:szCs w:val="22"/>
        </w:rPr>
        <w:t>. Bibliometric Map in The Authors’ Keyword Field for Dataset 1</w:t>
      </w:r>
    </w:p>
    <w:p w14:paraId="240589C0" w14:textId="77777777" w:rsidR="00904DCD" w:rsidRPr="003E6B3B" w:rsidRDefault="00904DCD" w:rsidP="00904DCD">
      <w:pPr>
        <w:pStyle w:val="IEEEParagraph"/>
        <w:spacing w:line="23" w:lineRule="atLeast"/>
        <w:jc w:val="center"/>
        <w:rPr>
          <w:rFonts w:asciiTheme="majorHAnsi" w:hAnsiTheme="majorHAnsi"/>
          <w:b/>
          <w:bCs/>
        </w:rPr>
      </w:pPr>
      <w:r w:rsidRPr="003E6B3B">
        <w:rPr>
          <w:rFonts w:asciiTheme="majorHAnsi" w:hAnsiTheme="majorHAnsi"/>
          <w:noProof/>
        </w:rPr>
        <w:lastRenderedPageBreak/>
        <w:drawing>
          <wp:inline distT="0" distB="0" distL="0" distR="0" wp14:anchorId="79350684" wp14:editId="7B207142">
            <wp:extent cx="3657600" cy="3111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657600" cy="3111500"/>
                    </a:xfrm>
                    <a:prstGeom prst="rect">
                      <a:avLst/>
                    </a:prstGeom>
                    <a:noFill/>
                    <a:ln>
                      <a:noFill/>
                    </a:ln>
                  </pic:spPr>
                </pic:pic>
              </a:graphicData>
            </a:graphic>
          </wp:inline>
        </w:drawing>
      </w:r>
      <w:r w:rsidRPr="003E6B3B">
        <w:rPr>
          <w:rFonts w:asciiTheme="majorHAnsi" w:hAnsiTheme="majorHAnsi"/>
          <w:b/>
          <w:bCs/>
        </w:rPr>
        <w:t xml:space="preserve"> </w:t>
      </w:r>
    </w:p>
    <w:p w14:paraId="749D96A7" w14:textId="546B2F01" w:rsidR="00904DCD" w:rsidRPr="003E6B3B" w:rsidRDefault="00904DCD" w:rsidP="00904DCD">
      <w:pPr>
        <w:pStyle w:val="IEEEParagraph"/>
        <w:spacing w:line="23" w:lineRule="atLeast"/>
        <w:jc w:val="center"/>
        <w:rPr>
          <w:rStyle w:val="longtext"/>
          <w:rFonts w:asciiTheme="majorHAnsi" w:hAnsiTheme="majorHAnsi"/>
          <w:sz w:val="22"/>
          <w:szCs w:val="22"/>
          <w:shd w:val="clear" w:color="auto" w:fill="FFFFFF"/>
          <w:lang w:val="sv-SE"/>
        </w:rPr>
      </w:pPr>
      <w:r w:rsidRPr="003E6B3B">
        <w:rPr>
          <w:rFonts w:asciiTheme="majorHAnsi" w:hAnsiTheme="majorHAnsi"/>
          <w:b/>
          <w:bCs/>
          <w:sz w:val="22"/>
          <w:szCs w:val="22"/>
        </w:rPr>
        <w:t>Figure 4</w:t>
      </w:r>
      <w:r w:rsidRPr="003E6B3B">
        <w:rPr>
          <w:rFonts w:asciiTheme="majorHAnsi" w:hAnsiTheme="majorHAnsi"/>
          <w:sz w:val="22"/>
          <w:szCs w:val="22"/>
        </w:rPr>
        <w:t>. Bibliometric Map in The Authors’ Field for Dataset 1</w:t>
      </w:r>
    </w:p>
    <w:p w14:paraId="372212DA" w14:textId="140E104E" w:rsidR="00904DCD" w:rsidRPr="003E6B3B" w:rsidRDefault="00904DCD" w:rsidP="00904DCD">
      <w:pPr>
        <w:pStyle w:val="IEEEParagraph"/>
        <w:spacing w:line="23" w:lineRule="atLeast"/>
        <w:rPr>
          <w:rStyle w:val="longtext"/>
          <w:rFonts w:asciiTheme="majorHAnsi" w:hAnsiTheme="majorHAnsi"/>
          <w:shd w:val="clear" w:color="auto" w:fill="FFFFFF"/>
          <w:lang w:val="en-US"/>
        </w:rPr>
      </w:pPr>
    </w:p>
    <w:p w14:paraId="7A943A07" w14:textId="6B826EF4" w:rsidR="00904DCD" w:rsidRPr="003E6B3B" w:rsidRDefault="00904DCD" w:rsidP="00904DCD">
      <w:pPr>
        <w:pStyle w:val="IEEEParagraph"/>
        <w:spacing w:line="23" w:lineRule="atLeast"/>
        <w:rPr>
          <w:rFonts w:asciiTheme="majorHAnsi" w:hAnsiTheme="majorHAnsi"/>
          <w:noProof/>
        </w:rPr>
      </w:pPr>
      <w:r w:rsidRPr="003E6B3B">
        <w:rPr>
          <w:rFonts w:asciiTheme="majorHAnsi" w:hAnsiTheme="majorHAnsi"/>
          <w:noProof/>
        </w:rPr>
        <w:t>A bibliometric map is also used to find linkages and see institution collaboration networks from Dataset 1. This aims to see which institutions have collaborated in completing a research article. Figure 5 gives 9 clusters. From these results, institutions in China marked with red and pink clusters rank first in the betweenness centrality analysis. In other words, institutions in China have the most extraordinary centrality (each node has the most number of passes or is connected to other institutions) compared to other institutions in research on this topic.</w:t>
      </w:r>
    </w:p>
    <w:p w14:paraId="05E77F5B" w14:textId="435C6DD9" w:rsidR="00904DCD" w:rsidRPr="003E6B3B" w:rsidRDefault="00904DCD" w:rsidP="00904DCD">
      <w:pPr>
        <w:pStyle w:val="IEEEParagraph"/>
        <w:spacing w:line="23" w:lineRule="atLeast"/>
        <w:jc w:val="center"/>
        <w:rPr>
          <w:rFonts w:asciiTheme="majorHAnsi" w:hAnsiTheme="majorHAnsi"/>
          <w:noProof/>
        </w:rPr>
      </w:pPr>
      <w:r w:rsidRPr="003E6B3B">
        <w:rPr>
          <w:rFonts w:asciiTheme="majorHAnsi" w:hAnsiTheme="majorHAnsi"/>
          <w:noProof/>
        </w:rPr>
        <w:drawing>
          <wp:inline distT="0" distB="0" distL="0" distR="0" wp14:anchorId="3D8AB36F" wp14:editId="59A5A94A">
            <wp:extent cx="5475605" cy="23818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475605" cy="2381885"/>
                    </a:xfrm>
                    <a:prstGeom prst="rect">
                      <a:avLst/>
                    </a:prstGeom>
                    <a:noFill/>
                    <a:ln>
                      <a:noFill/>
                    </a:ln>
                  </pic:spPr>
                </pic:pic>
              </a:graphicData>
            </a:graphic>
          </wp:inline>
        </w:drawing>
      </w:r>
    </w:p>
    <w:p w14:paraId="07229E8E" w14:textId="5702308B" w:rsidR="00904DCD" w:rsidRPr="003E6B3B" w:rsidRDefault="00904DCD" w:rsidP="00904DCD">
      <w:pPr>
        <w:pStyle w:val="ListParagraph"/>
        <w:spacing w:line="360" w:lineRule="auto"/>
        <w:jc w:val="center"/>
        <w:rPr>
          <w:rFonts w:asciiTheme="majorHAnsi" w:hAnsiTheme="majorHAnsi"/>
          <w:bCs/>
          <w:sz w:val="22"/>
          <w:szCs w:val="22"/>
        </w:rPr>
      </w:pPr>
      <w:r w:rsidRPr="003E6B3B">
        <w:rPr>
          <w:rFonts w:asciiTheme="majorHAnsi" w:hAnsiTheme="majorHAnsi"/>
          <w:b/>
          <w:bCs/>
          <w:sz w:val="22"/>
          <w:szCs w:val="22"/>
        </w:rPr>
        <w:t>Figure 5</w:t>
      </w:r>
      <w:r w:rsidRPr="003E6B3B">
        <w:rPr>
          <w:rFonts w:asciiTheme="majorHAnsi" w:hAnsiTheme="majorHAnsi"/>
          <w:sz w:val="22"/>
          <w:szCs w:val="22"/>
        </w:rPr>
        <w:t>. Institution Collaboration Network for Dataset 1</w:t>
      </w:r>
    </w:p>
    <w:p w14:paraId="26D46746" w14:textId="30CC486A" w:rsidR="00904DCD" w:rsidRPr="003E6B3B" w:rsidRDefault="00904DCD" w:rsidP="00002FB9">
      <w:pPr>
        <w:pStyle w:val="IEEEParagraph"/>
        <w:spacing w:line="23" w:lineRule="atLeast"/>
        <w:ind w:firstLine="0"/>
        <w:rPr>
          <w:rStyle w:val="longtext"/>
          <w:rFonts w:asciiTheme="majorHAnsi" w:hAnsiTheme="majorHAnsi"/>
          <w:shd w:val="clear" w:color="auto" w:fill="FFFFFF"/>
          <w:lang w:val="en-US"/>
        </w:rPr>
      </w:pPr>
    </w:p>
    <w:p w14:paraId="2E29C4F7" w14:textId="36572AA4" w:rsidR="00002FB9" w:rsidRPr="003E6B3B" w:rsidRDefault="00002FB9" w:rsidP="00002FB9">
      <w:pPr>
        <w:pStyle w:val="IEEEFigure"/>
        <w:numPr>
          <w:ilvl w:val="0"/>
          <w:numId w:val="14"/>
        </w:numPr>
        <w:spacing w:line="23" w:lineRule="atLeast"/>
        <w:jc w:val="left"/>
        <w:rPr>
          <w:rStyle w:val="longtext"/>
          <w:rFonts w:asciiTheme="majorHAnsi" w:hAnsiTheme="majorHAnsi"/>
          <w:b/>
          <w:shd w:val="clear" w:color="auto" w:fill="FFFFFF"/>
          <w:lang w:val="en-US"/>
        </w:rPr>
      </w:pPr>
      <w:r w:rsidRPr="003E6B3B">
        <w:rPr>
          <w:rStyle w:val="longtext"/>
          <w:rFonts w:asciiTheme="majorHAnsi" w:hAnsiTheme="majorHAnsi"/>
          <w:b/>
          <w:shd w:val="clear" w:color="auto" w:fill="FFFFFF"/>
          <w:lang w:val="en-US"/>
        </w:rPr>
        <w:t>Evolution Analysis</w:t>
      </w:r>
    </w:p>
    <w:p w14:paraId="450E37FE" w14:textId="60C10696" w:rsidR="00EE353A" w:rsidRPr="003E6B3B" w:rsidRDefault="00EE353A" w:rsidP="00EE353A">
      <w:pPr>
        <w:pStyle w:val="IEEEParagraph"/>
        <w:spacing w:line="23" w:lineRule="atLeast"/>
        <w:ind w:firstLine="360"/>
        <w:rPr>
          <w:rStyle w:val="longtext"/>
          <w:rFonts w:asciiTheme="majorHAnsi" w:hAnsiTheme="majorHAnsi"/>
          <w:shd w:val="clear" w:color="auto" w:fill="FFFFFF"/>
          <w:lang w:val="sv-SE"/>
        </w:rPr>
      </w:pPr>
      <w:r w:rsidRPr="003E6B3B">
        <w:rPr>
          <w:rStyle w:val="longtext"/>
          <w:rFonts w:asciiTheme="majorHAnsi" w:hAnsiTheme="majorHAnsi"/>
          <w:shd w:val="clear" w:color="auto" w:fill="FFFFFF"/>
          <w:lang w:val="sv-SE"/>
        </w:rPr>
        <w:t xml:space="preserve">Evolution analysis of the topics can be determined to present important information regarding the differences in subtopics by article authors based on clusters obtained in the 1998 to 2022 timeframe. In this section, Dataset 1, which contains 16 article databases, is analyzed based on their evolution. Annual scientific production for dataset one can be seen in Figure 6a. According to the annual scientific production output by the RStudio software, the result is that the most article production occurred in 2021 with four articles, followed by 2016, 2018, and 2020 which succeeded in publishing two articles each. This means that research related to the topic of this article is increasing from year to year. In addition, the average article citations per </w:t>
      </w:r>
      <w:r w:rsidRPr="003E6B3B">
        <w:rPr>
          <w:rStyle w:val="longtext"/>
          <w:rFonts w:asciiTheme="majorHAnsi" w:hAnsiTheme="majorHAnsi"/>
          <w:shd w:val="clear" w:color="auto" w:fill="FFFFFF"/>
          <w:lang w:val="sv-SE"/>
        </w:rPr>
        <w:lastRenderedPageBreak/>
        <w:t>year are also analyzed and give the result that 2020 is the year with the most article citations, which is an average of 9.2 citations, followed by 2017 with an average of 4 citations as we can see in Figure 6b.</w:t>
      </w:r>
    </w:p>
    <w:p w14:paraId="490BAAC5" w14:textId="368E8B8B" w:rsidR="00002FB9" w:rsidRPr="003E6B3B" w:rsidRDefault="00EE353A" w:rsidP="00002FB9">
      <w:pPr>
        <w:pStyle w:val="IEEEFigureCaptionSingle-Line"/>
        <w:jc w:val="left"/>
        <w:rPr>
          <w:rFonts w:asciiTheme="majorHAnsi" w:hAnsiTheme="majorHAnsi"/>
          <w:sz w:val="24"/>
          <w:lang w:val="en-US"/>
        </w:rPr>
      </w:pPr>
      <w:r w:rsidRPr="003E6B3B">
        <w:rPr>
          <w:rFonts w:asciiTheme="majorHAnsi" w:hAnsiTheme="majorHAnsi"/>
          <w:noProof/>
          <w:sz w:val="24"/>
        </w:rPr>
        <w:drawing>
          <wp:inline distT="0" distB="0" distL="0" distR="0" wp14:anchorId="214DD1A2" wp14:editId="13B1D417">
            <wp:extent cx="3040083" cy="1610731"/>
            <wp:effectExtent l="0" t="0" r="825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103367" cy="1644261"/>
                    </a:xfrm>
                    <a:prstGeom prst="rect">
                      <a:avLst/>
                    </a:prstGeom>
                    <a:noFill/>
                    <a:ln>
                      <a:noFill/>
                    </a:ln>
                  </pic:spPr>
                </pic:pic>
              </a:graphicData>
            </a:graphic>
          </wp:inline>
        </w:drawing>
      </w:r>
      <w:r w:rsidRPr="003E6B3B">
        <w:rPr>
          <w:rFonts w:asciiTheme="majorHAnsi" w:hAnsiTheme="majorHAnsi"/>
          <w:noProof/>
          <w:sz w:val="24"/>
        </w:rPr>
        <w:drawing>
          <wp:inline distT="0" distB="0" distL="0" distR="0" wp14:anchorId="2DBDDFBC" wp14:editId="03EAEA96">
            <wp:extent cx="2814452" cy="1616107"/>
            <wp:effectExtent l="0" t="0" r="508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834582" cy="1627666"/>
                    </a:xfrm>
                    <a:prstGeom prst="rect">
                      <a:avLst/>
                    </a:prstGeom>
                    <a:noFill/>
                    <a:ln>
                      <a:noFill/>
                    </a:ln>
                  </pic:spPr>
                </pic:pic>
              </a:graphicData>
            </a:graphic>
          </wp:inline>
        </w:drawing>
      </w:r>
    </w:p>
    <w:tbl>
      <w:tblPr>
        <w:tblW w:w="0" w:type="auto"/>
        <w:tblLook w:val="04A0" w:firstRow="1" w:lastRow="0" w:firstColumn="1" w:lastColumn="0" w:noHBand="0" w:noVBand="1"/>
      </w:tblPr>
      <w:tblGrid>
        <w:gridCol w:w="4818"/>
        <w:gridCol w:w="4820"/>
      </w:tblGrid>
      <w:tr w:rsidR="00EE353A" w:rsidRPr="003E6B3B" w14:paraId="48934115" w14:textId="77777777" w:rsidTr="00DC7269">
        <w:tc>
          <w:tcPr>
            <w:tcW w:w="5264" w:type="dxa"/>
            <w:shd w:val="clear" w:color="auto" w:fill="auto"/>
          </w:tcPr>
          <w:p w14:paraId="7519421B" w14:textId="77777777" w:rsidR="00EE353A" w:rsidRPr="003E6B3B" w:rsidRDefault="00EE353A" w:rsidP="00DC7269">
            <w:pPr>
              <w:jc w:val="center"/>
              <w:rPr>
                <w:rFonts w:asciiTheme="majorHAnsi" w:hAnsiTheme="majorHAnsi"/>
              </w:rPr>
            </w:pPr>
            <w:r w:rsidRPr="003E6B3B">
              <w:rPr>
                <w:rFonts w:asciiTheme="majorHAnsi" w:hAnsiTheme="majorHAnsi"/>
              </w:rPr>
              <w:t>(a)</w:t>
            </w:r>
          </w:p>
        </w:tc>
        <w:tc>
          <w:tcPr>
            <w:tcW w:w="5264" w:type="dxa"/>
            <w:shd w:val="clear" w:color="auto" w:fill="auto"/>
          </w:tcPr>
          <w:p w14:paraId="6509EB42" w14:textId="77777777" w:rsidR="00EE353A" w:rsidRPr="003E6B3B" w:rsidRDefault="00EE353A" w:rsidP="00DC7269">
            <w:pPr>
              <w:jc w:val="center"/>
              <w:rPr>
                <w:rFonts w:asciiTheme="majorHAnsi" w:hAnsiTheme="majorHAnsi"/>
              </w:rPr>
            </w:pPr>
            <w:r w:rsidRPr="003E6B3B">
              <w:rPr>
                <w:rFonts w:asciiTheme="majorHAnsi" w:hAnsiTheme="majorHAnsi"/>
              </w:rPr>
              <w:t>(b)</w:t>
            </w:r>
          </w:p>
        </w:tc>
      </w:tr>
    </w:tbl>
    <w:p w14:paraId="54349101" w14:textId="5E77AFF1" w:rsidR="00EE353A" w:rsidRPr="003E6B3B" w:rsidRDefault="00EE353A" w:rsidP="00EE353A">
      <w:pPr>
        <w:jc w:val="center"/>
        <w:rPr>
          <w:rFonts w:asciiTheme="majorHAnsi" w:hAnsiTheme="majorHAnsi"/>
          <w:sz w:val="22"/>
          <w:szCs w:val="22"/>
        </w:rPr>
      </w:pPr>
      <w:r w:rsidRPr="003E6B3B">
        <w:rPr>
          <w:rFonts w:asciiTheme="majorHAnsi" w:hAnsiTheme="majorHAnsi"/>
          <w:b/>
          <w:bCs/>
          <w:sz w:val="22"/>
          <w:szCs w:val="22"/>
        </w:rPr>
        <w:t>Figure 6</w:t>
      </w:r>
      <w:r w:rsidRPr="003E6B3B">
        <w:rPr>
          <w:rFonts w:asciiTheme="majorHAnsi" w:hAnsiTheme="majorHAnsi"/>
          <w:sz w:val="22"/>
          <w:szCs w:val="22"/>
        </w:rPr>
        <w:t>. (a) Annual Scientific Production, (b) Average Article Citation Per Year</w:t>
      </w:r>
    </w:p>
    <w:p w14:paraId="134AA1AB" w14:textId="7529FCB8" w:rsidR="00002FB9" w:rsidRPr="003E6B3B" w:rsidRDefault="00002FB9" w:rsidP="00002FB9">
      <w:pPr>
        <w:pStyle w:val="IEEEParagraph"/>
        <w:rPr>
          <w:rFonts w:asciiTheme="majorHAnsi" w:hAnsiTheme="majorHAnsi"/>
          <w:lang w:val="en-US"/>
        </w:rPr>
      </w:pPr>
    </w:p>
    <w:p w14:paraId="14AB4CC4" w14:textId="77777777" w:rsidR="00EE353A" w:rsidRPr="003E6B3B" w:rsidRDefault="00EE353A" w:rsidP="00EE353A">
      <w:pPr>
        <w:pStyle w:val="IEEEParagraph"/>
        <w:rPr>
          <w:rFonts w:asciiTheme="majorHAnsi" w:hAnsiTheme="majorHAnsi"/>
          <w:lang w:val="en-US"/>
        </w:rPr>
      </w:pPr>
      <w:r w:rsidRPr="003E6B3B">
        <w:rPr>
          <w:rFonts w:asciiTheme="majorHAnsi" w:hAnsiTheme="majorHAnsi"/>
          <w:lang w:val="en-US"/>
        </w:rPr>
        <w:t>The thematic evolution map in authors keyword' field is presented in Table 7. The author's keyword field was chosen because it is one of the most relevant representations of research keywords. The thematic evolution map is beneficial for researchers to analyze the development of topics in four different quadrants; these are identified based on their identification on the degree of relevance (centrality) plotted on the X-axis and the degree of development (density) plotted on the Y-axis. Centrality defines the interaction level of the inter-clusters. Precisely, centrality measures the level of inter-cluster interaction, i.e., the extent to which a topic is connected to other issues. Furthermore, density measures the time when keywords in a particular cluster are linked, and thus a theme is developed.</w:t>
      </w:r>
    </w:p>
    <w:p w14:paraId="0AACB9FF" w14:textId="77777777" w:rsidR="00EE353A" w:rsidRPr="003E6B3B" w:rsidRDefault="00EE353A" w:rsidP="00EE353A">
      <w:pPr>
        <w:pStyle w:val="IEEEParagraph"/>
        <w:rPr>
          <w:rFonts w:asciiTheme="majorHAnsi" w:hAnsiTheme="majorHAnsi"/>
          <w:lang w:val="en-US"/>
        </w:rPr>
      </w:pPr>
      <w:r w:rsidRPr="003E6B3B">
        <w:rPr>
          <w:rFonts w:asciiTheme="majorHAnsi" w:hAnsiTheme="majorHAnsi"/>
          <w:lang w:val="en-US"/>
        </w:rPr>
        <w:t>In Figure 7, based on an explanation of the X and Y axes, it is known that the upper right quadrant contains topics with high centrality and density, which means these topics can influence research and are well developed. The lower right quadrant includes issues with centrality strong (able to control the other problems) but density weak (not well developed). The lower left quadrant contains topics with centrality and density vulnerable, meaning that these topics are less able to influence research and are not well developed. Finally, the upper left quadrant contains the opposite issue to the lower right quadrant.</w:t>
      </w:r>
    </w:p>
    <w:p w14:paraId="66D11F32" w14:textId="74873873" w:rsidR="00EE353A" w:rsidRPr="003E6B3B" w:rsidRDefault="00EE353A" w:rsidP="00EE353A">
      <w:pPr>
        <w:pStyle w:val="IEEEParagraph"/>
        <w:rPr>
          <w:rFonts w:asciiTheme="majorHAnsi" w:hAnsiTheme="majorHAnsi"/>
          <w:lang w:val="en-US"/>
        </w:rPr>
      </w:pPr>
      <w:r w:rsidRPr="003E6B3B">
        <w:rPr>
          <w:rFonts w:asciiTheme="majorHAnsi" w:hAnsiTheme="majorHAnsi"/>
          <w:lang w:val="en-US"/>
        </w:rPr>
        <w:t>Through this explanation, it can be seen that the emerging topics such as “microgrid” are in the upper right quadrant, which means they can influence research and are well developed. In brief, the topic of ARC with benders decomposition has not been frequently studied and is open to further research in connection. This is our contribution to our subsequent study.</w:t>
      </w:r>
    </w:p>
    <w:p w14:paraId="028D8346" w14:textId="09F1D2B3" w:rsidR="00EE353A" w:rsidRPr="003E6B3B" w:rsidRDefault="00EE353A" w:rsidP="00EE353A">
      <w:pPr>
        <w:pStyle w:val="IEEEParagraph"/>
        <w:rPr>
          <w:rFonts w:asciiTheme="majorHAnsi" w:hAnsiTheme="majorHAnsi"/>
          <w:lang w:val="en-US"/>
        </w:rPr>
      </w:pPr>
    </w:p>
    <w:p w14:paraId="1D2CCE56" w14:textId="5F92F26F" w:rsidR="00EE353A" w:rsidRPr="003E6B3B" w:rsidRDefault="00EE353A" w:rsidP="00EE353A">
      <w:pPr>
        <w:pStyle w:val="IEEEParagraph"/>
        <w:rPr>
          <w:rFonts w:asciiTheme="majorHAnsi" w:hAnsiTheme="majorHAnsi"/>
          <w:lang w:val="en-US"/>
        </w:rPr>
      </w:pPr>
      <w:r w:rsidRPr="003E6B3B">
        <w:rPr>
          <w:rFonts w:asciiTheme="majorHAnsi" w:hAnsiTheme="majorHAnsi"/>
          <w:noProof/>
        </w:rPr>
        <w:lastRenderedPageBreak/>
        <w:drawing>
          <wp:inline distT="0" distB="0" distL="0" distR="0" wp14:anchorId="5AF47147" wp14:editId="261395C3">
            <wp:extent cx="5723890" cy="29571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23890" cy="2957195"/>
                    </a:xfrm>
                    <a:prstGeom prst="rect">
                      <a:avLst/>
                    </a:prstGeom>
                    <a:noFill/>
                    <a:ln>
                      <a:noFill/>
                    </a:ln>
                  </pic:spPr>
                </pic:pic>
              </a:graphicData>
            </a:graphic>
          </wp:inline>
        </w:drawing>
      </w:r>
    </w:p>
    <w:p w14:paraId="6ECA3B98" w14:textId="10513FFA" w:rsidR="00EE353A" w:rsidRPr="003E6B3B" w:rsidRDefault="00EE353A" w:rsidP="00EE353A">
      <w:pPr>
        <w:jc w:val="center"/>
        <w:rPr>
          <w:rFonts w:asciiTheme="majorHAnsi" w:hAnsiTheme="majorHAnsi"/>
          <w:sz w:val="22"/>
          <w:szCs w:val="22"/>
        </w:rPr>
      </w:pPr>
      <w:r w:rsidRPr="003E6B3B">
        <w:rPr>
          <w:rFonts w:asciiTheme="majorHAnsi" w:hAnsiTheme="majorHAnsi"/>
          <w:b/>
          <w:bCs/>
          <w:sz w:val="22"/>
          <w:szCs w:val="22"/>
        </w:rPr>
        <w:t>Figure 7</w:t>
      </w:r>
      <w:r w:rsidRPr="003E6B3B">
        <w:rPr>
          <w:rFonts w:asciiTheme="majorHAnsi" w:hAnsiTheme="majorHAnsi"/>
          <w:sz w:val="22"/>
          <w:szCs w:val="22"/>
        </w:rPr>
        <w:t>. Thematic Map in Authors’ Keywords Field</w:t>
      </w:r>
    </w:p>
    <w:p w14:paraId="18102068" w14:textId="77777777" w:rsidR="00EE353A" w:rsidRPr="003E6B3B" w:rsidRDefault="00EE353A" w:rsidP="00EE353A">
      <w:pPr>
        <w:jc w:val="center"/>
        <w:rPr>
          <w:rFonts w:asciiTheme="majorHAnsi" w:hAnsiTheme="majorHAnsi"/>
          <w:sz w:val="22"/>
          <w:szCs w:val="22"/>
        </w:rPr>
      </w:pPr>
    </w:p>
    <w:p w14:paraId="4906422E" w14:textId="77777777" w:rsidR="00EE353A" w:rsidRPr="003E6B3B" w:rsidRDefault="00EE353A" w:rsidP="00EE353A">
      <w:pPr>
        <w:pStyle w:val="IEEEParagraph"/>
        <w:rPr>
          <w:rFonts w:asciiTheme="majorHAnsi" w:hAnsiTheme="majorHAnsi"/>
          <w:lang w:val="en-US"/>
        </w:rPr>
      </w:pPr>
      <w:r w:rsidRPr="003E6B3B">
        <w:rPr>
          <w:rFonts w:asciiTheme="majorHAnsi" w:hAnsiTheme="majorHAnsi"/>
          <w:lang w:val="en-US"/>
        </w:rPr>
        <w:t xml:space="preserve">A critical follow-up analysis is related to developing the most relevant words. The output of the most pertinent words generated by RStudio software has three types, namely unigram (maximum one word appears), bigram (maximum two words appear), and trigram (maximum three words appear). This study searches for the most relevant trigrams of words in the abstract and keywords. This Analysis of the relevance of words serves to see which keywords often and rarely appear, examine which keywords still have the opportunity to be developed in research, and which keywords have been carried out in many studies.    </w:t>
      </w:r>
    </w:p>
    <w:p w14:paraId="56E6F386" w14:textId="7302D47A" w:rsidR="00EE353A" w:rsidRPr="003E6B3B" w:rsidRDefault="00EE353A" w:rsidP="00002FB9">
      <w:pPr>
        <w:pStyle w:val="IEEEParagraph"/>
        <w:rPr>
          <w:rFonts w:asciiTheme="majorHAnsi" w:hAnsiTheme="majorHAnsi"/>
          <w:lang w:val="en-US"/>
        </w:rPr>
      </w:pPr>
      <w:r w:rsidRPr="003E6B3B">
        <w:rPr>
          <w:rFonts w:asciiTheme="majorHAnsi" w:hAnsiTheme="majorHAnsi"/>
          <w:lang w:val="en-US"/>
        </w:rPr>
        <w:t>Figure 8a provides the ten most relevant words with various topics in keywords field. Keyword field ranked “benders decomposition” first with six occurrences, followed by “adjustable robust optimization” and “uncertainty” with three occurrences. Meanwhile, Figure 8b represents the most relevant words in the titles field where “adjustable robust”, “distribution network”, and “wind power” are in first place with three appearances. Benders decomposition ranks second with two occurrences. Based on the explanation from Figures 8a and 8b, it can be concluded that the ten relevant words produced do not yet represent the topic of this research simultaneously, namely the ARC multi-objective integer optimization model with a Polyhedral Uncertainty Set using the Benders Decomposition Method.</w:t>
      </w:r>
    </w:p>
    <w:p w14:paraId="4E9E397E" w14:textId="77777777" w:rsidR="00EE353A" w:rsidRPr="003E6B3B" w:rsidRDefault="00EE353A" w:rsidP="00002FB9">
      <w:pPr>
        <w:pStyle w:val="IEEEParagraph"/>
        <w:rPr>
          <w:rFonts w:asciiTheme="majorHAnsi" w:hAnsiTheme="majorHAnsi"/>
          <w:lang w:val="en-US"/>
        </w:rPr>
      </w:pPr>
    </w:p>
    <w:p w14:paraId="5DF8F808" w14:textId="3E5DE148" w:rsidR="00EE353A" w:rsidRPr="003E6B3B" w:rsidRDefault="00EE353A" w:rsidP="00002FB9">
      <w:pPr>
        <w:pStyle w:val="IEEEParagraph"/>
        <w:rPr>
          <w:rFonts w:asciiTheme="majorHAnsi" w:hAnsiTheme="majorHAnsi"/>
          <w:lang w:val="en-US"/>
        </w:rPr>
      </w:pPr>
      <w:r w:rsidRPr="003E6B3B">
        <w:rPr>
          <w:rFonts w:asciiTheme="majorHAnsi" w:hAnsiTheme="majorHAnsi"/>
          <w:noProof/>
        </w:rPr>
        <w:drawing>
          <wp:inline distT="0" distB="0" distL="0" distR="0" wp14:anchorId="335027AB" wp14:editId="4D96A2C5">
            <wp:extent cx="2967764" cy="168211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993361" cy="1696623"/>
                    </a:xfrm>
                    <a:prstGeom prst="rect">
                      <a:avLst/>
                    </a:prstGeom>
                    <a:noFill/>
                    <a:ln>
                      <a:noFill/>
                    </a:ln>
                  </pic:spPr>
                </pic:pic>
              </a:graphicData>
            </a:graphic>
          </wp:inline>
        </w:drawing>
      </w:r>
      <w:r w:rsidRPr="003E6B3B">
        <w:rPr>
          <w:rFonts w:asciiTheme="majorHAnsi" w:hAnsiTheme="majorHAnsi"/>
          <w:noProof/>
        </w:rPr>
        <w:drawing>
          <wp:inline distT="0" distB="0" distL="0" distR="0" wp14:anchorId="6110FC15" wp14:editId="489B1514">
            <wp:extent cx="2842644" cy="16772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858944" cy="1686900"/>
                    </a:xfrm>
                    <a:prstGeom prst="rect">
                      <a:avLst/>
                    </a:prstGeom>
                    <a:noFill/>
                    <a:ln>
                      <a:noFill/>
                    </a:ln>
                  </pic:spPr>
                </pic:pic>
              </a:graphicData>
            </a:graphic>
          </wp:inline>
        </w:drawing>
      </w:r>
    </w:p>
    <w:p w14:paraId="223AB56E" w14:textId="6A21BD06" w:rsidR="00EE353A" w:rsidRPr="003E6B3B" w:rsidRDefault="00EE353A" w:rsidP="00EE353A">
      <w:pPr>
        <w:jc w:val="center"/>
        <w:rPr>
          <w:rFonts w:asciiTheme="majorHAnsi" w:hAnsiTheme="majorHAnsi"/>
          <w:noProof/>
          <w:sz w:val="22"/>
          <w:szCs w:val="22"/>
        </w:rPr>
      </w:pPr>
      <w:r w:rsidRPr="003E6B3B">
        <w:rPr>
          <w:rFonts w:asciiTheme="majorHAnsi" w:hAnsiTheme="majorHAnsi"/>
          <w:b/>
          <w:bCs/>
          <w:noProof/>
          <w:sz w:val="22"/>
          <w:szCs w:val="22"/>
        </w:rPr>
        <w:t>Figure 8</w:t>
      </w:r>
      <w:r w:rsidRPr="003E6B3B">
        <w:rPr>
          <w:rFonts w:asciiTheme="majorHAnsi" w:hAnsiTheme="majorHAnsi"/>
          <w:noProof/>
          <w:sz w:val="22"/>
          <w:szCs w:val="22"/>
        </w:rPr>
        <w:t>. (a) Most Relevant Words in the Keywords Field, (b) Most Relevant Words in Titles Field</w:t>
      </w:r>
    </w:p>
    <w:p w14:paraId="2B5D8D96" w14:textId="3F0D7761" w:rsidR="00EE353A" w:rsidRPr="003E6B3B" w:rsidRDefault="00EE353A" w:rsidP="00EE353A">
      <w:pPr>
        <w:jc w:val="center"/>
        <w:rPr>
          <w:rFonts w:asciiTheme="majorHAnsi" w:hAnsiTheme="majorHAnsi"/>
          <w:noProof/>
          <w:sz w:val="22"/>
          <w:szCs w:val="22"/>
        </w:rPr>
      </w:pPr>
    </w:p>
    <w:p w14:paraId="02A98D73" w14:textId="0707AEC3" w:rsidR="00EE353A" w:rsidRPr="003E6B3B" w:rsidRDefault="00EE353A" w:rsidP="00EE353A">
      <w:pPr>
        <w:ind w:firstLine="360"/>
        <w:jc w:val="both"/>
        <w:rPr>
          <w:rFonts w:asciiTheme="majorHAnsi" w:hAnsiTheme="majorHAnsi"/>
          <w:noProof/>
          <w:sz w:val="22"/>
          <w:szCs w:val="22"/>
        </w:rPr>
      </w:pPr>
      <w:r w:rsidRPr="003E6B3B">
        <w:rPr>
          <w:rFonts w:asciiTheme="majorHAnsi" w:hAnsiTheme="majorHAnsi"/>
          <w:noProof/>
          <w:sz w:val="22"/>
          <w:szCs w:val="22"/>
        </w:rPr>
        <w:t xml:space="preserve">The next important thing in the discussion of the analysis of the evolution of the article is a three-field map which is one of the outputs. In the period 1998 to 2022, a three-field plot map can be visualized, as shown in Figure 9. The left column shows the countries involved in the article, the middle column shows the article author's name, and the right column shows the keywords used in the article written. </w:t>
      </w:r>
      <w:r w:rsidRPr="003E6B3B">
        <w:rPr>
          <w:rFonts w:asciiTheme="majorHAnsi" w:hAnsiTheme="majorHAnsi"/>
          <w:noProof/>
          <w:sz w:val="22"/>
          <w:szCs w:val="22"/>
        </w:rPr>
        <w:lastRenderedPageBreak/>
        <w:t>This three-field plot can represent the relationship between the three characters in the entire article's database in one input.</w:t>
      </w:r>
    </w:p>
    <w:p w14:paraId="4CC82E9A" w14:textId="77777777" w:rsidR="00EE353A" w:rsidRPr="003E6B3B" w:rsidRDefault="00EE353A" w:rsidP="00EE353A">
      <w:pPr>
        <w:ind w:firstLine="360"/>
        <w:jc w:val="both"/>
        <w:rPr>
          <w:rFonts w:asciiTheme="majorHAnsi" w:hAnsiTheme="majorHAnsi"/>
          <w:noProof/>
          <w:sz w:val="22"/>
          <w:szCs w:val="22"/>
        </w:rPr>
      </w:pPr>
    </w:p>
    <w:p w14:paraId="67B1298A" w14:textId="1F30E258" w:rsidR="00EE353A" w:rsidRPr="003E6B3B" w:rsidRDefault="00EE353A" w:rsidP="00EE353A">
      <w:pPr>
        <w:ind w:firstLine="360"/>
        <w:jc w:val="center"/>
        <w:rPr>
          <w:rFonts w:asciiTheme="majorHAnsi" w:hAnsiTheme="majorHAnsi"/>
          <w:noProof/>
          <w:sz w:val="22"/>
          <w:szCs w:val="22"/>
        </w:rPr>
      </w:pPr>
      <w:r w:rsidRPr="003E6B3B">
        <w:rPr>
          <w:rFonts w:asciiTheme="majorHAnsi" w:hAnsiTheme="majorHAnsi"/>
          <w:noProof/>
        </w:rPr>
        <w:drawing>
          <wp:inline distT="0" distB="0" distL="0" distR="0" wp14:anchorId="12936F99" wp14:editId="6768A227">
            <wp:extent cx="4987925" cy="2434590"/>
            <wp:effectExtent l="0" t="0" r="317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987925" cy="2434590"/>
                    </a:xfrm>
                    <a:prstGeom prst="rect">
                      <a:avLst/>
                    </a:prstGeom>
                    <a:noFill/>
                    <a:ln>
                      <a:noFill/>
                    </a:ln>
                  </pic:spPr>
                </pic:pic>
              </a:graphicData>
            </a:graphic>
          </wp:inline>
        </w:drawing>
      </w:r>
    </w:p>
    <w:p w14:paraId="384137B2" w14:textId="6343CD65" w:rsidR="00EE353A" w:rsidRPr="003E6B3B" w:rsidRDefault="00EE353A" w:rsidP="00EE353A">
      <w:pPr>
        <w:jc w:val="center"/>
        <w:rPr>
          <w:rFonts w:asciiTheme="majorHAnsi" w:hAnsiTheme="majorHAnsi"/>
          <w:noProof/>
          <w:sz w:val="22"/>
          <w:szCs w:val="22"/>
        </w:rPr>
      </w:pPr>
      <w:r w:rsidRPr="003E6B3B">
        <w:rPr>
          <w:rFonts w:asciiTheme="majorHAnsi" w:hAnsiTheme="majorHAnsi"/>
          <w:b/>
          <w:bCs/>
          <w:noProof/>
          <w:sz w:val="22"/>
          <w:szCs w:val="22"/>
        </w:rPr>
        <w:t>Figure 9</w:t>
      </w:r>
      <w:r w:rsidRPr="003E6B3B">
        <w:rPr>
          <w:rFonts w:asciiTheme="majorHAnsi" w:hAnsiTheme="majorHAnsi"/>
          <w:noProof/>
          <w:sz w:val="22"/>
          <w:szCs w:val="22"/>
        </w:rPr>
        <w:t>. Three Field Map of Dataset 1</w:t>
      </w:r>
    </w:p>
    <w:p w14:paraId="3B2B795A" w14:textId="77777777" w:rsidR="00EE353A" w:rsidRPr="003E6B3B" w:rsidRDefault="00EE353A" w:rsidP="00EE353A">
      <w:pPr>
        <w:jc w:val="center"/>
        <w:rPr>
          <w:rFonts w:asciiTheme="majorHAnsi" w:hAnsiTheme="majorHAnsi"/>
          <w:noProof/>
          <w:sz w:val="22"/>
          <w:szCs w:val="22"/>
        </w:rPr>
      </w:pPr>
    </w:p>
    <w:p w14:paraId="316812A7" w14:textId="20DD4243" w:rsidR="00EE353A" w:rsidRPr="003E6B3B" w:rsidRDefault="00EE353A" w:rsidP="00EE353A">
      <w:pPr>
        <w:ind w:firstLine="360"/>
        <w:jc w:val="both"/>
        <w:rPr>
          <w:rFonts w:asciiTheme="majorHAnsi" w:hAnsiTheme="majorHAnsi"/>
          <w:noProof/>
          <w:sz w:val="22"/>
          <w:szCs w:val="22"/>
        </w:rPr>
      </w:pPr>
      <w:r w:rsidRPr="003E6B3B">
        <w:rPr>
          <w:rFonts w:asciiTheme="majorHAnsi" w:hAnsiTheme="majorHAnsi"/>
          <w:noProof/>
          <w:sz w:val="22"/>
          <w:szCs w:val="22"/>
        </w:rPr>
        <w:t>For example, for a study on the topic of the Benders Decomposition Method, the middle bar shows all authors do not yet present research on the topics “benders decomposition”, “adjustable robust optimization”, or “robust optimization” simultaneously, as well as in the country bar on the left. This means that research on the two topics has not been done much. In Figure 9, the keywords "multi-objective" and "polyhedral indeterminate sets" appear in the right-hand bar, thus supporting the assumption that the topic in this SLR article has not been studied much.</w:t>
      </w:r>
    </w:p>
    <w:p w14:paraId="32984F3D" w14:textId="77777777" w:rsidR="00EE353A" w:rsidRPr="003E6B3B" w:rsidRDefault="00EE353A" w:rsidP="00002FB9">
      <w:pPr>
        <w:pStyle w:val="IEEEParagraph"/>
        <w:rPr>
          <w:rFonts w:asciiTheme="majorHAnsi" w:hAnsiTheme="majorHAnsi"/>
          <w:lang w:val="en-US"/>
        </w:rPr>
      </w:pPr>
    </w:p>
    <w:p w14:paraId="7A309A09" w14:textId="6FA0989D" w:rsidR="00002FB9" w:rsidRPr="003E6B3B" w:rsidRDefault="00002FB9" w:rsidP="00002FB9">
      <w:pPr>
        <w:pStyle w:val="IEEEFigure"/>
        <w:numPr>
          <w:ilvl w:val="0"/>
          <w:numId w:val="14"/>
        </w:numPr>
        <w:spacing w:line="23" w:lineRule="atLeast"/>
        <w:jc w:val="left"/>
        <w:rPr>
          <w:rStyle w:val="longtext"/>
          <w:rFonts w:asciiTheme="majorHAnsi" w:hAnsiTheme="majorHAnsi"/>
          <w:b/>
          <w:shd w:val="clear" w:color="auto" w:fill="FFFFFF"/>
          <w:lang w:val="en-US"/>
        </w:rPr>
      </w:pPr>
      <w:r w:rsidRPr="003E6B3B">
        <w:rPr>
          <w:rStyle w:val="longtext"/>
          <w:rFonts w:asciiTheme="majorHAnsi" w:hAnsiTheme="majorHAnsi"/>
          <w:b/>
          <w:shd w:val="clear" w:color="auto" w:fill="FFFFFF"/>
          <w:lang w:val="en-US"/>
        </w:rPr>
        <w:t>The Result of Systematic Literature Review</w:t>
      </w:r>
    </w:p>
    <w:p w14:paraId="2802DAC2" w14:textId="40435DD7" w:rsidR="00002FB9" w:rsidRPr="003E6B3B" w:rsidRDefault="00EE353A" w:rsidP="00EE353A">
      <w:pPr>
        <w:pStyle w:val="IEEEParagraph"/>
        <w:spacing w:line="23" w:lineRule="atLeast"/>
        <w:ind w:firstLine="360"/>
        <w:rPr>
          <w:rStyle w:val="longtext"/>
          <w:rFonts w:asciiTheme="majorHAnsi" w:hAnsiTheme="majorHAnsi"/>
          <w:shd w:val="clear" w:color="auto" w:fill="FFFFFF"/>
          <w:lang w:val="en-US"/>
        </w:rPr>
      </w:pPr>
      <w:r w:rsidRPr="003E6B3B">
        <w:rPr>
          <w:rStyle w:val="longtext"/>
          <w:rFonts w:asciiTheme="majorHAnsi" w:hAnsiTheme="majorHAnsi"/>
          <w:shd w:val="clear" w:color="auto" w:fill="FFFFFF"/>
          <w:lang w:val="en-US"/>
        </w:rPr>
        <w:t>This section presents the study results from Dataset 2, namely a database containing six articles selected to the final stage as can be seen in Table 6. Articles in Dataset 2 were published within the 2013-2021 timeframe.</w:t>
      </w:r>
    </w:p>
    <w:p w14:paraId="67879AAE" w14:textId="235A5F07" w:rsidR="00002FB9" w:rsidRPr="003E6B3B" w:rsidRDefault="00002FB9" w:rsidP="0047524A">
      <w:pPr>
        <w:pStyle w:val="IEEEParagraph"/>
        <w:numPr>
          <w:ilvl w:val="0"/>
          <w:numId w:val="18"/>
        </w:numPr>
        <w:spacing w:line="23" w:lineRule="atLeast"/>
        <w:ind w:left="709" w:hanging="425"/>
        <w:rPr>
          <w:rStyle w:val="longtext"/>
          <w:rFonts w:asciiTheme="majorHAnsi" w:hAnsiTheme="majorHAnsi"/>
          <w:shd w:val="clear" w:color="auto" w:fill="FFFFFF"/>
          <w:lang w:val="en-US"/>
        </w:rPr>
      </w:pPr>
      <w:r w:rsidRPr="003E6B3B">
        <w:rPr>
          <w:rStyle w:val="longtext"/>
          <w:rFonts w:asciiTheme="majorHAnsi" w:hAnsiTheme="majorHAnsi"/>
          <w:shd w:val="clear" w:color="auto" w:fill="FFFFFF"/>
          <w:lang w:val="en-US"/>
        </w:rPr>
        <w:t>Methods and Application of Research Topics</w:t>
      </w:r>
    </w:p>
    <w:p w14:paraId="5CFC4A6F" w14:textId="51BA29C2" w:rsidR="00EE353A" w:rsidRPr="003E6B3B" w:rsidRDefault="00EE353A" w:rsidP="0047524A">
      <w:pPr>
        <w:pStyle w:val="IEEEParagraph"/>
        <w:spacing w:line="23" w:lineRule="atLeast"/>
        <w:ind w:left="567" w:firstLine="142"/>
        <w:rPr>
          <w:rStyle w:val="longtext"/>
          <w:rFonts w:asciiTheme="majorHAnsi" w:hAnsiTheme="majorHAnsi"/>
          <w:shd w:val="clear" w:color="auto" w:fill="FFFFFF"/>
          <w:lang w:val="en-US"/>
        </w:rPr>
      </w:pPr>
      <w:r w:rsidRPr="003E6B3B">
        <w:rPr>
          <w:rStyle w:val="longtext"/>
          <w:rFonts w:asciiTheme="majorHAnsi" w:hAnsiTheme="majorHAnsi"/>
          <w:shd w:val="clear" w:color="auto" w:fill="FFFFFF"/>
          <w:lang w:val="en-US"/>
        </w:rPr>
        <w:t>This section intends to answer RQ1: What methods have been used by previous researchers in dealing with the ARC multi-objective integer optimization model with a Polyhedral Uncertainty Set? Based on the results of Dataset 2, it is known that the six articles do not have more than one objective function (single objective function), so none of them fulfills our desired research topic. Furthermore, the six articles used the Mixed-integer Linear Programming (MILP) Method. The problems handled by the MILP must contain data that contains uncertainty, where ARC and the Benders Decomposition Method take the uncertainty of the data in the six articles. The specifications for using the Benders Decomposition Method in each article are listed in Table 7.</w:t>
      </w:r>
    </w:p>
    <w:p w14:paraId="6DE0E29F" w14:textId="6762E439" w:rsidR="0047524A" w:rsidRPr="003E6B3B" w:rsidRDefault="0047524A" w:rsidP="0047524A">
      <w:pPr>
        <w:pStyle w:val="IEEEParagraph"/>
        <w:spacing w:line="23" w:lineRule="atLeast"/>
        <w:ind w:left="567" w:firstLine="142"/>
        <w:rPr>
          <w:rStyle w:val="longtext"/>
          <w:rFonts w:asciiTheme="majorHAnsi" w:hAnsiTheme="majorHAnsi"/>
          <w:shd w:val="clear" w:color="auto" w:fill="FFFFFF"/>
          <w:lang w:val="en-US"/>
        </w:rPr>
      </w:pPr>
    </w:p>
    <w:p w14:paraId="57DA3F4A" w14:textId="6ABAD8E4" w:rsidR="0047524A" w:rsidRPr="003E6B3B" w:rsidRDefault="0047524A" w:rsidP="0047524A">
      <w:pPr>
        <w:pStyle w:val="IEEEParagraph"/>
        <w:spacing w:line="23" w:lineRule="atLeast"/>
        <w:ind w:left="567" w:firstLine="142"/>
        <w:rPr>
          <w:rStyle w:val="longtext"/>
          <w:rFonts w:asciiTheme="majorHAnsi" w:hAnsiTheme="majorHAnsi"/>
          <w:shd w:val="clear" w:color="auto" w:fill="FFFFFF"/>
          <w:lang w:val="en-US"/>
        </w:rPr>
      </w:pPr>
    </w:p>
    <w:p w14:paraId="1D1F88F5" w14:textId="5DD5E895" w:rsidR="0047524A" w:rsidRPr="003E6B3B" w:rsidRDefault="0047524A" w:rsidP="0047524A">
      <w:pPr>
        <w:pStyle w:val="IEEEParagraph"/>
        <w:spacing w:line="23" w:lineRule="atLeast"/>
        <w:ind w:left="567" w:firstLine="142"/>
        <w:rPr>
          <w:rStyle w:val="longtext"/>
          <w:rFonts w:asciiTheme="majorHAnsi" w:hAnsiTheme="majorHAnsi"/>
          <w:shd w:val="clear" w:color="auto" w:fill="FFFFFF"/>
          <w:lang w:val="en-US"/>
        </w:rPr>
      </w:pPr>
    </w:p>
    <w:p w14:paraId="72488434" w14:textId="6304A431" w:rsidR="0047524A" w:rsidRPr="003E6B3B" w:rsidRDefault="0047524A" w:rsidP="0047524A">
      <w:pPr>
        <w:pStyle w:val="IEEEParagraph"/>
        <w:spacing w:line="23" w:lineRule="atLeast"/>
        <w:ind w:left="567" w:firstLine="142"/>
        <w:rPr>
          <w:rStyle w:val="longtext"/>
          <w:rFonts w:asciiTheme="majorHAnsi" w:hAnsiTheme="majorHAnsi"/>
          <w:shd w:val="clear" w:color="auto" w:fill="FFFFFF"/>
          <w:lang w:val="en-US"/>
        </w:rPr>
      </w:pPr>
    </w:p>
    <w:p w14:paraId="441BDBD2" w14:textId="7BCCCFF7" w:rsidR="0047524A" w:rsidRPr="003E6B3B" w:rsidRDefault="0047524A" w:rsidP="0047524A">
      <w:pPr>
        <w:pStyle w:val="IEEEParagraph"/>
        <w:spacing w:line="23" w:lineRule="atLeast"/>
        <w:ind w:left="567" w:firstLine="142"/>
        <w:rPr>
          <w:rStyle w:val="longtext"/>
          <w:rFonts w:asciiTheme="majorHAnsi" w:hAnsiTheme="majorHAnsi"/>
          <w:shd w:val="clear" w:color="auto" w:fill="FFFFFF"/>
          <w:lang w:val="en-US"/>
        </w:rPr>
      </w:pPr>
    </w:p>
    <w:p w14:paraId="7B533E46" w14:textId="4388F3E6" w:rsidR="0047524A" w:rsidRPr="003E6B3B" w:rsidRDefault="0047524A" w:rsidP="0047524A">
      <w:pPr>
        <w:pStyle w:val="IEEEParagraph"/>
        <w:spacing w:line="23" w:lineRule="atLeast"/>
        <w:ind w:left="567" w:firstLine="142"/>
        <w:rPr>
          <w:rStyle w:val="longtext"/>
          <w:rFonts w:asciiTheme="majorHAnsi" w:hAnsiTheme="majorHAnsi"/>
          <w:shd w:val="clear" w:color="auto" w:fill="FFFFFF"/>
          <w:lang w:val="en-US"/>
        </w:rPr>
      </w:pPr>
    </w:p>
    <w:p w14:paraId="78018AC1" w14:textId="6E3503E6" w:rsidR="0047524A" w:rsidRPr="003E6B3B" w:rsidRDefault="0047524A" w:rsidP="0047524A">
      <w:pPr>
        <w:pStyle w:val="IEEEParagraph"/>
        <w:spacing w:line="23" w:lineRule="atLeast"/>
        <w:ind w:left="567" w:firstLine="142"/>
        <w:rPr>
          <w:rStyle w:val="longtext"/>
          <w:rFonts w:asciiTheme="majorHAnsi" w:hAnsiTheme="majorHAnsi"/>
          <w:shd w:val="clear" w:color="auto" w:fill="FFFFFF"/>
          <w:lang w:val="en-US"/>
        </w:rPr>
      </w:pPr>
    </w:p>
    <w:p w14:paraId="02E37D14" w14:textId="6C4218BE" w:rsidR="0047524A" w:rsidRPr="003E6B3B" w:rsidRDefault="0047524A" w:rsidP="0047524A">
      <w:pPr>
        <w:pStyle w:val="IEEEParagraph"/>
        <w:spacing w:line="23" w:lineRule="atLeast"/>
        <w:ind w:left="567" w:firstLine="142"/>
        <w:rPr>
          <w:rStyle w:val="longtext"/>
          <w:rFonts w:asciiTheme="majorHAnsi" w:hAnsiTheme="majorHAnsi"/>
          <w:shd w:val="clear" w:color="auto" w:fill="FFFFFF"/>
          <w:lang w:val="en-US"/>
        </w:rPr>
      </w:pPr>
    </w:p>
    <w:p w14:paraId="3EBC1EDF" w14:textId="51F92681" w:rsidR="0047524A" w:rsidRPr="003E6B3B" w:rsidRDefault="0047524A" w:rsidP="0047524A">
      <w:pPr>
        <w:pStyle w:val="IEEEParagraph"/>
        <w:spacing w:line="23" w:lineRule="atLeast"/>
        <w:ind w:left="567" w:firstLine="142"/>
        <w:rPr>
          <w:rStyle w:val="longtext"/>
          <w:rFonts w:asciiTheme="majorHAnsi" w:hAnsiTheme="majorHAnsi"/>
          <w:shd w:val="clear" w:color="auto" w:fill="FFFFFF"/>
          <w:lang w:val="en-US"/>
        </w:rPr>
      </w:pPr>
    </w:p>
    <w:p w14:paraId="5E47065E" w14:textId="77777777" w:rsidR="0047524A" w:rsidRPr="003E6B3B" w:rsidRDefault="0047524A" w:rsidP="0047524A">
      <w:pPr>
        <w:pStyle w:val="IEEEParagraph"/>
        <w:spacing w:line="23" w:lineRule="atLeast"/>
        <w:ind w:left="567" w:firstLine="142"/>
        <w:rPr>
          <w:rStyle w:val="longtext"/>
          <w:rFonts w:asciiTheme="majorHAnsi" w:hAnsiTheme="majorHAnsi"/>
          <w:shd w:val="clear" w:color="auto" w:fill="FFFFFF"/>
          <w:lang w:val="en-US"/>
        </w:rPr>
      </w:pPr>
    </w:p>
    <w:p w14:paraId="5B51FEC5" w14:textId="77777777" w:rsidR="00EE353A" w:rsidRPr="003E6B3B" w:rsidRDefault="00EE353A" w:rsidP="00EE353A">
      <w:pPr>
        <w:pStyle w:val="IEEEParagraph"/>
        <w:spacing w:line="23" w:lineRule="atLeast"/>
        <w:ind w:left="1004" w:firstLine="0"/>
        <w:rPr>
          <w:rStyle w:val="longtext"/>
          <w:rFonts w:asciiTheme="majorHAnsi" w:hAnsiTheme="majorHAnsi"/>
          <w:shd w:val="clear" w:color="auto" w:fill="FFFFFF"/>
          <w:lang w:val="en-US"/>
        </w:rPr>
      </w:pPr>
    </w:p>
    <w:p w14:paraId="4333B174" w14:textId="4E8033ED" w:rsidR="00EE353A" w:rsidRPr="003E6B3B" w:rsidRDefault="00EE353A" w:rsidP="00EE353A">
      <w:pPr>
        <w:jc w:val="center"/>
        <w:rPr>
          <w:rFonts w:asciiTheme="majorHAnsi" w:hAnsiTheme="majorHAnsi"/>
          <w:sz w:val="22"/>
          <w:szCs w:val="22"/>
        </w:rPr>
      </w:pPr>
      <w:r w:rsidRPr="003E6B3B">
        <w:rPr>
          <w:rFonts w:asciiTheme="majorHAnsi" w:hAnsiTheme="majorHAnsi"/>
          <w:b/>
          <w:bCs/>
          <w:sz w:val="22"/>
          <w:szCs w:val="22"/>
        </w:rPr>
        <w:lastRenderedPageBreak/>
        <w:t>Table 7</w:t>
      </w:r>
      <w:r w:rsidRPr="003E6B3B">
        <w:rPr>
          <w:rFonts w:asciiTheme="majorHAnsi" w:hAnsiTheme="majorHAnsi"/>
          <w:sz w:val="22"/>
          <w:szCs w:val="22"/>
        </w:rPr>
        <w:t>. State-of-the-art ARC Integer Optimization Model Using the Benders Decomposition Method</w:t>
      </w:r>
    </w:p>
    <w:tbl>
      <w:tblPr>
        <w:tblW w:w="10346" w:type="dxa"/>
        <w:jc w:val="center"/>
        <w:tblLayout w:type="fixed"/>
        <w:tblLook w:val="04A0" w:firstRow="1" w:lastRow="0" w:firstColumn="1" w:lastColumn="0" w:noHBand="0" w:noVBand="1"/>
      </w:tblPr>
      <w:tblGrid>
        <w:gridCol w:w="562"/>
        <w:gridCol w:w="1950"/>
        <w:gridCol w:w="1276"/>
        <w:gridCol w:w="1417"/>
        <w:gridCol w:w="5141"/>
      </w:tblGrid>
      <w:tr w:rsidR="00EE353A" w:rsidRPr="003E6B3B" w14:paraId="3BCCBB7F" w14:textId="77777777" w:rsidTr="00DC7269">
        <w:trPr>
          <w:trHeight w:val="500"/>
          <w:jc w:val="center"/>
        </w:trPr>
        <w:tc>
          <w:tcPr>
            <w:tcW w:w="562" w:type="dxa"/>
            <w:vMerge w:val="restart"/>
            <w:tcBorders>
              <w:top w:val="single" w:sz="4" w:space="0" w:color="auto"/>
              <w:bottom w:val="single" w:sz="4" w:space="0" w:color="auto"/>
            </w:tcBorders>
            <w:shd w:val="clear" w:color="auto" w:fill="auto"/>
            <w:vAlign w:val="center"/>
          </w:tcPr>
          <w:p w14:paraId="312B91F9" w14:textId="77777777" w:rsidR="00EE353A" w:rsidRPr="003E6B3B" w:rsidRDefault="00EE353A" w:rsidP="00DC7269">
            <w:pPr>
              <w:jc w:val="center"/>
              <w:rPr>
                <w:rFonts w:asciiTheme="majorHAnsi" w:hAnsiTheme="majorHAnsi"/>
                <w:b/>
                <w:bCs/>
                <w:sz w:val="22"/>
                <w:szCs w:val="22"/>
              </w:rPr>
            </w:pPr>
            <w:bookmarkStart w:id="3" w:name="_Hlk91682783"/>
            <w:r w:rsidRPr="003E6B3B">
              <w:rPr>
                <w:rFonts w:asciiTheme="majorHAnsi" w:hAnsiTheme="majorHAnsi"/>
                <w:b/>
                <w:bCs/>
                <w:sz w:val="22"/>
                <w:szCs w:val="22"/>
              </w:rPr>
              <w:t>No</w:t>
            </w:r>
          </w:p>
        </w:tc>
        <w:tc>
          <w:tcPr>
            <w:tcW w:w="1950" w:type="dxa"/>
            <w:vMerge w:val="restart"/>
            <w:tcBorders>
              <w:top w:val="single" w:sz="4" w:space="0" w:color="auto"/>
              <w:bottom w:val="single" w:sz="4" w:space="0" w:color="auto"/>
            </w:tcBorders>
            <w:shd w:val="clear" w:color="auto" w:fill="auto"/>
            <w:vAlign w:val="center"/>
          </w:tcPr>
          <w:p w14:paraId="6F8BC755" w14:textId="77777777" w:rsidR="00EE353A" w:rsidRPr="003E6B3B" w:rsidRDefault="00EE353A" w:rsidP="00DC7269">
            <w:pPr>
              <w:jc w:val="center"/>
              <w:rPr>
                <w:rFonts w:asciiTheme="majorHAnsi" w:hAnsiTheme="majorHAnsi"/>
                <w:b/>
                <w:bCs/>
                <w:sz w:val="22"/>
                <w:szCs w:val="22"/>
              </w:rPr>
            </w:pPr>
            <w:r w:rsidRPr="003E6B3B">
              <w:rPr>
                <w:rFonts w:asciiTheme="majorHAnsi" w:hAnsiTheme="majorHAnsi"/>
                <w:b/>
                <w:bCs/>
                <w:sz w:val="22"/>
                <w:szCs w:val="22"/>
              </w:rPr>
              <w:t>Authors</w:t>
            </w:r>
          </w:p>
        </w:tc>
        <w:tc>
          <w:tcPr>
            <w:tcW w:w="1276" w:type="dxa"/>
            <w:vMerge w:val="restart"/>
            <w:tcBorders>
              <w:top w:val="single" w:sz="4" w:space="0" w:color="auto"/>
              <w:bottom w:val="single" w:sz="4" w:space="0" w:color="auto"/>
            </w:tcBorders>
            <w:shd w:val="clear" w:color="auto" w:fill="auto"/>
            <w:vAlign w:val="center"/>
          </w:tcPr>
          <w:p w14:paraId="606B0BD3" w14:textId="77777777" w:rsidR="00EE353A" w:rsidRPr="003E6B3B" w:rsidRDefault="00EE353A" w:rsidP="00DC7269">
            <w:pPr>
              <w:jc w:val="center"/>
              <w:rPr>
                <w:rFonts w:asciiTheme="majorHAnsi" w:hAnsiTheme="majorHAnsi"/>
                <w:b/>
                <w:bCs/>
                <w:sz w:val="22"/>
                <w:szCs w:val="22"/>
              </w:rPr>
            </w:pPr>
            <w:r w:rsidRPr="003E6B3B">
              <w:rPr>
                <w:rFonts w:asciiTheme="majorHAnsi" w:hAnsiTheme="majorHAnsi"/>
                <w:b/>
                <w:bCs/>
                <w:sz w:val="22"/>
                <w:szCs w:val="22"/>
              </w:rPr>
              <w:t>Objective function</w:t>
            </w:r>
          </w:p>
        </w:tc>
        <w:tc>
          <w:tcPr>
            <w:tcW w:w="1417" w:type="dxa"/>
            <w:vMerge w:val="restart"/>
            <w:tcBorders>
              <w:top w:val="single" w:sz="4" w:space="0" w:color="auto"/>
              <w:bottom w:val="single" w:sz="4" w:space="0" w:color="auto"/>
            </w:tcBorders>
            <w:shd w:val="clear" w:color="auto" w:fill="auto"/>
            <w:vAlign w:val="center"/>
          </w:tcPr>
          <w:p w14:paraId="05B198EA" w14:textId="77777777" w:rsidR="00EE353A" w:rsidRPr="003E6B3B" w:rsidRDefault="00EE353A" w:rsidP="00DC7269">
            <w:pPr>
              <w:jc w:val="center"/>
              <w:rPr>
                <w:rFonts w:asciiTheme="majorHAnsi" w:hAnsiTheme="majorHAnsi"/>
                <w:b/>
                <w:bCs/>
                <w:sz w:val="22"/>
                <w:szCs w:val="22"/>
              </w:rPr>
            </w:pPr>
            <w:r w:rsidRPr="003E6B3B">
              <w:rPr>
                <w:rFonts w:asciiTheme="majorHAnsi" w:hAnsiTheme="majorHAnsi"/>
                <w:b/>
                <w:bCs/>
                <w:sz w:val="22"/>
                <w:szCs w:val="22"/>
              </w:rPr>
              <w:t>Method</w:t>
            </w:r>
          </w:p>
        </w:tc>
        <w:tc>
          <w:tcPr>
            <w:tcW w:w="5141" w:type="dxa"/>
            <w:vMerge w:val="restart"/>
            <w:tcBorders>
              <w:top w:val="single" w:sz="4" w:space="0" w:color="auto"/>
              <w:bottom w:val="single" w:sz="4" w:space="0" w:color="auto"/>
            </w:tcBorders>
            <w:shd w:val="clear" w:color="auto" w:fill="auto"/>
            <w:vAlign w:val="center"/>
          </w:tcPr>
          <w:p w14:paraId="0943F4C5" w14:textId="77777777" w:rsidR="00EE353A" w:rsidRPr="003E6B3B" w:rsidRDefault="00EE353A" w:rsidP="00DC7269">
            <w:pPr>
              <w:jc w:val="center"/>
              <w:rPr>
                <w:rFonts w:asciiTheme="majorHAnsi" w:hAnsiTheme="majorHAnsi"/>
                <w:b/>
                <w:bCs/>
                <w:sz w:val="22"/>
                <w:szCs w:val="22"/>
              </w:rPr>
            </w:pPr>
            <w:r w:rsidRPr="003E6B3B">
              <w:rPr>
                <w:rFonts w:asciiTheme="majorHAnsi" w:hAnsiTheme="majorHAnsi"/>
                <w:b/>
                <w:bCs/>
                <w:sz w:val="22"/>
                <w:szCs w:val="22"/>
              </w:rPr>
              <w:t>Application of the Bender's</w:t>
            </w:r>
          </w:p>
          <w:p w14:paraId="0F11E00B" w14:textId="77777777" w:rsidR="00EE353A" w:rsidRPr="003E6B3B" w:rsidRDefault="00EE353A" w:rsidP="00DC7269">
            <w:pPr>
              <w:jc w:val="center"/>
              <w:rPr>
                <w:rFonts w:asciiTheme="majorHAnsi" w:hAnsiTheme="majorHAnsi"/>
                <w:b/>
                <w:bCs/>
                <w:sz w:val="22"/>
                <w:szCs w:val="22"/>
              </w:rPr>
            </w:pPr>
            <w:r w:rsidRPr="003E6B3B">
              <w:rPr>
                <w:rFonts w:asciiTheme="majorHAnsi" w:hAnsiTheme="majorHAnsi"/>
                <w:b/>
                <w:bCs/>
                <w:sz w:val="22"/>
                <w:szCs w:val="22"/>
              </w:rPr>
              <w:t xml:space="preserve"> Decomposition Method</w:t>
            </w:r>
          </w:p>
        </w:tc>
      </w:tr>
      <w:tr w:rsidR="00EE353A" w:rsidRPr="003E6B3B" w14:paraId="1C90B93C" w14:textId="77777777" w:rsidTr="00DC7269">
        <w:trPr>
          <w:trHeight w:val="500"/>
          <w:jc w:val="center"/>
        </w:trPr>
        <w:tc>
          <w:tcPr>
            <w:tcW w:w="562" w:type="dxa"/>
            <w:vMerge/>
            <w:tcBorders>
              <w:bottom w:val="single" w:sz="4" w:space="0" w:color="auto"/>
            </w:tcBorders>
            <w:shd w:val="clear" w:color="auto" w:fill="auto"/>
            <w:vAlign w:val="center"/>
          </w:tcPr>
          <w:p w14:paraId="3841C523" w14:textId="77777777" w:rsidR="00EE353A" w:rsidRPr="003E6B3B" w:rsidRDefault="00EE353A" w:rsidP="00DC7269">
            <w:pPr>
              <w:jc w:val="center"/>
              <w:rPr>
                <w:rFonts w:asciiTheme="majorHAnsi" w:hAnsiTheme="majorHAnsi"/>
                <w:sz w:val="22"/>
                <w:szCs w:val="22"/>
              </w:rPr>
            </w:pPr>
          </w:p>
        </w:tc>
        <w:tc>
          <w:tcPr>
            <w:tcW w:w="1950" w:type="dxa"/>
            <w:vMerge/>
            <w:tcBorders>
              <w:bottom w:val="single" w:sz="4" w:space="0" w:color="auto"/>
            </w:tcBorders>
            <w:shd w:val="clear" w:color="auto" w:fill="auto"/>
            <w:vAlign w:val="center"/>
          </w:tcPr>
          <w:p w14:paraId="4E34ACED" w14:textId="77777777" w:rsidR="00EE353A" w:rsidRPr="003E6B3B" w:rsidRDefault="00EE353A" w:rsidP="00DC7269">
            <w:pPr>
              <w:jc w:val="center"/>
              <w:rPr>
                <w:rFonts w:asciiTheme="majorHAnsi" w:hAnsiTheme="majorHAnsi"/>
                <w:sz w:val="22"/>
                <w:szCs w:val="22"/>
              </w:rPr>
            </w:pPr>
          </w:p>
        </w:tc>
        <w:tc>
          <w:tcPr>
            <w:tcW w:w="1276" w:type="dxa"/>
            <w:vMerge/>
            <w:tcBorders>
              <w:bottom w:val="single" w:sz="4" w:space="0" w:color="auto"/>
            </w:tcBorders>
            <w:shd w:val="clear" w:color="auto" w:fill="auto"/>
            <w:vAlign w:val="center"/>
          </w:tcPr>
          <w:p w14:paraId="55DAD870" w14:textId="77777777" w:rsidR="00EE353A" w:rsidRPr="003E6B3B" w:rsidRDefault="00EE353A" w:rsidP="00DC7269">
            <w:pPr>
              <w:jc w:val="center"/>
              <w:rPr>
                <w:rFonts w:asciiTheme="majorHAnsi" w:hAnsiTheme="majorHAnsi"/>
                <w:i/>
                <w:iCs/>
                <w:sz w:val="22"/>
                <w:szCs w:val="22"/>
              </w:rPr>
            </w:pPr>
          </w:p>
        </w:tc>
        <w:tc>
          <w:tcPr>
            <w:tcW w:w="1417" w:type="dxa"/>
            <w:vMerge/>
            <w:tcBorders>
              <w:bottom w:val="single" w:sz="4" w:space="0" w:color="auto"/>
            </w:tcBorders>
            <w:shd w:val="clear" w:color="auto" w:fill="auto"/>
            <w:vAlign w:val="center"/>
          </w:tcPr>
          <w:p w14:paraId="47AE2072" w14:textId="77777777" w:rsidR="00EE353A" w:rsidRPr="003E6B3B" w:rsidRDefault="00EE353A" w:rsidP="00DC7269">
            <w:pPr>
              <w:jc w:val="center"/>
              <w:rPr>
                <w:rFonts w:asciiTheme="majorHAnsi" w:hAnsiTheme="majorHAnsi"/>
                <w:sz w:val="22"/>
                <w:szCs w:val="22"/>
              </w:rPr>
            </w:pPr>
          </w:p>
        </w:tc>
        <w:tc>
          <w:tcPr>
            <w:tcW w:w="5141" w:type="dxa"/>
            <w:vMerge/>
            <w:tcBorders>
              <w:bottom w:val="single" w:sz="4" w:space="0" w:color="auto"/>
            </w:tcBorders>
            <w:shd w:val="clear" w:color="auto" w:fill="auto"/>
            <w:vAlign w:val="center"/>
          </w:tcPr>
          <w:p w14:paraId="7E1F947F" w14:textId="77777777" w:rsidR="00EE353A" w:rsidRPr="003E6B3B" w:rsidRDefault="00EE353A" w:rsidP="00DC7269">
            <w:pPr>
              <w:jc w:val="center"/>
              <w:rPr>
                <w:rFonts w:asciiTheme="majorHAnsi" w:hAnsiTheme="majorHAnsi"/>
                <w:sz w:val="22"/>
                <w:szCs w:val="22"/>
              </w:rPr>
            </w:pPr>
          </w:p>
        </w:tc>
      </w:tr>
      <w:tr w:rsidR="00EE353A" w:rsidRPr="003E6B3B" w14:paraId="74644FCC" w14:textId="77777777" w:rsidTr="00DC7269">
        <w:trPr>
          <w:trHeight w:val="517"/>
          <w:jc w:val="center"/>
        </w:trPr>
        <w:tc>
          <w:tcPr>
            <w:tcW w:w="562" w:type="dxa"/>
            <w:tcBorders>
              <w:top w:val="single" w:sz="4" w:space="0" w:color="auto"/>
              <w:bottom w:val="single" w:sz="4" w:space="0" w:color="auto"/>
            </w:tcBorders>
            <w:shd w:val="clear" w:color="auto" w:fill="auto"/>
            <w:vAlign w:val="center"/>
          </w:tcPr>
          <w:p w14:paraId="771EF841" w14:textId="77777777" w:rsidR="00EE353A" w:rsidRPr="003E6B3B" w:rsidRDefault="00EE353A" w:rsidP="00DC7269">
            <w:pPr>
              <w:jc w:val="center"/>
              <w:rPr>
                <w:rFonts w:asciiTheme="majorHAnsi" w:hAnsiTheme="majorHAnsi"/>
                <w:sz w:val="22"/>
                <w:szCs w:val="22"/>
              </w:rPr>
            </w:pPr>
            <w:r w:rsidRPr="003E6B3B">
              <w:rPr>
                <w:rFonts w:asciiTheme="majorHAnsi" w:hAnsiTheme="majorHAnsi"/>
                <w:sz w:val="22"/>
                <w:szCs w:val="22"/>
              </w:rPr>
              <w:t>1</w:t>
            </w:r>
          </w:p>
        </w:tc>
        <w:tc>
          <w:tcPr>
            <w:tcW w:w="1950" w:type="dxa"/>
            <w:tcBorders>
              <w:top w:val="single" w:sz="4" w:space="0" w:color="auto"/>
              <w:bottom w:val="single" w:sz="4" w:space="0" w:color="auto"/>
            </w:tcBorders>
            <w:shd w:val="clear" w:color="auto" w:fill="auto"/>
            <w:vAlign w:val="center"/>
          </w:tcPr>
          <w:p w14:paraId="7A26BE0F" w14:textId="3288E328" w:rsidR="00EE353A" w:rsidRPr="003E6B3B" w:rsidRDefault="006271CA" w:rsidP="00DC7269">
            <w:pPr>
              <w:jc w:val="center"/>
              <w:rPr>
                <w:rFonts w:asciiTheme="majorHAnsi" w:hAnsiTheme="majorHAnsi"/>
                <w:sz w:val="22"/>
                <w:szCs w:val="22"/>
                <w:vertAlign w:val="superscript"/>
              </w:rPr>
            </w:pPr>
            <w:r w:rsidRPr="003E6B3B">
              <w:rPr>
                <w:rFonts w:asciiTheme="majorHAnsi" w:hAnsiTheme="majorHAnsi"/>
                <w:sz w:val="22"/>
                <w:szCs w:val="22"/>
                <w:vertAlign w:val="superscript"/>
              </w:rPr>
              <w:fldChar w:fldCharType="begin" w:fldLock="1"/>
            </w:r>
            <w:r w:rsidRPr="003E6B3B">
              <w:rPr>
                <w:rFonts w:asciiTheme="majorHAnsi" w:hAnsiTheme="majorHAnsi"/>
                <w:sz w:val="22"/>
                <w:szCs w:val="22"/>
                <w:vertAlign w:val="superscript"/>
              </w:rPr>
              <w:instrText>ADDIN CSL_CITATION {"citationItems":[{"id":"ITEM-1","itemData":{"DOI":"10.1002/net.21486","ISSN":"00283045","abstract":"We consider a network design problem in which flow bifurcations are allowed. The demand data are assumed to be uncertain, and the uncertainties of demands are expressed by an uncertainty set. The goal is to install facilities on the edges at minimum cost. The solution should be able to deliver any of the demand requirements defined in the uncertainty set. We propose an exact solution algorithm based on a decomposition approach in which the problem is decomposed into two distinct problems: (1) designing edge capacities; and (2) checking the feasibility of the designed edge capacities with respect to the uncertain demand requirements. The algorithm is a special case of the Benders decomposition method. We show that the robust version of the Benders subproblem can be formulated as a linear program whose size is polynomially bounded. We also propose a simultaneous cut generation scheme to accelerate convergence of the Benders decomposition algorithm. Computational results on real-life telecommunication problems are reported, and these demonstrate that robust solutions with very small penalties in the objective values can be obtained. © 2012 Wiley Periodicals, Inc. Networks, 2013. Copyright © 2012 Wiley Periodicals, Inc.","author":[{"dropping-particle":"","family":"Lee","given":"Chungmok","non-dropping-particle":"","parse-names":false,"suffix":""},{"dropping-particle":"","family":"Lee","given":"Kyungsik","non-dropping-particle":"","parse-names":false,"suffix":""},{"dropping-particle":"","family":"Park","given":"Sungsoo","non-dropping-particle":"","parse-names":false,"suffix":""}],"container-title":"Networks","id":"ITEM-1","issue":"1","issued":{"date-parts":[["2013"]]},"page":"1-16","title":"Benders decomposition approach for the robust network design problem with flow bifurcations","type":"article-journal","volume":"62"},"uris":["http://www.mendeley.com/documents/?uuid=b1659cd2-8c6c-40b8-b51d-8c7f38266ac1"]}],"mendeley":{"formattedCitation":"(Lee et al., 2013)","manualFormatting":"Lee et al., 2013","plainTextFormattedCitation":"(Lee et al., 2013)","previouslyFormattedCitation":"(Lee et al., 2013)"},"properties":{"noteIndex":0},"schema":"https://github.com/citation-style-language/schema/raw/master/csl-citation.json"}</w:instrText>
            </w:r>
            <w:r w:rsidRPr="003E6B3B">
              <w:rPr>
                <w:rFonts w:asciiTheme="majorHAnsi" w:hAnsiTheme="majorHAnsi"/>
                <w:sz w:val="22"/>
                <w:szCs w:val="22"/>
                <w:vertAlign w:val="superscript"/>
              </w:rPr>
              <w:fldChar w:fldCharType="separate"/>
            </w:r>
            <w:r w:rsidRPr="003E6B3B">
              <w:rPr>
                <w:rFonts w:asciiTheme="majorHAnsi" w:hAnsiTheme="majorHAnsi"/>
                <w:noProof/>
                <w:sz w:val="22"/>
                <w:szCs w:val="22"/>
              </w:rPr>
              <w:t>Lee et al., 2013</w:t>
            </w:r>
            <w:r w:rsidRPr="003E6B3B">
              <w:rPr>
                <w:rFonts w:asciiTheme="majorHAnsi" w:hAnsiTheme="majorHAnsi"/>
                <w:sz w:val="22"/>
                <w:szCs w:val="22"/>
                <w:vertAlign w:val="superscript"/>
              </w:rPr>
              <w:fldChar w:fldCharType="end"/>
            </w:r>
          </w:p>
        </w:tc>
        <w:tc>
          <w:tcPr>
            <w:tcW w:w="1276" w:type="dxa"/>
            <w:vMerge w:val="restart"/>
            <w:tcBorders>
              <w:top w:val="single" w:sz="4" w:space="0" w:color="auto"/>
              <w:bottom w:val="single" w:sz="4" w:space="0" w:color="auto"/>
            </w:tcBorders>
            <w:shd w:val="clear" w:color="auto" w:fill="auto"/>
            <w:vAlign w:val="center"/>
          </w:tcPr>
          <w:p w14:paraId="3B564DBF" w14:textId="77777777" w:rsidR="00EE353A" w:rsidRPr="003E6B3B" w:rsidRDefault="00EE353A" w:rsidP="00DC7269">
            <w:pPr>
              <w:jc w:val="center"/>
              <w:rPr>
                <w:rFonts w:asciiTheme="majorHAnsi" w:hAnsiTheme="majorHAnsi"/>
                <w:sz w:val="22"/>
                <w:szCs w:val="22"/>
              </w:rPr>
            </w:pPr>
            <w:r w:rsidRPr="003E6B3B">
              <w:rPr>
                <w:rFonts w:asciiTheme="majorHAnsi" w:hAnsiTheme="majorHAnsi"/>
                <w:sz w:val="22"/>
                <w:szCs w:val="22"/>
              </w:rPr>
              <w:t>Single</w:t>
            </w:r>
          </w:p>
        </w:tc>
        <w:tc>
          <w:tcPr>
            <w:tcW w:w="1417" w:type="dxa"/>
            <w:vMerge w:val="restart"/>
            <w:tcBorders>
              <w:top w:val="single" w:sz="4" w:space="0" w:color="auto"/>
              <w:bottom w:val="single" w:sz="4" w:space="0" w:color="auto"/>
            </w:tcBorders>
            <w:shd w:val="clear" w:color="auto" w:fill="auto"/>
            <w:vAlign w:val="center"/>
          </w:tcPr>
          <w:p w14:paraId="78F15B72" w14:textId="77777777" w:rsidR="00EE353A" w:rsidRPr="003E6B3B" w:rsidRDefault="00EE353A" w:rsidP="00DC7269">
            <w:pPr>
              <w:jc w:val="center"/>
              <w:rPr>
                <w:rFonts w:asciiTheme="majorHAnsi" w:hAnsiTheme="majorHAnsi"/>
                <w:sz w:val="22"/>
                <w:szCs w:val="22"/>
              </w:rPr>
            </w:pPr>
            <w:r w:rsidRPr="003E6B3B">
              <w:rPr>
                <w:rFonts w:asciiTheme="majorHAnsi" w:hAnsiTheme="majorHAnsi"/>
                <w:sz w:val="22"/>
                <w:szCs w:val="22"/>
              </w:rPr>
              <w:t>MILP and ARC Polyhedral</w:t>
            </w:r>
          </w:p>
        </w:tc>
        <w:tc>
          <w:tcPr>
            <w:tcW w:w="5141" w:type="dxa"/>
            <w:tcBorders>
              <w:top w:val="single" w:sz="4" w:space="0" w:color="auto"/>
              <w:bottom w:val="single" w:sz="4" w:space="0" w:color="auto"/>
            </w:tcBorders>
            <w:shd w:val="clear" w:color="auto" w:fill="auto"/>
            <w:vAlign w:val="center"/>
          </w:tcPr>
          <w:p w14:paraId="5E4E140E" w14:textId="77777777" w:rsidR="00EE353A" w:rsidRPr="003E6B3B" w:rsidRDefault="00EE353A" w:rsidP="00DC7269">
            <w:pPr>
              <w:jc w:val="both"/>
              <w:rPr>
                <w:rFonts w:asciiTheme="majorHAnsi" w:hAnsiTheme="majorHAnsi"/>
                <w:sz w:val="22"/>
                <w:szCs w:val="22"/>
              </w:rPr>
            </w:pPr>
            <w:r w:rsidRPr="003E6B3B">
              <w:rPr>
                <w:rFonts w:asciiTheme="majorHAnsi" w:hAnsiTheme="majorHAnsi"/>
                <w:sz w:val="22"/>
                <w:szCs w:val="22"/>
              </w:rPr>
              <w:t>Two-stage polynomial finite MILP optimization model with simultaneous cut generation scheme to check the convergence of the Benders Decomposition Method</w:t>
            </w:r>
          </w:p>
        </w:tc>
      </w:tr>
      <w:tr w:rsidR="00EE353A" w:rsidRPr="003E6B3B" w14:paraId="0788D769" w14:textId="77777777" w:rsidTr="00DC7269">
        <w:trPr>
          <w:jc w:val="center"/>
        </w:trPr>
        <w:tc>
          <w:tcPr>
            <w:tcW w:w="562" w:type="dxa"/>
            <w:tcBorders>
              <w:top w:val="single" w:sz="4" w:space="0" w:color="auto"/>
              <w:bottom w:val="single" w:sz="4" w:space="0" w:color="auto"/>
            </w:tcBorders>
            <w:shd w:val="clear" w:color="auto" w:fill="auto"/>
            <w:vAlign w:val="center"/>
          </w:tcPr>
          <w:p w14:paraId="475648D5" w14:textId="77777777" w:rsidR="00EE353A" w:rsidRPr="003E6B3B" w:rsidRDefault="00EE353A" w:rsidP="00DC7269">
            <w:pPr>
              <w:jc w:val="center"/>
              <w:rPr>
                <w:rFonts w:asciiTheme="majorHAnsi" w:hAnsiTheme="majorHAnsi"/>
                <w:sz w:val="22"/>
                <w:szCs w:val="22"/>
              </w:rPr>
            </w:pPr>
            <w:r w:rsidRPr="003E6B3B">
              <w:rPr>
                <w:rFonts w:asciiTheme="majorHAnsi" w:hAnsiTheme="majorHAnsi"/>
                <w:sz w:val="22"/>
                <w:szCs w:val="22"/>
              </w:rPr>
              <w:t>2</w:t>
            </w:r>
          </w:p>
        </w:tc>
        <w:tc>
          <w:tcPr>
            <w:tcW w:w="1950" w:type="dxa"/>
            <w:tcBorders>
              <w:top w:val="single" w:sz="4" w:space="0" w:color="auto"/>
              <w:bottom w:val="single" w:sz="4" w:space="0" w:color="auto"/>
            </w:tcBorders>
            <w:shd w:val="clear" w:color="auto" w:fill="auto"/>
            <w:vAlign w:val="center"/>
          </w:tcPr>
          <w:p w14:paraId="5434F9CE" w14:textId="1F2CDA95" w:rsidR="00EE353A" w:rsidRPr="003E6B3B" w:rsidRDefault="006271CA" w:rsidP="00DC7269">
            <w:pPr>
              <w:jc w:val="center"/>
              <w:rPr>
                <w:rFonts w:asciiTheme="majorHAnsi" w:hAnsiTheme="majorHAnsi"/>
                <w:sz w:val="22"/>
                <w:szCs w:val="22"/>
                <w:vertAlign w:val="superscript"/>
              </w:rPr>
            </w:pPr>
            <w:r w:rsidRPr="003E6B3B">
              <w:rPr>
                <w:rFonts w:asciiTheme="majorHAnsi" w:hAnsiTheme="majorHAnsi"/>
                <w:sz w:val="22"/>
                <w:szCs w:val="22"/>
                <w:vertAlign w:val="superscript"/>
              </w:rPr>
              <w:fldChar w:fldCharType="begin" w:fldLock="1"/>
            </w:r>
            <w:r w:rsidRPr="003E6B3B">
              <w:rPr>
                <w:rFonts w:asciiTheme="majorHAnsi" w:hAnsiTheme="majorHAnsi"/>
                <w:sz w:val="22"/>
                <w:szCs w:val="22"/>
                <w:vertAlign w:val="superscript"/>
              </w:rPr>
              <w:instrText>ADDIN CSL_CITATION {"citationItems":[{"id":"ITEM-1","itemData":{"DOI":"10.1007/s10479-012-1110-9","abstract":"This paper presents a stochastic mixed integer programming model for a comprehensive hybrid power system design problem, including renewable energy generation, storage device, transmission network, and thermal generators, for remote areas. Given the complexity of the model, we developed a Benders’ decomposition algorithm with two additional types of cutting planes: Pareto-optimal cuts generated using a modified Magnanti-Wong method and cuts generated from a maximum feasible subsystem. Computational results show significant improvement in our ability to solve this type of problem in comparison to a state-of-the-art professional solver. This model and the solution algorithm provide an analytical decision support tool for the hybrid power system design problem.","author":[{"dropping-particle":"","family":"Kuznia","given":"Ludwig","non-dropping-particle":"","parse-names":false,"suffix":""},{"dropping-particle":"","family":"Zeng","given":"Bo","non-dropping-particle":"","parse-names":false,"suffix":""},{"dropping-particle":"","family":"Centeno","given":"Grisselle","non-dropping-particle":"","parse-names":false,"suffix":""},{"dropping-particle":"","family":"Miao","given":"Zhixin","non-dropping-particle":"","parse-names":false,"suffix":""}],"container-title":"Annals of Operations Research","id":"ITEM-1","issue":"1","issued":{"date-parts":[["2013"]]},"note":"http://www.optimization-online.org/DB_FILE/2011/02/2926.pdf","page":"411-432","title":"Stochastic optimization for power system configuration with renewable energy in remote areas","type":"article-journal","volume":"210"},"uris":["http://www.mendeley.com/documents/?uuid=ee88594f-ee49-48a5-b07a-0c0cd32ce6c5"]}],"mendeley":{"formattedCitation":"(Kuznia et al., 2013)","manualFormatting":"Kuznia et al., 2013","plainTextFormattedCitation":"(Kuznia et al., 2013)","previouslyFormattedCitation":"(Kuznia et al., 2013)"},"properties":{"noteIndex":0},"schema":"https://github.com/citation-style-language/schema/raw/master/csl-citation.json"}</w:instrText>
            </w:r>
            <w:r w:rsidRPr="003E6B3B">
              <w:rPr>
                <w:rFonts w:asciiTheme="majorHAnsi" w:hAnsiTheme="majorHAnsi"/>
                <w:sz w:val="22"/>
                <w:szCs w:val="22"/>
                <w:vertAlign w:val="superscript"/>
              </w:rPr>
              <w:fldChar w:fldCharType="separate"/>
            </w:r>
            <w:r w:rsidRPr="003E6B3B">
              <w:rPr>
                <w:rFonts w:asciiTheme="majorHAnsi" w:hAnsiTheme="majorHAnsi"/>
                <w:noProof/>
                <w:sz w:val="22"/>
                <w:szCs w:val="22"/>
              </w:rPr>
              <w:t>Kuznia et al., 2013</w:t>
            </w:r>
            <w:r w:rsidRPr="003E6B3B">
              <w:rPr>
                <w:rFonts w:asciiTheme="majorHAnsi" w:hAnsiTheme="majorHAnsi"/>
                <w:sz w:val="22"/>
                <w:szCs w:val="22"/>
                <w:vertAlign w:val="superscript"/>
              </w:rPr>
              <w:fldChar w:fldCharType="end"/>
            </w:r>
          </w:p>
        </w:tc>
        <w:tc>
          <w:tcPr>
            <w:tcW w:w="1276" w:type="dxa"/>
            <w:vMerge/>
            <w:tcBorders>
              <w:top w:val="single" w:sz="4" w:space="0" w:color="auto"/>
              <w:bottom w:val="single" w:sz="4" w:space="0" w:color="auto"/>
            </w:tcBorders>
            <w:shd w:val="clear" w:color="auto" w:fill="auto"/>
            <w:vAlign w:val="center"/>
          </w:tcPr>
          <w:p w14:paraId="0F60394B" w14:textId="77777777" w:rsidR="00EE353A" w:rsidRPr="003E6B3B" w:rsidRDefault="00EE353A" w:rsidP="00DC7269">
            <w:pPr>
              <w:jc w:val="center"/>
              <w:rPr>
                <w:rFonts w:asciiTheme="majorHAnsi" w:hAnsiTheme="majorHAnsi"/>
                <w:sz w:val="22"/>
                <w:szCs w:val="22"/>
              </w:rPr>
            </w:pPr>
          </w:p>
        </w:tc>
        <w:tc>
          <w:tcPr>
            <w:tcW w:w="1417" w:type="dxa"/>
            <w:vMerge/>
            <w:tcBorders>
              <w:top w:val="single" w:sz="4" w:space="0" w:color="auto"/>
              <w:bottom w:val="single" w:sz="4" w:space="0" w:color="auto"/>
            </w:tcBorders>
            <w:shd w:val="clear" w:color="auto" w:fill="auto"/>
            <w:vAlign w:val="center"/>
          </w:tcPr>
          <w:p w14:paraId="7982A379" w14:textId="77777777" w:rsidR="00EE353A" w:rsidRPr="003E6B3B" w:rsidRDefault="00EE353A" w:rsidP="00DC7269">
            <w:pPr>
              <w:jc w:val="center"/>
              <w:rPr>
                <w:rFonts w:asciiTheme="majorHAnsi" w:hAnsiTheme="majorHAnsi"/>
                <w:sz w:val="22"/>
                <w:szCs w:val="22"/>
              </w:rPr>
            </w:pPr>
          </w:p>
        </w:tc>
        <w:tc>
          <w:tcPr>
            <w:tcW w:w="5141" w:type="dxa"/>
            <w:tcBorders>
              <w:top w:val="single" w:sz="4" w:space="0" w:color="auto"/>
              <w:bottom w:val="single" w:sz="4" w:space="0" w:color="auto"/>
            </w:tcBorders>
            <w:shd w:val="clear" w:color="auto" w:fill="auto"/>
            <w:vAlign w:val="center"/>
          </w:tcPr>
          <w:p w14:paraId="23C63FC3" w14:textId="77777777" w:rsidR="00EE353A" w:rsidRPr="003E6B3B" w:rsidRDefault="00EE353A" w:rsidP="00DC7269">
            <w:pPr>
              <w:jc w:val="both"/>
              <w:rPr>
                <w:rFonts w:asciiTheme="majorHAnsi" w:hAnsiTheme="majorHAnsi"/>
                <w:sz w:val="22"/>
                <w:szCs w:val="22"/>
              </w:rPr>
            </w:pPr>
            <w:r w:rsidRPr="003E6B3B">
              <w:rPr>
                <w:rFonts w:asciiTheme="majorHAnsi" w:hAnsiTheme="majorHAnsi"/>
                <w:sz w:val="22"/>
                <w:szCs w:val="22"/>
              </w:rPr>
              <w:t>Two-stage Robust Optimization Model with a column-and-constraint algorithm compared to the Benders Decomposition Method</w:t>
            </w:r>
          </w:p>
        </w:tc>
      </w:tr>
      <w:tr w:rsidR="00EE353A" w:rsidRPr="003E6B3B" w14:paraId="3E7A07B5" w14:textId="77777777" w:rsidTr="00DC7269">
        <w:trPr>
          <w:jc w:val="center"/>
        </w:trPr>
        <w:tc>
          <w:tcPr>
            <w:tcW w:w="562" w:type="dxa"/>
            <w:tcBorders>
              <w:top w:val="single" w:sz="4" w:space="0" w:color="auto"/>
              <w:bottom w:val="single" w:sz="4" w:space="0" w:color="auto"/>
            </w:tcBorders>
            <w:shd w:val="clear" w:color="auto" w:fill="auto"/>
            <w:vAlign w:val="center"/>
          </w:tcPr>
          <w:p w14:paraId="27BC9A22" w14:textId="77777777" w:rsidR="00EE353A" w:rsidRPr="003E6B3B" w:rsidRDefault="00EE353A" w:rsidP="00DC7269">
            <w:pPr>
              <w:jc w:val="center"/>
              <w:rPr>
                <w:rFonts w:asciiTheme="majorHAnsi" w:hAnsiTheme="majorHAnsi"/>
                <w:sz w:val="22"/>
                <w:szCs w:val="22"/>
              </w:rPr>
            </w:pPr>
            <w:r w:rsidRPr="003E6B3B">
              <w:rPr>
                <w:rFonts w:asciiTheme="majorHAnsi" w:hAnsiTheme="majorHAnsi"/>
                <w:sz w:val="22"/>
                <w:szCs w:val="22"/>
              </w:rPr>
              <w:t>3</w:t>
            </w:r>
          </w:p>
        </w:tc>
        <w:tc>
          <w:tcPr>
            <w:tcW w:w="1950" w:type="dxa"/>
            <w:tcBorders>
              <w:top w:val="single" w:sz="4" w:space="0" w:color="auto"/>
              <w:bottom w:val="single" w:sz="4" w:space="0" w:color="auto"/>
            </w:tcBorders>
            <w:shd w:val="clear" w:color="auto" w:fill="auto"/>
            <w:vAlign w:val="center"/>
          </w:tcPr>
          <w:p w14:paraId="0971CCAB" w14:textId="57A329AC" w:rsidR="00EE353A" w:rsidRPr="003E6B3B" w:rsidRDefault="006271CA" w:rsidP="00DC7269">
            <w:pPr>
              <w:jc w:val="center"/>
              <w:rPr>
                <w:rFonts w:asciiTheme="majorHAnsi" w:hAnsiTheme="majorHAnsi"/>
                <w:sz w:val="22"/>
                <w:szCs w:val="22"/>
                <w:vertAlign w:val="superscript"/>
              </w:rPr>
            </w:pPr>
            <w:r w:rsidRPr="003E6B3B">
              <w:rPr>
                <w:rFonts w:asciiTheme="majorHAnsi" w:hAnsiTheme="majorHAnsi"/>
                <w:sz w:val="22"/>
                <w:szCs w:val="22"/>
                <w:vertAlign w:val="superscript"/>
              </w:rPr>
              <w:fldChar w:fldCharType="begin" w:fldLock="1"/>
            </w:r>
            <w:r w:rsidRPr="003E6B3B">
              <w:rPr>
                <w:rFonts w:asciiTheme="majorHAnsi" w:hAnsiTheme="majorHAnsi"/>
                <w:sz w:val="22"/>
                <w:szCs w:val="22"/>
                <w:vertAlign w:val="superscript"/>
              </w:rPr>
              <w:instrText>ADDIN CSL_CITATION {"citationItems":[{"id":"ITEM-1","itemData":{"DOI":"10.1109/TPWRS.2012.2205021","ISSN":"08858950","abstract":"Unit commitment, one of the most critical tasks in electric power system operations, faces new challenges as the supply and demand uncertainty increases dramatically due to the integration of variable generation resources such as wind power and price responsive demand. To meet these challenges, we propose a two-stage adaptive robust unit commitment model for the security constrained unit commitment problem in the presence of nodal net injection uncertainty. Compared to the conventional stochastic programming approach, the proposed model is more practical in that it only requires a deterministic uncertainty set, rather than a hard-to-obtain probability distribution on the uncertain data. The unit commitment solutions of the proposed model are robust against all possible realizations of the modeled uncertainty. We develop a practical solution methodology based on a combination of Benders decomposition type algorithm and the outer approximation technique. We present an extensive numerical study on the real-world large scale power system operated by the ISO New England. Computational results demonstrate the economic and operational advantages of our model over the traditional reserve adjustment approach. © 2012 IEEE.","author":[{"dropping-particle":"","family":"Bertsimas","given":"Dimitris","non-dropping-particle":"","parse-names":false,"suffix":""},{"dropping-particle":"","family":"Litvinov","given":"Eugene","non-dropping-particle":"","parse-names":false,"suffix":""},{"dropping-particle":"","family":"Sun","given":"Xu Andy","non-dropping-particle":"","parse-names":false,"suffix":""},{"dropping-particle":"","family":"Zhao","given":"Jinye","non-dropping-particle":"","parse-names":false,"suffix":""},{"dropping-particle":"","family":"Zheng","given":"Tongxin","non-dropping-particle":"","parse-names":false,"suffix":""}],"container-title":"IEEE Transactions on Power Systems","id":"ITEM-1","issue":"1","issued":{"date-parts":[["2013"]]},"page":"52-63","title":"Adaptive robust optimization for the security constrained unit commitment problem","type":"article-journal","volume":"28"},"uris":["http://www.mendeley.com/documents/?uuid=885a79e2-74cb-49a7-9575-fbc37422c1ab"]}],"mendeley":{"formattedCitation":"(Bertsimas et al., 2013)","manualFormatting":"Bertsimas et al., 2013","plainTextFormattedCitation":"(Bertsimas et al., 2013)","previouslyFormattedCitation":"(Bertsimas et al., 2013)"},"properties":{"noteIndex":0},"schema":"https://github.com/citation-style-language/schema/raw/master/csl-citation.json"}</w:instrText>
            </w:r>
            <w:r w:rsidRPr="003E6B3B">
              <w:rPr>
                <w:rFonts w:asciiTheme="majorHAnsi" w:hAnsiTheme="majorHAnsi"/>
                <w:sz w:val="22"/>
                <w:szCs w:val="22"/>
                <w:vertAlign w:val="superscript"/>
              </w:rPr>
              <w:fldChar w:fldCharType="separate"/>
            </w:r>
            <w:r w:rsidRPr="003E6B3B">
              <w:rPr>
                <w:rFonts w:asciiTheme="majorHAnsi" w:hAnsiTheme="majorHAnsi"/>
                <w:noProof/>
                <w:sz w:val="22"/>
                <w:szCs w:val="22"/>
              </w:rPr>
              <w:t>Bertsimas et al., 2013</w:t>
            </w:r>
            <w:r w:rsidRPr="003E6B3B">
              <w:rPr>
                <w:rFonts w:asciiTheme="majorHAnsi" w:hAnsiTheme="majorHAnsi"/>
                <w:sz w:val="22"/>
                <w:szCs w:val="22"/>
                <w:vertAlign w:val="superscript"/>
              </w:rPr>
              <w:fldChar w:fldCharType="end"/>
            </w:r>
          </w:p>
        </w:tc>
        <w:tc>
          <w:tcPr>
            <w:tcW w:w="1276" w:type="dxa"/>
            <w:vMerge/>
            <w:tcBorders>
              <w:top w:val="single" w:sz="4" w:space="0" w:color="auto"/>
              <w:bottom w:val="single" w:sz="4" w:space="0" w:color="auto"/>
            </w:tcBorders>
            <w:shd w:val="clear" w:color="auto" w:fill="auto"/>
            <w:vAlign w:val="center"/>
          </w:tcPr>
          <w:p w14:paraId="6DC56614" w14:textId="77777777" w:rsidR="00EE353A" w:rsidRPr="003E6B3B" w:rsidRDefault="00EE353A" w:rsidP="00DC7269">
            <w:pPr>
              <w:jc w:val="center"/>
              <w:rPr>
                <w:rFonts w:asciiTheme="majorHAnsi" w:hAnsiTheme="majorHAnsi"/>
                <w:sz w:val="22"/>
                <w:szCs w:val="22"/>
              </w:rPr>
            </w:pPr>
          </w:p>
        </w:tc>
        <w:tc>
          <w:tcPr>
            <w:tcW w:w="1417" w:type="dxa"/>
            <w:vMerge/>
            <w:tcBorders>
              <w:top w:val="single" w:sz="4" w:space="0" w:color="auto"/>
              <w:bottom w:val="single" w:sz="4" w:space="0" w:color="auto"/>
            </w:tcBorders>
            <w:shd w:val="clear" w:color="auto" w:fill="auto"/>
            <w:vAlign w:val="center"/>
          </w:tcPr>
          <w:p w14:paraId="48EA02AE" w14:textId="77777777" w:rsidR="00EE353A" w:rsidRPr="003E6B3B" w:rsidRDefault="00EE353A" w:rsidP="00DC7269">
            <w:pPr>
              <w:jc w:val="center"/>
              <w:rPr>
                <w:rFonts w:asciiTheme="majorHAnsi" w:hAnsiTheme="majorHAnsi"/>
                <w:sz w:val="22"/>
                <w:szCs w:val="22"/>
              </w:rPr>
            </w:pPr>
          </w:p>
        </w:tc>
        <w:tc>
          <w:tcPr>
            <w:tcW w:w="5141" w:type="dxa"/>
            <w:vMerge w:val="restart"/>
            <w:tcBorders>
              <w:top w:val="single" w:sz="4" w:space="0" w:color="auto"/>
              <w:bottom w:val="single" w:sz="4" w:space="0" w:color="auto"/>
            </w:tcBorders>
            <w:shd w:val="clear" w:color="auto" w:fill="auto"/>
            <w:vAlign w:val="center"/>
          </w:tcPr>
          <w:p w14:paraId="547598F6" w14:textId="77777777" w:rsidR="00EE353A" w:rsidRPr="003E6B3B" w:rsidRDefault="00EE353A" w:rsidP="00DC7269">
            <w:pPr>
              <w:jc w:val="both"/>
              <w:rPr>
                <w:rFonts w:asciiTheme="majorHAnsi" w:hAnsiTheme="majorHAnsi"/>
                <w:sz w:val="22"/>
                <w:szCs w:val="22"/>
              </w:rPr>
            </w:pPr>
            <w:r w:rsidRPr="003E6B3B">
              <w:rPr>
                <w:rFonts w:asciiTheme="majorHAnsi" w:hAnsiTheme="majorHAnsi"/>
                <w:sz w:val="22"/>
                <w:szCs w:val="22"/>
              </w:rPr>
              <w:t>Two-stage MILP optimization model</w:t>
            </w:r>
          </w:p>
        </w:tc>
      </w:tr>
      <w:tr w:rsidR="00EE353A" w:rsidRPr="003E6B3B" w14:paraId="1220E6EF" w14:textId="77777777" w:rsidTr="00DC7269">
        <w:trPr>
          <w:jc w:val="center"/>
        </w:trPr>
        <w:tc>
          <w:tcPr>
            <w:tcW w:w="562" w:type="dxa"/>
            <w:tcBorders>
              <w:top w:val="single" w:sz="4" w:space="0" w:color="auto"/>
              <w:bottom w:val="single" w:sz="4" w:space="0" w:color="auto"/>
            </w:tcBorders>
            <w:shd w:val="clear" w:color="auto" w:fill="auto"/>
            <w:vAlign w:val="center"/>
          </w:tcPr>
          <w:p w14:paraId="6A868BA2" w14:textId="77777777" w:rsidR="00EE353A" w:rsidRPr="003E6B3B" w:rsidRDefault="00EE353A" w:rsidP="00DC7269">
            <w:pPr>
              <w:jc w:val="center"/>
              <w:rPr>
                <w:rFonts w:asciiTheme="majorHAnsi" w:hAnsiTheme="majorHAnsi"/>
                <w:sz w:val="22"/>
                <w:szCs w:val="22"/>
              </w:rPr>
            </w:pPr>
            <w:r w:rsidRPr="003E6B3B">
              <w:rPr>
                <w:rFonts w:asciiTheme="majorHAnsi" w:hAnsiTheme="majorHAnsi"/>
                <w:sz w:val="22"/>
                <w:szCs w:val="22"/>
              </w:rPr>
              <w:t>4</w:t>
            </w:r>
          </w:p>
        </w:tc>
        <w:tc>
          <w:tcPr>
            <w:tcW w:w="1950" w:type="dxa"/>
            <w:tcBorders>
              <w:top w:val="single" w:sz="4" w:space="0" w:color="auto"/>
              <w:bottom w:val="single" w:sz="4" w:space="0" w:color="auto"/>
            </w:tcBorders>
            <w:shd w:val="clear" w:color="auto" w:fill="auto"/>
            <w:vAlign w:val="center"/>
          </w:tcPr>
          <w:p w14:paraId="46A7C0BC" w14:textId="3533DDAA" w:rsidR="00EE353A" w:rsidRPr="003E6B3B" w:rsidRDefault="006271CA" w:rsidP="00DC7269">
            <w:pPr>
              <w:jc w:val="center"/>
              <w:rPr>
                <w:rFonts w:asciiTheme="majorHAnsi" w:hAnsiTheme="majorHAnsi"/>
                <w:sz w:val="22"/>
                <w:szCs w:val="22"/>
                <w:vertAlign w:val="superscript"/>
              </w:rPr>
            </w:pPr>
            <w:r w:rsidRPr="003E6B3B">
              <w:rPr>
                <w:rFonts w:asciiTheme="majorHAnsi" w:hAnsiTheme="majorHAnsi"/>
                <w:sz w:val="22"/>
                <w:szCs w:val="22"/>
                <w:vertAlign w:val="superscript"/>
              </w:rPr>
              <w:fldChar w:fldCharType="begin" w:fldLock="1"/>
            </w:r>
            <w:r w:rsidRPr="003E6B3B">
              <w:rPr>
                <w:rFonts w:asciiTheme="majorHAnsi" w:hAnsiTheme="majorHAnsi"/>
                <w:sz w:val="22"/>
                <w:szCs w:val="22"/>
                <w:vertAlign w:val="superscript"/>
              </w:rPr>
              <w:instrText>ADDIN CSL_CITATION {"citationItems":[{"id":"ITEM-1","itemData":{"DOI":"10.1016/j.cie.2017.04.036","ISSN":"03608352","abstract":"This study proposes a novel reliable hierarchical location-allocation model for health service network designs where facilities are subject to the risk of disruptions. To characterize the relationship between various levels of the concerned health network, a two-level multi-flow nested hierarchy with service referral is taken into account. The queuing system is considered in the model which handles uncertainty associated with demand as well as service. To ensure the service quality, a minimum limit reflected in the probability of patients’ waiting time is defined. The proposed model is formulated based on a two-stage robust optimization approach in which decisions are defined in two stages such that a first-stage solution should be robust against the possible realizations of the disruption that can only be revealed in a second stage. A solution procedure based on Benders decomposition type algorithm is implemented to solve the model. To illustrate the applicability of the proposed model, a practical case study is presented. The results show that the proposed model can be applied as a flexible decision support tool for decision makers to adopt appropriate strategies and policies in designing a reliable and robust health service network.","author":[{"dropping-particle":"","family":"Zarrinpoor","given":"Naeme","non-dropping-particle":"","parse-names":false,"suffix":""},{"dropping-particle":"","family":"Fallahnezhad","given":"Mohammad Saber","non-dropping-particle":"","parse-names":false,"suffix":""},{"dropping-particle":"","family":"Pishvaee","given":"Mir Saman","non-dropping-particle":"","parse-names":false,"suffix":""}],"container-title":"Computers and Industrial Engineering","id":"ITEM-1","issue":"November 2018","issued":{"date-parts":[["2017"]]},"page":"130-150","title":"Design of a reliable hierarchical location-allocation model under disruptions for health service networks: A two-stage robust approach","type":"article-journal","volume":"109"},"uris":["http://www.mendeley.com/documents/?uuid=c138da2d-e8f1-4a3d-b465-a6c239e57f9c"]}],"mendeley":{"formattedCitation":"(Zarrinpoor et al., 2017)","manualFormatting":"Zarrinpoor et al., 2017","plainTextFormattedCitation":"(Zarrinpoor et al., 2017)","previouslyFormattedCitation":"(Zarrinpoor et al., 2017)"},"properties":{"noteIndex":0},"schema":"https://github.com/citation-style-language/schema/raw/master/csl-citation.json"}</w:instrText>
            </w:r>
            <w:r w:rsidRPr="003E6B3B">
              <w:rPr>
                <w:rFonts w:asciiTheme="majorHAnsi" w:hAnsiTheme="majorHAnsi"/>
                <w:sz w:val="22"/>
                <w:szCs w:val="22"/>
                <w:vertAlign w:val="superscript"/>
              </w:rPr>
              <w:fldChar w:fldCharType="separate"/>
            </w:r>
            <w:r w:rsidRPr="003E6B3B">
              <w:rPr>
                <w:rFonts w:asciiTheme="majorHAnsi" w:hAnsiTheme="majorHAnsi"/>
                <w:noProof/>
                <w:sz w:val="22"/>
                <w:szCs w:val="22"/>
              </w:rPr>
              <w:t>Zarrinpoor et al., 2017</w:t>
            </w:r>
            <w:r w:rsidRPr="003E6B3B">
              <w:rPr>
                <w:rFonts w:asciiTheme="majorHAnsi" w:hAnsiTheme="majorHAnsi"/>
                <w:sz w:val="22"/>
                <w:szCs w:val="22"/>
                <w:vertAlign w:val="superscript"/>
              </w:rPr>
              <w:fldChar w:fldCharType="end"/>
            </w:r>
          </w:p>
        </w:tc>
        <w:tc>
          <w:tcPr>
            <w:tcW w:w="1276" w:type="dxa"/>
            <w:vMerge/>
            <w:tcBorders>
              <w:top w:val="single" w:sz="4" w:space="0" w:color="auto"/>
              <w:bottom w:val="single" w:sz="4" w:space="0" w:color="auto"/>
            </w:tcBorders>
            <w:shd w:val="clear" w:color="auto" w:fill="auto"/>
            <w:vAlign w:val="center"/>
          </w:tcPr>
          <w:p w14:paraId="2C99C1F1" w14:textId="77777777" w:rsidR="00EE353A" w:rsidRPr="003E6B3B" w:rsidRDefault="00EE353A" w:rsidP="00DC7269">
            <w:pPr>
              <w:jc w:val="center"/>
              <w:rPr>
                <w:rFonts w:asciiTheme="majorHAnsi" w:hAnsiTheme="majorHAnsi"/>
                <w:sz w:val="22"/>
                <w:szCs w:val="22"/>
              </w:rPr>
            </w:pPr>
          </w:p>
        </w:tc>
        <w:tc>
          <w:tcPr>
            <w:tcW w:w="1417" w:type="dxa"/>
            <w:vMerge/>
            <w:tcBorders>
              <w:top w:val="single" w:sz="4" w:space="0" w:color="auto"/>
              <w:bottom w:val="single" w:sz="4" w:space="0" w:color="auto"/>
            </w:tcBorders>
            <w:shd w:val="clear" w:color="auto" w:fill="auto"/>
            <w:vAlign w:val="center"/>
          </w:tcPr>
          <w:p w14:paraId="21B205A2" w14:textId="77777777" w:rsidR="00EE353A" w:rsidRPr="003E6B3B" w:rsidRDefault="00EE353A" w:rsidP="00DC7269">
            <w:pPr>
              <w:jc w:val="center"/>
              <w:rPr>
                <w:rFonts w:asciiTheme="majorHAnsi" w:hAnsiTheme="majorHAnsi"/>
                <w:sz w:val="22"/>
                <w:szCs w:val="22"/>
              </w:rPr>
            </w:pPr>
          </w:p>
        </w:tc>
        <w:tc>
          <w:tcPr>
            <w:tcW w:w="5141" w:type="dxa"/>
            <w:vMerge/>
            <w:tcBorders>
              <w:top w:val="single" w:sz="4" w:space="0" w:color="auto"/>
              <w:bottom w:val="single" w:sz="4" w:space="0" w:color="auto"/>
            </w:tcBorders>
            <w:shd w:val="clear" w:color="auto" w:fill="auto"/>
            <w:vAlign w:val="center"/>
          </w:tcPr>
          <w:p w14:paraId="458ECB7A" w14:textId="77777777" w:rsidR="00EE353A" w:rsidRPr="003E6B3B" w:rsidRDefault="00EE353A" w:rsidP="00DC7269">
            <w:pPr>
              <w:jc w:val="both"/>
              <w:rPr>
                <w:rFonts w:asciiTheme="majorHAnsi" w:hAnsiTheme="majorHAnsi"/>
                <w:sz w:val="22"/>
                <w:szCs w:val="22"/>
              </w:rPr>
            </w:pPr>
          </w:p>
        </w:tc>
      </w:tr>
      <w:tr w:rsidR="00EE353A" w:rsidRPr="003E6B3B" w14:paraId="53852124" w14:textId="77777777" w:rsidTr="00DC7269">
        <w:trPr>
          <w:jc w:val="center"/>
        </w:trPr>
        <w:tc>
          <w:tcPr>
            <w:tcW w:w="562" w:type="dxa"/>
            <w:tcBorders>
              <w:top w:val="single" w:sz="4" w:space="0" w:color="auto"/>
              <w:bottom w:val="single" w:sz="4" w:space="0" w:color="auto"/>
            </w:tcBorders>
            <w:shd w:val="clear" w:color="auto" w:fill="auto"/>
            <w:vAlign w:val="center"/>
          </w:tcPr>
          <w:p w14:paraId="1348099D" w14:textId="77777777" w:rsidR="00EE353A" w:rsidRPr="003E6B3B" w:rsidRDefault="00EE353A" w:rsidP="00DC7269">
            <w:pPr>
              <w:jc w:val="center"/>
              <w:rPr>
                <w:rFonts w:asciiTheme="majorHAnsi" w:hAnsiTheme="majorHAnsi"/>
                <w:sz w:val="22"/>
                <w:szCs w:val="22"/>
              </w:rPr>
            </w:pPr>
            <w:r w:rsidRPr="003E6B3B">
              <w:rPr>
                <w:rFonts w:asciiTheme="majorHAnsi" w:hAnsiTheme="majorHAnsi"/>
                <w:sz w:val="22"/>
                <w:szCs w:val="22"/>
              </w:rPr>
              <w:t>5</w:t>
            </w:r>
          </w:p>
        </w:tc>
        <w:tc>
          <w:tcPr>
            <w:tcW w:w="1950" w:type="dxa"/>
            <w:tcBorders>
              <w:top w:val="single" w:sz="4" w:space="0" w:color="auto"/>
              <w:bottom w:val="single" w:sz="4" w:space="0" w:color="auto"/>
            </w:tcBorders>
            <w:shd w:val="clear" w:color="auto" w:fill="auto"/>
            <w:vAlign w:val="center"/>
          </w:tcPr>
          <w:p w14:paraId="4DA574A5" w14:textId="38743EDE" w:rsidR="00EE353A" w:rsidRPr="003E6B3B" w:rsidRDefault="006271CA" w:rsidP="00DC7269">
            <w:pPr>
              <w:jc w:val="center"/>
              <w:rPr>
                <w:rFonts w:asciiTheme="majorHAnsi" w:hAnsiTheme="majorHAnsi"/>
                <w:sz w:val="22"/>
                <w:szCs w:val="22"/>
                <w:vertAlign w:val="superscript"/>
              </w:rPr>
            </w:pPr>
            <w:r w:rsidRPr="003E6B3B">
              <w:rPr>
                <w:rFonts w:asciiTheme="majorHAnsi" w:hAnsiTheme="majorHAnsi"/>
                <w:sz w:val="22"/>
                <w:szCs w:val="22"/>
                <w:vertAlign w:val="superscript"/>
              </w:rPr>
              <w:fldChar w:fldCharType="begin" w:fldLock="1"/>
            </w:r>
            <w:r w:rsidRPr="003E6B3B">
              <w:rPr>
                <w:rFonts w:asciiTheme="majorHAnsi" w:hAnsiTheme="majorHAnsi"/>
                <w:sz w:val="22"/>
                <w:szCs w:val="22"/>
                <w:vertAlign w:val="superscript"/>
              </w:rPr>
              <w:instrText>ADDIN CSL_CITATION {"citationItems":[{"id":"ITEM-1","itemData":{"DOI":"10.1287/ijoc.2019.0928","abstract":"This paper addresses a class of two-stage robust optimization models with an exponential number of scenarios given implicitly. We apply Dantzig–Wolfe decomposition to exploit the structure of these models and show that the original problem reduces to a single-stage robust problem. We propose a Benders algorithm for the reformulated single-stage problem. We also develop a heuristic algorithm that dualizes the linear programming relaxation of the inner maximization problem in the reformulated model and iteratively generates cuts to shape the convex hull of the uncertainty set. We combine this heuristic with the Benders algorithm to create a more effective hybrid Benders algorithm. Because the master problem and subproblem in the Benders algorithm are mixed-integer programs, it is computationally demanding to solve them optimally at each iteration of the algorithm. Therefore, we develop novel stopping conditions for these mixed-integer programs and provide the relevant convergence proofs. Extensive computational experiments on a nurse planning problem and a two-echelon supply chain problem are performed to evaluate the efficiency of the proposed algorithms.","author":[{"dropping-particle":"","family":"Hashemi Doulabi","given":"Hossein","non-dropping-particle":"","parse-names":false,"suffix":""},{"dropping-particle":"","family":"Jaillet","given":"Patrick","non-dropping-particle":"","parse-names":false,"suffix":""},{"dropping-particle":"","family":"Pesant","given":"Gilles","non-dropping-particle":"","parse-names":false,"suffix":""},{"dropping-particle":"","family":"Rousseau","given":"Louis-Martin","non-dropping-particle":"","parse-names":false,"suffix":""}],"container-title":"INFORMS Journal on Computing","id":"ITEM-1","issue":"1","issued":{"date-parts":[["2021"]]},"note":"https://dspace.mit.edu/bitstream/1721.1/129328/2/ijc19.pdf","page":"143-162","title":"Exploiting the Structure of Two-Stage Robust Optimization Models with Exponential Scenarios","type":"article-journal","volume":"33"},"uris":["http://www.mendeley.com/documents/?uuid=62dc50c3-78ee-4c7d-a7b0-9a17d7b71808"]}],"mendeley":{"formattedCitation":"(Hashemi Doulabi et al., 2021)","manualFormatting":"Hashemi Doulabi et al., 2021","plainTextFormattedCitation":"(Hashemi Doulabi et al., 2021)","previouslyFormattedCitation":"(Hashemi Doulabi et al., 2021)"},"properties":{"noteIndex":0},"schema":"https://github.com/citation-style-language/schema/raw/master/csl-citation.json"}</w:instrText>
            </w:r>
            <w:r w:rsidRPr="003E6B3B">
              <w:rPr>
                <w:rFonts w:asciiTheme="majorHAnsi" w:hAnsiTheme="majorHAnsi"/>
                <w:sz w:val="22"/>
                <w:szCs w:val="22"/>
                <w:vertAlign w:val="superscript"/>
              </w:rPr>
              <w:fldChar w:fldCharType="separate"/>
            </w:r>
            <w:r w:rsidRPr="003E6B3B">
              <w:rPr>
                <w:rFonts w:asciiTheme="majorHAnsi" w:hAnsiTheme="majorHAnsi"/>
                <w:noProof/>
                <w:sz w:val="22"/>
                <w:szCs w:val="22"/>
              </w:rPr>
              <w:t>Hashemi Doulabi et al., 2021</w:t>
            </w:r>
            <w:r w:rsidRPr="003E6B3B">
              <w:rPr>
                <w:rFonts w:asciiTheme="majorHAnsi" w:hAnsiTheme="majorHAnsi"/>
                <w:sz w:val="22"/>
                <w:szCs w:val="22"/>
                <w:vertAlign w:val="superscript"/>
              </w:rPr>
              <w:fldChar w:fldCharType="end"/>
            </w:r>
          </w:p>
        </w:tc>
        <w:tc>
          <w:tcPr>
            <w:tcW w:w="1276" w:type="dxa"/>
            <w:vMerge/>
            <w:tcBorders>
              <w:top w:val="single" w:sz="4" w:space="0" w:color="auto"/>
              <w:bottom w:val="single" w:sz="4" w:space="0" w:color="auto"/>
            </w:tcBorders>
            <w:shd w:val="clear" w:color="auto" w:fill="auto"/>
            <w:vAlign w:val="center"/>
          </w:tcPr>
          <w:p w14:paraId="5F78C903" w14:textId="77777777" w:rsidR="00EE353A" w:rsidRPr="003E6B3B" w:rsidRDefault="00EE353A" w:rsidP="00DC7269">
            <w:pPr>
              <w:jc w:val="center"/>
              <w:rPr>
                <w:rFonts w:asciiTheme="majorHAnsi" w:hAnsiTheme="majorHAnsi"/>
                <w:sz w:val="22"/>
                <w:szCs w:val="22"/>
              </w:rPr>
            </w:pPr>
          </w:p>
        </w:tc>
        <w:tc>
          <w:tcPr>
            <w:tcW w:w="1417" w:type="dxa"/>
            <w:vMerge/>
            <w:tcBorders>
              <w:top w:val="single" w:sz="4" w:space="0" w:color="auto"/>
              <w:bottom w:val="single" w:sz="4" w:space="0" w:color="auto"/>
            </w:tcBorders>
            <w:shd w:val="clear" w:color="auto" w:fill="auto"/>
            <w:vAlign w:val="center"/>
          </w:tcPr>
          <w:p w14:paraId="37C46795" w14:textId="77777777" w:rsidR="00EE353A" w:rsidRPr="003E6B3B" w:rsidRDefault="00EE353A" w:rsidP="00DC7269">
            <w:pPr>
              <w:jc w:val="center"/>
              <w:rPr>
                <w:rFonts w:asciiTheme="majorHAnsi" w:hAnsiTheme="majorHAnsi"/>
                <w:sz w:val="22"/>
                <w:szCs w:val="22"/>
              </w:rPr>
            </w:pPr>
          </w:p>
        </w:tc>
        <w:tc>
          <w:tcPr>
            <w:tcW w:w="5141" w:type="dxa"/>
            <w:tcBorders>
              <w:top w:val="single" w:sz="4" w:space="0" w:color="auto"/>
              <w:bottom w:val="single" w:sz="4" w:space="0" w:color="auto"/>
            </w:tcBorders>
            <w:shd w:val="clear" w:color="auto" w:fill="auto"/>
            <w:vAlign w:val="center"/>
          </w:tcPr>
          <w:p w14:paraId="04C6A3C3" w14:textId="77777777" w:rsidR="00EE353A" w:rsidRPr="003E6B3B" w:rsidRDefault="00EE353A" w:rsidP="00DC7269">
            <w:pPr>
              <w:jc w:val="both"/>
              <w:rPr>
                <w:rFonts w:asciiTheme="majorHAnsi" w:hAnsiTheme="majorHAnsi"/>
                <w:sz w:val="22"/>
                <w:szCs w:val="22"/>
              </w:rPr>
            </w:pPr>
            <w:r w:rsidRPr="003E6B3B">
              <w:rPr>
                <w:rFonts w:asciiTheme="majorHAnsi" w:hAnsiTheme="majorHAnsi"/>
                <w:sz w:val="22"/>
                <w:szCs w:val="22"/>
              </w:rPr>
              <w:t>Two-stage MILP optimization model by comparing the optimal solution between the Benders decomposition method and the Dantzig-Wolfe decomposition method</w:t>
            </w:r>
          </w:p>
        </w:tc>
      </w:tr>
      <w:tr w:rsidR="00EE353A" w:rsidRPr="003E6B3B" w14:paraId="744086AC" w14:textId="77777777" w:rsidTr="00EE353A">
        <w:trPr>
          <w:trHeight w:val="328"/>
          <w:jc w:val="center"/>
        </w:trPr>
        <w:tc>
          <w:tcPr>
            <w:tcW w:w="562" w:type="dxa"/>
            <w:tcBorders>
              <w:top w:val="single" w:sz="4" w:space="0" w:color="auto"/>
              <w:bottom w:val="single" w:sz="4" w:space="0" w:color="auto"/>
            </w:tcBorders>
            <w:shd w:val="clear" w:color="auto" w:fill="auto"/>
            <w:vAlign w:val="center"/>
          </w:tcPr>
          <w:p w14:paraId="35554FD9" w14:textId="77777777" w:rsidR="00EE353A" w:rsidRPr="003E6B3B" w:rsidRDefault="00EE353A" w:rsidP="00DC7269">
            <w:pPr>
              <w:jc w:val="center"/>
              <w:rPr>
                <w:rFonts w:asciiTheme="majorHAnsi" w:hAnsiTheme="majorHAnsi"/>
                <w:sz w:val="22"/>
                <w:szCs w:val="22"/>
              </w:rPr>
            </w:pPr>
            <w:r w:rsidRPr="003E6B3B">
              <w:rPr>
                <w:rFonts w:asciiTheme="majorHAnsi" w:hAnsiTheme="majorHAnsi"/>
                <w:sz w:val="22"/>
                <w:szCs w:val="22"/>
              </w:rPr>
              <w:t>6</w:t>
            </w:r>
          </w:p>
        </w:tc>
        <w:tc>
          <w:tcPr>
            <w:tcW w:w="1950" w:type="dxa"/>
            <w:tcBorders>
              <w:top w:val="single" w:sz="4" w:space="0" w:color="auto"/>
              <w:bottom w:val="single" w:sz="4" w:space="0" w:color="auto"/>
            </w:tcBorders>
            <w:shd w:val="clear" w:color="auto" w:fill="auto"/>
            <w:vAlign w:val="center"/>
          </w:tcPr>
          <w:p w14:paraId="24E515A5" w14:textId="2653698A" w:rsidR="00EE353A" w:rsidRPr="003E6B3B" w:rsidRDefault="006271CA" w:rsidP="00DC7269">
            <w:pPr>
              <w:jc w:val="center"/>
              <w:rPr>
                <w:rFonts w:asciiTheme="majorHAnsi" w:hAnsiTheme="majorHAnsi"/>
                <w:sz w:val="22"/>
                <w:szCs w:val="22"/>
                <w:vertAlign w:val="superscript"/>
              </w:rPr>
            </w:pPr>
            <w:r w:rsidRPr="003E6B3B">
              <w:rPr>
                <w:rFonts w:asciiTheme="majorHAnsi" w:hAnsiTheme="majorHAnsi"/>
                <w:sz w:val="22"/>
                <w:szCs w:val="22"/>
                <w:vertAlign w:val="superscript"/>
              </w:rPr>
              <w:fldChar w:fldCharType="begin" w:fldLock="1"/>
            </w:r>
            <w:r w:rsidRPr="003E6B3B">
              <w:rPr>
                <w:rFonts w:asciiTheme="majorHAnsi" w:hAnsiTheme="majorHAnsi"/>
                <w:sz w:val="22"/>
                <w:szCs w:val="22"/>
                <w:vertAlign w:val="superscript"/>
              </w:rPr>
              <w:instrText>ADDIN CSL_CITATION {"citationItems":[{"id":"ITEM-1","itemData":{"DOI":"10.1016/j.orl.2021.07.007","ISSN":"01676377","abstract":"We study decomposition methods for two-stage data-driven Wasserstein-based DROs with right-hand-sided uncertainty and rectangular support. We propose a novel finite reformulation that explores the rectangular uncertainty support to develop and test five new different decomposition schemes: Column-Constraint Generation, Single-cut and Multi-cut Benders, as well as Regularized Single-cut and Multi-cut Benders. We compare the efficiency of the proposed methods for a unit commitment problem with 14 and 54 thermal generators whose uncertainty vector differs from a 24 to 240-dimensional array.","author":[{"dropping-particle":"","family":"Gamboa","given":"Carlos Andrés","non-dropping-particle":"","parse-names":false,"suffix":""},{"dropping-particle":"","family":"Valladão","given":"Davi Michel","non-dropping-particle":"","parse-names":false,"suffix":""},{"dropping-particle":"","family":"Street","given":"Alexandre","non-dropping-particle":"","parse-names":false,"suffix":""},{"dropping-particle":"","family":"Homem-de-Mello","given":"Tito","non-dropping-particle":"","parse-names":false,"suffix":""}],"container-title":"Operations Research Letters","id":"ITEM-1","issue":"5","issued":{"date-parts":[["2021"]]},"page":"696-702","publisher":"Elsevier B.V.","title":"Decomposition methods for Wasserstein-based data-driven distributionally robust problems","type":"article-journal","volume":"49"},"uris":["http://www.mendeley.com/documents/?uuid=4c00ca87-6baf-4dbb-89f7-4d5c9e111ccd"]}],"mendeley":{"formattedCitation":"(Gamboa et al., 2021)","manualFormatting":"Gamboa et al., 2021","plainTextFormattedCitation":"(Gamboa et al., 2021)","previouslyFormattedCitation":"(Gamboa et al., 2021)"},"properties":{"noteIndex":0},"schema":"https://github.com/citation-style-language/schema/raw/master/csl-citation.json"}</w:instrText>
            </w:r>
            <w:r w:rsidRPr="003E6B3B">
              <w:rPr>
                <w:rFonts w:asciiTheme="majorHAnsi" w:hAnsiTheme="majorHAnsi"/>
                <w:sz w:val="22"/>
                <w:szCs w:val="22"/>
                <w:vertAlign w:val="superscript"/>
              </w:rPr>
              <w:fldChar w:fldCharType="separate"/>
            </w:r>
            <w:r w:rsidRPr="003E6B3B">
              <w:rPr>
                <w:rFonts w:asciiTheme="majorHAnsi" w:hAnsiTheme="majorHAnsi"/>
                <w:noProof/>
                <w:sz w:val="22"/>
                <w:szCs w:val="22"/>
              </w:rPr>
              <w:t>Gamboa et al., 2021</w:t>
            </w:r>
            <w:r w:rsidRPr="003E6B3B">
              <w:rPr>
                <w:rFonts w:asciiTheme="majorHAnsi" w:hAnsiTheme="majorHAnsi"/>
                <w:sz w:val="22"/>
                <w:szCs w:val="22"/>
                <w:vertAlign w:val="superscript"/>
              </w:rPr>
              <w:fldChar w:fldCharType="end"/>
            </w:r>
          </w:p>
        </w:tc>
        <w:tc>
          <w:tcPr>
            <w:tcW w:w="1276" w:type="dxa"/>
            <w:vMerge/>
            <w:tcBorders>
              <w:top w:val="single" w:sz="4" w:space="0" w:color="auto"/>
              <w:bottom w:val="single" w:sz="4" w:space="0" w:color="auto"/>
            </w:tcBorders>
            <w:shd w:val="clear" w:color="auto" w:fill="auto"/>
            <w:vAlign w:val="center"/>
          </w:tcPr>
          <w:p w14:paraId="037C1E4E" w14:textId="77777777" w:rsidR="00EE353A" w:rsidRPr="003E6B3B" w:rsidRDefault="00EE353A" w:rsidP="00DC7269">
            <w:pPr>
              <w:jc w:val="center"/>
              <w:rPr>
                <w:rFonts w:asciiTheme="majorHAnsi" w:hAnsiTheme="majorHAnsi"/>
                <w:sz w:val="22"/>
                <w:szCs w:val="22"/>
              </w:rPr>
            </w:pPr>
          </w:p>
        </w:tc>
        <w:tc>
          <w:tcPr>
            <w:tcW w:w="1417" w:type="dxa"/>
            <w:vMerge/>
            <w:tcBorders>
              <w:top w:val="single" w:sz="4" w:space="0" w:color="auto"/>
              <w:bottom w:val="single" w:sz="4" w:space="0" w:color="auto"/>
            </w:tcBorders>
            <w:shd w:val="clear" w:color="auto" w:fill="auto"/>
            <w:vAlign w:val="center"/>
          </w:tcPr>
          <w:p w14:paraId="4BA35520" w14:textId="77777777" w:rsidR="00EE353A" w:rsidRPr="003E6B3B" w:rsidRDefault="00EE353A" w:rsidP="00DC7269">
            <w:pPr>
              <w:jc w:val="center"/>
              <w:rPr>
                <w:rFonts w:asciiTheme="majorHAnsi" w:hAnsiTheme="majorHAnsi"/>
                <w:sz w:val="22"/>
                <w:szCs w:val="22"/>
              </w:rPr>
            </w:pPr>
          </w:p>
        </w:tc>
        <w:tc>
          <w:tcPr>
            <w:tcW w:w="5141" w:type="dxa"/>
            <w:tcBorders>
              <w:top w:val="single" w:sz="4" w:space="0" w:color="auto"/>
              <w:bottom w:val="single" w:sz="4" w:space="0" w:color="auto"/>
            </w:tcBorders>
            <w:shd w:val="clear" w:color="auto" w:fill="auto"/>
            <w:vAlign w:val="center"/>
          </w:tcPr>
          <w:p w14:paraId="54058EB5" w14:textId="77777777" w:rsidR="00EE353A" w:rsidRPr="003E6B3B" w:rsidRDefault="00EE353A" w:rsidP="00DC7269">
            <w:pPr>
              <w:jc w:val="both"/>
              <w:rPr>
                <w:rFonts w:asciiTheme="majorHAnsi" w:hAnsiTheme="majorHAnsi"/>
                <w:i/>
                <w:iCs/>
                <w:sz w:val="22"/>
                <w:szCs w:val="22"/>
              </w:rPr>
            </w:pPr>
            <w:r w:rsidRPr="003E6B3B">
              <w:rPr>
                <w:rFonts w:asciiTheme="majorHAnsi" w:hAnsiTheme="majorHAnsi"/>
                <w:sz w:val="22"/>
                <w:szCs w:val="22"/>
              </w:rPr>
              <w:t>Two-stage MILP optimization model with rectangular uncertainty set approach</w:t>
            </w:r>
          </w:p>
        </w:tc>
      </w:tr>
      <w:bookmarkEnd w:id="3"/>
    </w:tbl>
    <w:p w14:paraId="788B886D" w14:textId="77777777" w:rsidR="00EE353A" w:rsidRPr="003E6B3B" w:rsidRDefault="00EE353A" w:rsidP="00EE353A">
      <w:pPr>
        <w:pStyle w:val="IEEEParagraph"/>
        <w:spacing w:line="23" w:lineRule="atLeast"/>
        <w:ind w:left="1004" w:firstLine="0"/>
        <w:rPr>
          <w:rStyle w:val="longtext"/>
          <w:rFonts w:asciiTheme="majorHAnsi" w:hAnsiTheme="majorHAnsi"/>
          <w:shd w:val="clear" w:color="auto" w:fill="FFFFFF"/>
          <w:lang w:val="en-US"/>
        </w:rPr>
      </w:pPr>
    </w:p>
    <w:p w14:paraId="51D06807" w14:textId="336FBA72" w:rsidR="00EE353A" w:rsidRPr="003E6B3B" w:rsidRDefault="00EE353A" w:rsidP="0047524A">
      <w:pPr>
        <w:pStyle w:val="IEEEParagraph"/>
        <w:spacing w:line="23" w:lineRule="atLeast"/>
        <w:ind w:left="567" w:firstLine="153"/>
        <w:rPr>
          <w:rStyle w:val="longtext"/>
          <w:rFonts w:asciiTheme="majorHAnsi" w:hAnsiTheme="majorHAnsi"/>
          <w:shd w:val="clear" w:color="auto" w:fill="FFFFFF"/>
          <w:lang w:val="en-US"/>
        </w:rPr>
      </w:pPr>
      <w:r w:rsidRPr="003E6B3B">
        <w:rPr>
          <w:rStyle w:val="longtext"/>
          <w:rFonts w:asciiTheme="majorHAnsi" w:hAnsiTheme="majorHAnsi"/>
          <w:shd w:val="clear" w:color="auto" w:fill="FFFFFF"/>
          <w:lang w:val="en-US"/>
        </w:rPr>
        <w:t>The first six articles dominate mathematical models and methods in everyday life numerical experiment. Furthermore, the details of the research topic can be seen in Table 8 which explains the distribution of the types of variables based on the stage of work in each article. The division of variable types into non-adjustable (solved in the first stage) and adjustable (solved in the second stage) is a two-stage variable type that is always present and used in ARC problems.</w:t>
      </w:r>
    </w:p>
    <w:p w14:paraId="605063BB" w14:textId="070EDF3E" w:rsidR="00EE353A" w:rsidRPr="003E6B3B" w:rsidRDefault="00EE353A" w:rsidP="00EE353A">
      <w:pPr>
        <w:pStyle w:val="IEEEParagraph"/>
        <w:spacing w:line="23" w:lineRule="atLeast"/>
        <w:ind w:left="1004" w:firstLine="436"/>
        <w:rPr>
          <w:rStyle w:val="longtext"/>
          <w:rFonts w:asciiTheme="majorHAnsi" w:hAnsiTheme="majorHAnsi"/>
          <w:shd w:val="clear" w:color="auto" w:fill="FFFFFF"/>
          <w:lang w:val="en-US"/>
        </w:rPr>
      </w:pPr>
    </w:p>
    <w:p w14:paraId="1DDA19FB" w14:textId="4E90997D" w:rsidR="00EE353A" w:rsidRPr="003E6B3B" w:rsidRDefault="00EE353A" w:rsidP="00EE353A">
      <w:pPr>
        <w:jc w:val="center"/>
        <w:rPr>
          <w:rFonts w:asciiTheme="majorHAnsi" w:hAnsiTheme="majorHAnsi"/>
          <w:sz w:val="22"/>
          <w:szCs w:val="22"/>
        </w:rPr>
      </w:pPr>
      <w:r w:rsidRPr="003E6B3B">
        <w:rPr>
          <w:rFonts w:asciiTheme="majorHAnsi" w:hAnsiTheme="majorHAnsi"/>
          <w:b/>
          <w:bCs/>
          <w:sz w:val="22"/>
          <w:szCs w:val="22"/>
        </w:rPr>
        <w:t>Table 8</w:t>
      </w:r>
      <w:r w:rsidRPr="003E6B3B">
        <w:rPr>
          <w:rFonts w:asciiTheme="majorHAnsi" w:hAnsiTheme="majorHAnsi"/>
          <w:sz w:val="22"/>
          <w:szCs w:val="22"/>
        </w:rPr>
        <w:t>. State-of-the-art Variables in ARC Integer Optimization Model</w:t>
      </w:r>
    </w:p>
    <w:tbl>
      <w:tblPr>
        <w:tblW w:w="10361" w:type="dxa"/>
        <w:jc w:val="center"/>
        <w:tblLayout w:type="fixed"/>
        <w:tblLook w:val="04A0" w:firstRow="1" w:lastRow="0" w:firstColumn="1" w:lastColumn="0" w:noHBand="0" w:noVBand="1"/>
      </w:tblPr>
      <w:tblGrid>
        <w:gridCol w:w="592"/>
        <w:gridCol w:w="1560"/>
        <w:gridCol w:w="3827"/>
        <w:gridCol w:w="3655"/>
        <w:gridCol w:w="727"/>
      </w:tblGrid>
      <w:tr w:rsidR="00EE353A" w:rsidRPr="003E6B3B" w14:paraId="1BCDB30A" w14:textId="77777777" w:rsidTr="00DC7269">
        <w:trPr>
          <w:jc w:val="center"/>
        </w:trPr>
        <w:tc>
          <w:tcPr>
            <w:tcW w:w="592" w:type="dxa"/>
            <w:vMerge w:val="restart"/>
            <w:tcBorders>
              <w:top w:val="single" w:sz="4" w:space="0" w:color="auto"/>
              <w:bottom w:val="single" w:sz="4" w:space="0" w:color="auto"/>
            </w:tcBorders>
            <w:shd w:val="clear" w:color="auto" w:fill="auto"/>
            <w:vAlign w:val="center"/>
          </w:tcPr>
          <w:p w14:paraId="53238461" w14:textId="77777777" w:rsidR="00EE353A" w:rsidRPr="003E6B3B" w:rsidRDefault="00EE353A" w:rsidP="00DC7269">
            <w:pPr>
              <w:jc w:val="center"/>
              <w:rPr>
                <w:rFonts w:asciiTheme="majorHAnsi" w:hAnsiTheme="majorHAnsi"/>
                <w:b/>
                <w:bCs/>
                <w:sz w:val="22"/>
                <w:szCs w:val="22"/>
              </w:rPr>
            </w:pPr>
            <w:r w:rsidRPr="003E6B3B">
              <w:rPr>
                <w:rFonts w:asciiTheme="majorHAnsi" w:hAnsiTheme="majorHAnsi"/>
                <w:b/>
                <w:bCs/>
                <w:sz w:val="22"/>
                <w:szCs w:val="22"/>
              </w:rPr>
              <w:t>No</w:t>
            </w:r>
          </w:p>
        </w:tc>
        <w:tc>
          <w:tcPr>
            <w:tcW w:w="1560" w:type="dxa"/>
            <w:vMerge w:val="restart"/>
            <w:tcBorders>
              <w:top w:val="single" w:sz="4" w:space="0" w:color="auto"/>
              <w:bottom w:val="single" w:sz="4" w:space="0" w:color="auto"/>
            </w:tcBorders>
            <w:shd w:val="clear" w:color="auto" w:fill="auto"/>
            <w:vAlign w:val="center"/>
          </w:tcPr>
          <w:p w14:paraId="149A610C" w14:textId="77777777" w:rsidR="00EE353A" w:rsidRPr="003E6B3B" w:rsidRDefault="00EE353A" w:rsidP="00DC7269">
            <w:pPr>
              <w:jc w:val="center"/>
              <w:rPr>
                <w:rFonts w:asciiTheme="majorHAnsi" w:hAnsiTheme="majorHAnsi"/>
                <w:b/>
                <w:bCs/>
                <w:sz w:val="22"/>
                <w:szCs w:val="22"/>
              </w:rPr>
            </w:pPr>
            <w:r w:rsidRPr="003E6B3B">
              <w:rPr>
                <w:rFonts w:asciiTheme="majorHAnsi" w:hAnsiTheme="majorHAnsi"/>
                <w:b/>
                <w:bCs/>
                <w:sz w:val="22"/>
                <w:szCs w:val="22"/>
              </w:rPr>
              <w:t>Authors</w:t>
            </w:r>
          </w:p>
        </w:tc>
        <w:tc>
          <w:tcPr>
            <w:tcW w:w="8209" w:type="dxa"/>
            <w:gridSpan w:val="3"/>
            <w:tcBorders>
              <w:top w:val="single" w:sz="4" w:space="0" w:color="auto"/>
              <w:bottom w:val="single" w:sz="4" w:space="0" w:color="auto"/>
            </w:tcBorders>
            <w:shd w:val="clear" w:color="auto" w:fill="auto"/>
            <w:vAlign w:val="center"/>
          </w:tcPr>
          <w:p w14:paraId="0189BABE" w14:textId="77777777" w:rsidR="00EE353A" w:rsidRPr="003E6B3B" w:rsidRDefault="00EE353A" w:rsidP="00DC7269">
            <w:pPr>
              <w:jc w:val="center"/>
              <w:rPr>
                <w:rFonts w:asciiTheme="majorHAnsi" w:hAnsiTheme="majorHAnsi"/>
                <w:b/>
                <w:bCs/>
                <w:sz w:val="22"/>
                <w:szCs w:val="22"/>
              </w:rPr>
            </w:pPr>
            <w:r w:rsidRPr="003E6B3B">
              <w:rPr>
                <w:rFonts w:asciiTheme="majorHAnsi" w:hAnsiTheme="majorHAnsi"/>
                <w:b/>
                <w:bCs/>
                <w:sz w:val="22"/>
                <w:szCs w:val="22"/>
              </w:rPr>
              <w:t>Variable</w:t>
            </w:r>
          </w:p>
        </w:tc>
      </w:tr>
      <w:tr w:rsidR="00EE353A" w:rsidRPr="003E6B3B" w14:paraId="6BBC36FF" w14:textId="77777777" w:rsidTr="00DC7269">
        <w:trPr>
          <w:gridAfter w:val="1"/>
          <w:wAfter w:w="727" w:type="dxa"/>
          <w:jc w:val="center"/>
        </w:trPr>
        <w:tc>
          <w:tcPr>
            <w:tcW w:w="592" w:type="dxa"/>
            <w:vMerge/>
            <w:tcBorders>
              <w:bottom w:val="single" w:sz="4" w:space="0" w:color="auto"/>
            </w:tcBorders>
            <w:shd w:val="clear" w:color="auto" w:fill="auto"/>
            <w:vAlign w:val="center"/>
          </w:tcPr>
          <w:p w14:paraId="3D5A39F6" w14:textId="77777777" w:rsidR="00EE353A" w:rsidRPr="003E6B3B" w:rsidRDefault="00EE353A" w:rsidP="00DC7269">
            <w:pPr>
              <w:jc w:val="center"/>
              <w:rPr>
                <w:rFonts w:asciiTheme="majorHAnsi" w:hAnsiTheme="majorHAnsi"/>
                <w:b/>
                <w:bCs/>
                <w:sz w:val="22"/>
                <w:szCs w:val="22"/>
              </w:rPr>
            </w:pPr>
          </w:p>
        </w:tc>
        <w:tc>
          <w:tcPr>
            <w:tcW w:w="1560" w:type="dxa"/>
            <w:vMerge/>
            <w:tcBorders>
              <w:bottom w:val="single" w:sz="4" w:space="0" w:color="auto"/>
            </w:tcBorders>
            <w:shd w:val="clear" w:color="auto" w:fill="auto"/>
            <w:vAlign w:val="center"/>
          </w:tcPr>
          <w:p w14:paraId="496E619B" w14:textId="77777777" w:rsidR="00EE353A" w:rsidRPr="003E6B3B" w:rsidRDefault="00EE353A" w:rsidP="00DC7269">
            <w:pPr>
              <w:jc w:val="center"/>
              <w:rPr>
                <w:rFonts w:asciiTheme="majorHAnsi" w:hAnsiTheme="majorHAnsi"/>
                <w:b/>
                <w:bCs/>
                <w:sz w:val="22"/>
                <w:szCs w:val="22"/>
              </w:rPr>
            </w:pPr>
          </w:p>
        </w:tc>
        <w:tc>
          <w:tcPr>
            <w:tcW w:w="3827" w:type="dxa"/>
            <w:tcBorders>
              <w:top w:val="single" w:sz="4" w:space="0" w:color="auto"/>
              <w:bottom w:val="single" w:sz="4" w:space="0" w:color="auto"/>
            </w:tcBorders>
            <w:shd w:val="clear" w:color="auto" w:fill="auto"/>
            <w:vAlign w:val="center"/>
          </w:tcPr>
          <w:p w14:paraId="2AA34131" w14:textId="77777777" w:rsidR="00EE353A" w:rsidRPr="003E6B3B" w:rsidRDefault="00EE353A" w:rsidP="00DC7269">
            <w:pPr>
              <w:jc w:val="center"/>
              <w:rPr>
                <w:rFonts w:asciiTheme="majorHAnsi" w:hAnsiTheme="majorHAnsi"/>
                <w:b/>
                <w:bCs/>
                <w:sz w:val="22"/>
                <w:szCs w:val="22"/>
              </w:rPr>
            </w:pPr>
            <w:r w:rsidRPr="003E6B3B">
              <w:rPr>
                <w:rFonts w:asciiTheme="majorHAnsi" w:hAnsiTheme="majorHAnsi"/>
                <w:b/>
                <w:bCs/>
                <w:i/>
                <w:iCs/>
                <w:sz w:val="22"/>
                <w:szCs w:val="22"/>
              </w:rPr>
              <w:t xml:space="preserve">Non-Adjustable </w:t>
            </w:r>
            <w:r w:rsidRPr="003E6B3B">
              <w:rPr>
                <w:rFonts w:asciiTheme="majorHAnsi" w:hAnsiTheme="majorHAnsi"/>
                <w:b/>
                <w:bCs/>
                <w:sz w:val="22"/>
                <w:szCs w:val="22"/>
              </w:rPr>
              <w:t>(first step)</w:t>
            </w:r>
          </w:p>
        </w:tc>
        <w:tc>
          <w:tcPr>
            <w:tcW w:w="3655" w:type="dxa"/>
            <w:tcBorders>
              <w:top w:val="single" w:sz="4" w:space="0" w:color="auto"/>
              <w:bottom w:val="single" w:sz="4" w:space="0" w:color="auto"/>
            </w:tcBorders>
            <w:shd w:val="clear" w:color="auto" w:fill="auto"/>
            <w:vAlign w:val="center"/>
          </w:tcPr>
          <w:p w14:paraId="5408AC06" w14:textId="77777777" w:rsidR="00EE353A" w:rsidRPr="003E6B3B" w:rsidRDefault="00EE353A" w:rsidP="00DC7269">
            <w:pPr>
              <w:jc w:val="center"/>
              <w:rPr>
                <w:rFonts w:asciiTheme="majorHAnsi" w:hAnsiTheme="majorHAnsi"/>
                <w:b/>
                <w:bCs/>
                <w:sz w:val="22"/>
                <w:szCs w:val="22"/>
              </w:rPr>
            </w:pPr>
            <w:r w:rsidRPr="003E6B3B">
              <w:rPr>
                <w:rFonts w:asciiTheme="majorHAnsi" w:hAnsiTheme="majorHAnsi"/>
                <w:b/>
                <w:bCs/>
                <w:i/>
                <w:iCs/>
                <w:sz w:val="22"/>
                <w:szCs w:val="22"/>
              </w:rPr>
              <w:t xml:space="preserve">Adjustable </w:t>
            </w:r>
            <w:r w:rsidRPr="003E6B3B">
              <w:rPr>
                <w:rFonts w:asciiTheme="majorHAnsi" w:hAnsiTheme="majorHAnsi"/>
                <w:b/>
                <w:bCs/>
                <w:sz w:val="22"/>
                <w:szCs w:val="22"/>
              </w:rPr>
              <w:t>(second step)</w:t>
            </w:r>
          </w:p>
        </w:tc>
      </w:tr>
      <w:tr w:rsidR="006271CA" w:rsidRPr="003E6B3B" w14:paraId="77A1FF1A" w14:textId="77777777" w:rsidTr="00DC7269">
        <w:trPr>
          <w:trHeight w:val="517"/>
          <w:jc w:val="center"/>
        </w:trPr>
        <w:tc>
          <w:tcPr>
            <w:tcW w:w="592" w:type="dxa"/>
            <w:tcBorders>
              <w:top w:val="single" w:sz="4" w:space="0" w:color="auto"/>
              <w:bottom w:val="single" w:sz="4" w:space="0" w:color="auto"/>
            </w:tcBorders>
            <w:shd w:val="clear" w:color="auto" w:fill="auto"/>
            <w:vAlign w:val="center"/>
          </w:tcPr>
          <w:p w14:paraId="2E96C628" w14:textId="77777777" w:rsidR="006271CA" w:rsidRPr="003E6B3B" w:rsidRDefault="006271CA" w:rsidP="006271CA">
            <w:pPr>
              <w:jc w:val="center"/>
              <w:rPr>
                <w:rFonts w:asciiTheme="majorHAnsi" w:hAnsiTheme="majorHAnsi"/>
                <w:sz w:val="22"/>
                <w:szCs w:val="22"/>
              </w:rPr>
            </w:pPr>
            <w:r w:rsidRPr="003E6B3B">
              <w:rPr>
                <w:rFonts w:asciiTheme="majorHAnsi" w:hAnsiTheme="majorHAnsi"/>
                <w:sz w:val="22"/>
                <w:szCs w:val="22"/>
              </w:rPr>
              <w:t>1</w:t>
            </w:r>
          </w:p>
        </w:tc>
        <w:tc>
          <w:tcPr>
            <w:tcW w:w="1560" w:type="dxa"/>
            <w:tcBorders>
              <w:top w:val="single" w:sz="4" w:space="0" w:color="auto"/>
              <w:bottom w:val="single" w:sz="4" w:space="0" w:color="auto"/>
            </w:tcBorders>
            <w:shd w:val="clear" w:color="auto" w:fill="auto"/>
            <w:vAlign w:val="center"/>
          </w:tcPr>
          <w:p w14:paraId="693CA733" w14:textId="14689ED2" w:rsidR="006271CA" w:rsidRPr="003E6B3B" w:rsidRDefault="006271CA" w:rsidP="006271CA">
            <w:pPr>
              <w:jc w:val="both"/>
              <w:rPr>
                <w:rFonts w:asciiTheme="majorHAnsi" w:hAnsiTheme="majorHAnsi"/>
                <w:sz w:val="22"/>
                <w:szCs w:val="22"/>
              </w:rPr>
            </w:pPr>
            <w:r w:rsidRPr="003E6B3B">
              <w:rPr>
                <w:rFonts w:asciiTheme="majorHAnsi" w:hAnsiTheme="majorHAnsi"/>
                <w:sz w:val="22"/>
                <w:szCs w:val="22"/>
                <w:vertAlign w:val="superscript"/>
              </w:rPr>
              <w:fldChar w:fldCharType="begin" w:fldLock="1"/>
            </w:r>
            <w:r w:rsidRPr="003E6B3B">
              <w:rPr>
                <w:rFonts w:asciiTheme="majorHAnsi" w:hAnsiTheme="majorHAnsi"/>
                <w:sz w:val="22"/>
                <w:szCs w:val="22"/>
                <w:vertAlign w:val="superscript"/>
              </w:rPr>
              <w:instrText>ADDIN CSL_CITATION {"citationItems":[{"id":"ITEM-1","itemData":{"DOI":"10.1002/net.21486","ISSN":"00283045","abstract":"We consider a network design problem in which flow bifurcations are allowed. The demand data are assumed to be uncertain, and the uncertainties of demands are expressed by an uncertainty set. The goal is to install facilities on the edges at minimum cost. The solution should be able to deliver any of the demand requirements defined in the uncertainty set. We propose an exact solution algorithm based on a decomposition approach in which the problem is decomposed into two distinct problems: (1) designing edge capacities; and (2) checking the feasibility of the designed edge capacities with respect to the uncertain demand requirements. The algorithm is a special case of the Benders decomposition method. We show that the robust version of the Benders subproblem can be formulated as a linear program whose size is polynomially bounded. We also propose a simultaneous cut generation scheme to accelerate convergence of the Benders decomposition algorithm. Computational results on real-life telecommunication problems are reported, and these demonstrate that robust solutions with very small penalties in the objective values can be obtained. © 2012 Wiley Periodicals, Inc. Networks, 2013. Copyright © 2012 Wiley Periodicals, Inc.","author":[{"dropping-particle":"","family":"Lee","given":"Chungmok","non-dropping-particle":"","parse-names":false,"suffix":""},{"dropping-particle":"","family":"Lee","given":"Kyungsik","non-dropping-particle":"","parse-names":false,"suffix":""},{"dropping-particle":"","family":"Park","given":"Sungsoo","non-dropping-particle":"","parse-names":false,"suffix":""}],"container-title":"Networks","id":"ITEM-1","issue":"1","issued":{"date-parts":[["2013"]]},"page":"1-16","title":"Benders decomposition approach for the robust network design problem with flow bifurcations","type":"article-journal","volume":"62"},"uris":["http://www.mendeley.com/documents/?uuid=b1659cd2-8c6c-40b8-b51d-8c7f38266ac1"]}],"mendeley":{"formattedCitation":"(Lee et al., 2013)","manualFormatting":"Lee et al., 2013","plainTextFormattedCitation":"(Lee et al., 2013)","previouslyFormattedCitation":"(Lee et al., 2013)"},"properties":{"noteIndex":0},"schema":"https://github.com/citation-style-language/schema/raw/master/csl-citation.json"}</w:instrText>
            </w:r>
            <w:r w:rsidRPr="003E6B3B">
              <w:rPr>
                <w:rFonts w:asciiTheme="majorHAnsi" w:hAnsiTheme="majorHAnsi"/>
                <w:sz w:val="22"/>
                <w:szCs w:val="22"/>
                <w:vertAlign w:val="superscript"/>
              </w:rPr>
              <w:fldChar w:fldCharType="separate"/>
            </w:r>
            <w:r w:rsidRPr="003E6B3B">
              <w:rPr>
                <w:rFonts w:asciiTheme="majorHAnsi" w:hAnsiTheme="majorHAnsi"/>
                <w:noProof/>
                <w:sz w:val="22"/>
                <w:szCs w:val="22"/>
              </w:rPr>
              <w:t>Lee et al., 2013</w:t>
            </w:r>
            <w:r w:rsidRPr="003E6B3B">
              <w:rPr>
                <w:rFonts w:asciiTheme="majorHAnsi" w:hAnsiTheme="majorHAnsi"/>
                <w:sz w:val="22"/>
                <w:szCs w:val="22"/>
                <w:vertAlign w:val="superscript"/>
              </w:rPr>
              <w:fldChar w:fldCharType="end"/>
            </w:r>
          </w:p>
        </w:tc>
        <w:tc>
          <w:tcPr>
            <w:tcW w:w="3827" w:type="dxa"/>
            <w:tcBorders>
              <w:top w:val="single" w:sz="4" w:space="0" w:color="auto"/>
              <w:bottom w:val="single" w:sz="4" w:space="0" w:color="auto"/>
            </w:tcBorders>
            <w:shd w:val="clear" w:color="auto" w:fill="auto"/>
            <w:vAlign w:val="center"/>
          </w:tcPr>
          <w:p w14:paraId="56E731FB" w14:textId="77777777" w:rsidR="006271CA" w:rsidRPr="003E6B3B" w:rsidRDefault="006271CA" w:rsidP="006271CA">
            <w:pPr>
              <w:jc w:val="both"/>
              <w:rPr>
                <w:rFonts w:asciiTheme="majorHAnsi" w:hAnsiTheme="majorHAnsi"/>
                <w:sz w:val="22"/>
                <w:szCs w:val="22"/>
              </w:rPr>
            </w:pPr>
            <w:r w:rsidRPr="003E6B3B">
              <w:rPr>
                <w:rFonts w:asciiTheme="majorHAnsi" w:hAnsiTheme="majorHAnsi"/>
                <w:sz w:val="22"/>
                <w:szCs w:val="22"/>
              </w:rPr>
              <w:t>Determination of capacity design using integer programming</w:t>
            </w:r>
          </w:p>
        </w:tc>
        <w:tc>
          <w:tcPr>
            <w:tcW w:w="4382" w:type="dxa"/>
            <w:gridSpan w:val="2"/>
            <w:tcBorders>
              <w:top w:val="single" w:sz="4" w:space="0" w:color="auto"/>
              <w:bottom w:val="single" w:sz="4" w:space="0" w:color="auto"/>
            </w:tcBorders>
            <w:shd w:val="clear" w:color="auto" w:fill="auto"/>
            <w:vAlign w:val="center"/>
          </w:tcPr>
          <w:p w14:paraId="7E755DF2" w14:textId="77777777" w:rsidR="006271CA" w:rsidRPr="003E6B3B" w:rsidRDefault="006271CA" w:rsidP="006271CA">
            <w:pPr>
              <w:jc w:val="both"/>
              <w:rPr>
                <w:rFonts w:asciiTheme="majorHAnsi" w:hAnsiTheme="majorHAnsi"/>
                <w:sz w:val="22"/>
                <w:szCs w:val="22"/>
              </w:rPr>
            </w:pPr>
            <w:r w:rsidRPr="003E6B3B">
              <w:rPr>
                <w:rFonts w:asciiTheme="majorHAnsi" w:hAnsiTheme="majorHAnsi"/>
                <w:sz w:val="22"/>
                <w:szCs w:val="22"/>
              </w:rPr>
              <w:t>Determination of capacity design using integer programming</w:t>
            </w:r>
          </w:p>
        </w:tc>
      </w:tr>
      <w:tr w:rsidR="006271CA" w:rsidRPr="003E6B3B" w14:paraId="4901927A" w14:textId="77777777" w:rsidTr="00DC7269">
        <w:trPr>
          <w:jc w:val="center"/>
        </w:trPr>
        <w:tc>
          <w:tcPr>
            <w:tcW w:w="592" w:type="dxa"/>
            <w:tcBorders>
              <w:top w:val="single" w:sz="4" w:space="0" w:color="auto"/>
              <w:bottom w:val="single" w:sz="4" w:space="0" w:color="auto"/>
            </w:tcBorders>
            <w:shd w:val="clear" w:color="auto" w:fill="auto"/>
            <w:vAlign w:val="center"/>
          </w:tcPr>
          <w:p w14:paraId="1CC481C2" w14:textId="77777777" w:rsidR="006271CA" w:rsidRPr="003E6B3B" w:rsidRDefault="006271CA" w:rsidP="006271CA">
            <w:pPr>
              <w:jc w:val="center"/>
              <w:rPr>
                <w:rFonts w:asciiTheme="majorHAnsi" w:hAnsiTheme="majorHAnsi"/>
                <w:sz w:val="22"/>
                <w:szCs w:val="22"/>
              </w:rPr>
            </w:pPr>
            <w:r w:rsidRPr="003E6B3B">
              <w:rPr>
                <w:rFonts w:asciiTheme="majorHAnsi" w:hAnsiTheme="majorHAnsi"/>
                <w:sz w:val="22"/>
                <w:szCs w:val="22"/>
              </w:rPr>
              <w:t>2</w:t>
            </w:r>
          </w:p>
        </w:tc>
        <w:tc>
          <w:tcPr>
            <w:tcW w:w="1560" w:type="dxa"/>
            <w:tcBorders>
              <w:top w:val="single" w:sz="4" w:space="0" w:color="auto"/>
              <w:bottom w:val="single" w:sz="4" w:space="0" w:color="auto"/>
            </w:tcBorders>
            <w:shd w:val="clear" w:color="auto" w:fill="auto"/>
            <w:vAlign w:val="center"/>
          </w:tcPr>
          <w:p w14:paraId="39B2A5F3" w14:textId="74ACC43F" w:rsidR="006271CA" w:rsidRPr="003E6B3B" w:rsidRDefault="006271CA" w:rsidP="006271CA">
            <w:pPr>
              <w:jc w:val="both"/>
              <w:rPr>
                <w:rFonts w:asciiTheme="majorHAnsi" w:hAnsiTheme="majorHAnsi"/>
                <w:sz w:val="22"/>
                <w:szCs w:val="22"/>
              </w:rPr>
            </w:pPr>
            <w:r w:rsidRPr="003E6B3B">
              <w:rPr>
                <w:rFonts w:asciiTheme="majorHAnsi" w:hAnsiTheme="majorHAnsi"/>
                <w:sz w:val="22"/>
                <w:szCs w:val="22"/>
                <w:vertAlign w:val="superscript"/>
              </w:rPr>
              <w:fldChar w:fldCharType="begin" w:fldLock="1"/>
            </w:r>
            <w:r w:rsidRPr="003E6B3B">
              <w:rPr>
                <w:rFonts w:asciiTheme="majorHAnsi" w:hAnsiTheme="majorHAnsi"/>
                <w:sz w:val="22"/>
                <w:szCs w:val="22"/>
                <w:vertAlign w:val="superscript"/>
              </w:rPr>
              <w:instrText>ADDIN CSL_CITATION {"citationItems":[{"id":"ITEM-1","itemData":{"DOI":"10.1007/s10479-012-1110-9","abstract":"This paper presents a stochastic mixed integer programming model for a comprehensive hybrid power system design problem, including renewable energy generation, storage device, transmission network, and thermal generators, for remote areas. Given the complexity of the model, we developed a Benders’ decomposition algorithm with two additional types of cutting planes: Pareto-optimal cuts generated using a modified Magnanti-Wong method and cuts generated from a maximum feasible subsystem. Computational results show significant improvement in our ability to solve this type of problem in comparison to a state-of-the-art professional solver. This model and the solution algorithm provide an analytical decision support tool for the hybrid power system design problem.","author":[{"dropping-particle":"","family":"Kuznia","given":"Ludwig","non-dropping-particle":"","parse-names":false,"suffix":""},{"dropping-particle":"","family":"Zeng","given":"Bo","non-dropping-particle":"","parse-names":false,"suffix":""},{"dropping-particle":"","family":"Centeno","given":"Grisselle","non-dropping-particle":"","parse-names":false,"suffix":""},{"dropping-particle":"","family":"Miao","given":"Zhixin","non-dropping-particle":"","parse-names":false,"suffix":""}],"container-title":"Annals of Operations Research","id":"ITEM-1","issue":"1","issued":{"date-parts":[["2013"]]},"note":"http://www.optimization-online.org/DB_FILE/2011/02/2926.pdf","page":"411-432","title":"Stochastic optimization for power system configuration with renewable energy in remote areas","type":"article-journal","volume":"210"},"uris":["http://www.mendeley.com/documents/?uuid=ee88594f-ee49-48a5-b07a-0c0cd32ce6c5"]}],"mendeley":{"formattedCitation":"(Kuznia et al., 2013)","manualFormatting":"Kuznia et al., 2013","plainTextFormattedCitation":"(Kuznia et al., 2013)","previouslyFormattedCitation":"(Kuznia et al., 2013)"},"properties":{"noteIndex":0},"schema":"https://github.com/citation-style-language/schema/raw/master/csl-citation.json"}</w:instrText>
            </w:r>
            <w:r w:rsidRPr="003E6B3B">
              <w:rPr>
                <w:rFonts w:asciiTheme="majorHAnsi" w:hAnsiTheme="majorHAnsi"/>
                <w:sz w:val="22"/>
                <w:szCs w:val="22"/>
                <w:vertAlign w:val="superscript"/>
              </w:rPr>
              <w:fldChar w:fldCharType="separate"/>
            </w:r>
            <w:r w:rsidRPr="003E6B3B">
              <w:rPr>
                <w:rFonts w:asciiTheme="majorHAnsi" w:hAnsiTheme="majorHAnsi"/>
                <w:noProof/>
                <w:sz w:val="22"/>
                <w:szCs w:val="22"/>
              </w:rPr>
              <w:t>Kuznia et al., 2013</w:t>
            </w:r>
            <w:r w:rsidRPr="003E6B3B">
              <w:rPr>
                <w:rFonts w:asciiTheme="majorHAnsi" w:hAnsiTheme="majorHAnsi"/>
                <w:sz w:val="22"/>
                <w:szCs w:val="22"/>
                <w:vertAlign w:val="superscript"/>
              </w:rPr>
              <w:fldChar w:fldCharType="end"/>
            </w:r>
          </w:p>
        </w:tc>
        <w:tc>
          <w:tcPr>
            <w:tcW w:w="3827" w:type="dxa"/>
            <w:tcBorders>
              <w:top w:val="single" w:sz="4" w:space="0" w:color="auto"/>
              <w:bottom w:val="single" w:sz="4" w:space="0" w:color="auto"/>
            </w:tcBorders>
            <w:shd w:val="clear" w:color="auto" w:fill="auto"/>
            <w:vAlign w:val="center"/>
          </w:tcPr>
          <w:p w14:paraId="15953724" w14:textId="77777777" w:rsidR="006271CA" w:rsidRPr="003E6B3B" w:rsidRDefault="006271CA" w:rsidP="006271CA">
            <w:pPr>
              <w:jc w:val="both"/>
              <w:rPr>
                <w:rFonts w:asciiTheme="majorHAnsi" w:hAnsiTheme="majorHAnsi"/>
                <w:sz w:val="22"/>
                <w:szCs w:val="22"/>
              </w:rPr>
            </w:pPr>
            <w:r w:rsidRPr="003E6B3B">
              <w:rPr>
                <w:rFonts w:asciiTheme="majorHAnsi" w:hAnsiTheme="majorHAnsi"/>
                <w:sz w:val="22"/>
                <w:szCs w:val="22"/>
              </w:rPr>
              <w:t>Determination of facilities using Mixed-integer Linear Programming (MILP)</w:t>
            </w:r>
          </w:p>
        </w:tc>
        <w:tc>
          <w:tcPr>
            <w:tcW w:w="4382" w:type="dxa"/>
            <w:gridSpan w:val="2"/>
            <w:tcBorders>
              <w:top w:val="single" w:sz="4" w:space="0" w:color="auto"/>
              <w:bottom w:val="single" w:sz="4" w:space="0" w:color="auto"/>
            </w:tcBorders>
            <w:shd w:val="clear" w:color="auto" w:fill="auto"/>
            <w:vAlign w:val="center"/>
          </w:tcPr>
          <w:p w14:paraId="18712E15" w14:textId="77777777" w:rsidR="006271CA" w:rsidRPr="003E6B3B" w:rsidRDefault="006271CA" w:rsidP="006271CA">
            <w:pPr>
              <w:jc w:val="both"/>
              <w:rPr>
                <w:rFonts w:asciiTheme="majorHAnsi" w:hAnsiTheme="majorHAnsi"/>
                <w:sz w:val="22"/>
                <w:szCs w:val="22"/>
              </w:rPr>
            </w:pPr>
            <w:r w:rsidRPr="003E6B3B">
              <w:rPr>
                <w:rFonts w:asciiTheme="majorHAnsi" w:hAnsiTheme="majorHAnsi"/>
                <w:sz w:val="22"/>
                <w:szCs w:val="22"/>
              </w:rPr>
              <w:t>Determination capacities using Mixed-integer Linear Programming (MILP)</w:t>
            </w:r>
          </w:p>
        </w:tc>
      </w:tr>
      <w:tr w:rsidR="006271CA" w:rsidRPr="003E6B3B" w14:paraId="723BE7A9" w14:textId="77777777" w:rsidTr="00DC7269">
        <w:trPr>
          <w:jc w:val="center"/>
        </w:trPr>
        <w:tc>
          <w:tcPr>
            <w:tcW w:w="592" w:type="dxa"/>
            <w:tcBorders>
              <w:top w:val="single" w:sz="4" w:space="0" w:color="auto"/>
              <w:bottom w:val="single" w:sz="4" w:space="0" w:color="auto"/>
            </w:tcBorders>
            <w:shd w:val="clear" w:color="auto" w:fill="auto"/>
            <w:vAlign w:val="center"/>
          </w:tcPr>
          <w:p w14:paraId="5C5D2AA9" w14:textId="77777777" w:rsidR="006271CA" w:rsidRPr="003E6B3B" w:rsidRDefault="006271CA" w:rsidP="006271CA">
            <w:pPr>
              <w:jc w:val="center"/>
              <w:rPr>
                <w:rFonts w:asciiTheme="majorHAnsi" w:hAnsiTheme="majorHAnsi"/>
                <w:sz w:val="22"/>
                <w:szCs w:val="22"/>
              </w:rPr>
            </w:pPr>
            <w:r w:rsidRPr="003E6B3B">
              <w:rPr>
                <w:rFonts w:asciiTheme="majorHAnsi" w:hAnsiTheme="majorHAnsi"/>
                <w:sz w:val="22"/>
                <w:szCs w:val="22"/>
              </w:rPr>
              <w:t>3</w:t>
            </w:r>
          </w:p>
        </w:tc>
        <w:tc>
          <w:tcPr>
            <w:tcW w:w="1560" w:type="dxa"/>
            <w:tcBorders>
              <w:top w:val="single" w:sz="4" w:space="0" w:color="auto"/>
              <w:bottom w:val="single" w:sz="4" w:space="0" w:color="auto"/>
            </w:tcBorders>
            <w:shd w:val="clear" w:color="auto" w:fill="auto"/>
            <w:vAlign w:val="center"/>
          </w:tcPr>
          <w:p w14:paraId="7D3A7526" w14:textId="28017B97" w:rsidR="006271CA" w:rsidRPr="003E6B3B" w:rsidRDefault="006271CA" w:rsidP="006271CA">
            <w:pPr>
              <w:jc w:val="both"/>
              <w:rPr>
                <w:rFonts w:asciiTheme="majorHAnsi" w:hAnsiTheme="majorHAnsi"/>
                <w:sz w:val="22"/>
                <w:szCs w:val="22"/>
              </w:rPr>
            </w:pPr>
            <w:r w:rsidRPr="003E6B3B">
              <w:rPr>
                <w:rFonts w:asciiTheme="majorHAnsi" w:hAnsiTheme="majorHAnsi"/>
                <w:sz w:val="22"/>
                <w:szCs w:val="22"/>
                <w:vertAlign w:val="superscript"/>
              </w:rPr>
              <w:fldChar w:fldCharType="begin" w:fldLock="1"/>
            </w:r>
            <w:r w:rsidRPr="003E6B3B">
              <w:rPr>
                <w:rFonts w:asciiTheme="majorHAnsi" w:hAnsiTheme="majorHAnsi"/>
                <w:sz w:val="22"/>
                <w:szCs w:val="22"/>
                <w:vertAlign w:val="superscript"/>
              </w:rPr>
              <w:instrText>ADDIN CSL_CITATION {"citationItems":[{"id":"ITEM-1","itemData":{"DOI":"10.1109/TPWRS.2012.2205021","ISSN":"08858950","abstract":"Unit commitment, one of the most critical tasks in electric power system operations, faces new challenges as the supply and demand uncertainty increases dramatically due to the integration of variable generation resources such as wind power and price responsive demand. To meet these challenges, we propose a two-stage adaptive robust unit commitment model for the security constrained unit commitment problem in the presence of nodal net injection uncertainty. Compared to the conventional stochastic programming approach, the proposed model is more practical in that it only requires a deterministic uncertainty set, rather than a hard-to-obtain probability distribution on the uncertain data. The unit commitment solutions of the proposed model are robust against all possible realizations of the modeled uncertainty. We develop a practical solution methodology based on a combination of Benders decomposition type algorithm and the outer approximation technique. We present an extensive numerical study on the real-world large scale power system operated by the ISO New England. Computational results demonstrate the economic and operational advantages of our model over the traditional reserve adjustment approach. © 2012 IEEE.","author":[{"dropping-particle":"","family":"Bertsimas","given":"Dimitris","non-dropping-particle":"","parse-names":false,"suffix":""},{"dropping-particle":"","family":"Litvinov","given":"Eugene","non-dropping-particle":"","parse-names":false,"suffix":""},{"dropping-particle":"","family":"Sun","given":"Xu Andy","non-dropping-particle":"","parse-names":false,"suffix":""},{"dropping-particle":"","family":"Zhao","given":"Jinye","non-dropping-particle":"","parse-names":false,"suffix":""},{"dropping-particle":"","family":"Zheng","given":"Tongxin","non-dropping-particle":"","parse-names":false,"suffix":""}],"container-title":"IEEE Transactions on Power Systems","id":"ITEM-1","issue":"1","issued":{"date-parts":[["2013"]]},"page":"52-63","title":"Adaptive robust optimization for the security constrained unit commitment problem","type":"article-journal","volume":"28"},"uris":["http://www.mendeley.com/documents/?uuid=885a79e2-74cb-49a7-9575-fbc37422c1ab"]}],"mendeley":{"formattedCitation":"(Bertsimas et al., 2013)","manualFormatting":"Bertsimas et al., 2013","plainTextFormattedCitation":"(Bertsimas et al., 2013)","previouslyFormattedCitation":"(Bertsimas et al., 2013)"},"properties":{"noteIndex":0},"schema":"https://github.com/citation-style-language/schema/raw/master/csl-citation.json"}</w:instrText>
            </w:r>
            <w:r w:rsidRPr="003E6B3B">
              <w:rPr>
                <w:rFonts w:asciiTheme="majorHAnsi" w:hAnsiTheme="majorHAnsi"/>
                <w:sz w:val="22"/>
                <w:szCs w:val="22"/>
                <w:vertAlign w:val="superscript"/>
              </w:rPr>
              <w:fldChar w:fldCharType="separate"/>
            </w:r>
            <w:r w:rsidRPr="003E6B3B">
              <w:rPr>
                <w:rFonts w:asciiTheme="majorHAnsi" w:hAnsiTheme="majorHAnsi"/>
                <w:noProof/>
                <w:sz w:val="22"/>
                <w:szCs w:val="22"/>
              </w:rPr>
              <w:t>Bertsimas et al., 2013</w:t>
            </w:r>
            <w:r w:rsidRPr="003E6B3B">
              <w:rPr>
                <w:rFonts w:asciiTheme="majorHAnsi" w:hAnsiTheme="majorHAnsi"/>
                <w:sz w:val="22"/>
                <w:szCs w:val="22"/>
                <w:vertAlign w:val="superscript"/>
              </w:rPr>
              <w:fldChar w:fldCharType="end"/>
            </w:r>
          </w:p>
        </w:tc>
        <w:tc>
          <w:tcPr>
            <w:tcW w:w="3827" w:type="dxa"/>
            <w:tcBorders>
              <w:top w:val="single" w:sz="4" w:space="0" w:color="auto"/>
              <w:bottom w:val="single" w:sz="4" w:space="0" w:color="auto"/>
            </w:tcBorders>
            <w:shd w:val="clear" w:color="auto" w:fill="auto"/>
            <w:vAlign w:val="center"/>
          </w:tcPr>
          <w:p w14:paraId="46AD3840" w14:textId="77777777" w:rsidR="006271CA" w:rsidRPr="003E6B3B" w:rsidRDefault="006271CA" w:rsidP="006271CA">
            <w:pPr>
              <w:jc w:val="both"/>
              <w:rPr>
                <w:rFonts w:asciiTheme="majorHAnsi" w:hAnsiTheme="majorHAnsi"/>
                <w:sz w:val="22"/>
                <w:szCs w:val="22"/>
              </w:rPr>
            </w:pPr>
            <w:r w:rsidRPr="003E6B3B">
              <w:rPr>
                <w:rFonts w:asciiTheme="majorHAnsi" w:hAnsiTheme="majorHAnsi"/>
                <w:sz w:val="22"/>
                <w:szCs w:val="22"/>
              </w:rPr>
              <w:t>Determination of Unit Commitment (UC) using MIP</w:t>
            </w:r>
          </w:p>
        </w:tc>
        <w:tc>
          <w:tcPr>
            <w:tcW w:w="4382" w:type="dxa"/>
            <w:gridSpan w:val="2"/>
            <w:tcBorders>
              <w:top w:val="single" w:sz="4" w:space="0" w:color="auto"/>
              <w:bottom w:val="single" w:sz="4" w:space="0" w:color="auto"/>
            </w:tcBorders>
            <w:shd w:val="clear" w:color="auto" w:fill="auto"/>
            <w:vAlign w:val="center"/>
          </w:tcPr>
          <w:p w14:paraId="7E53DC6B" w14:textId="77777777" w:rsidR="006271CA" w:rsidRPr="003E6B3B" w:rsidRDefault="006271CA" w:rsidP="006271CA">
            <w:pPr>
              <w:jc w:val="both"/>
              <w:rPr>
                <w:rFonts w:asciiTheme="majorHAnsi" w:hAnsiTheme="majorHAnsi"/>
                <w:sz w:val="22"/>
                <w:szCs w:val="22"/>
              </w:rPr>
            </w:pPr>
            <w:r w:rsidRPr="003E6B3B">
              <w:rPr>
                <w:rFonts w:asciiTheme="majorHAnsi" w:hAnsiTheme="majorHAnsi"/>
                <w:sz w:val="22"/>
                <w:szCs w:val="22"/>
              </w:rPr>
              <w:t>Determination of Unit Commitment (UC) using MIP</w:t>
            </w:r>
          </w:p>
        </w:tc>
      </w:tr>
      <w:tr w:rsidR="006271CA" w:rsidRPr="003E6B3B" w14:paraId="5ED3BD95" w14:textId="77777777" w:rsidTr="00DC7269">
        <w:trPr>
          <w:jc w:val="center"/>
        </w:trPr>
        <w:tc>
          <w:tcPr>
            <w:tcW w:w="592" w:type="dxa"/>
            <w:tcBorders>
              <w:top w:val="single" w:sz="4" w:space="0" w:color="auto"/>
              <w:bottom w:val="single" w:sz="4" w:space="0" w:color="auto"/>
            </w:tcBorders>
            <w:shd w:val="clear" w:color="auto" w:fill="auto"/>
            <w:vAlign w:val="center"/>
          </w:tcPr>
          <w:p w14:paraId="7F3322B8" w14:textId="77777777" w:rsidR="006271CA" w:rsidRPr="003E6B3B" w:rsidRDefault="006271CA" w:rsidP="006271CA">
            <w:pPr>
              <w:jc w:val="center"/>
              <w:rPr>
                <w:rFonts w:asciiTheme="majorHAnsi" w:hAnsiTheme="majorHAnsi"/>
                <w:sz w:val="22"/>
                <w:szCs w:val="22"/>
              </w:rPr>
            </w:pPr>
            <w:r w:rsidRPr="003E6B3B">
              <w:rPr>
                <w:rFonts w:asciiTheme="majorHAnsi" w:hAnsiTheme="majorHAnsi"/>
                <w:sz w:val="22"/>
                <w:szCs w:val="22"/>
              </w:rPr>
              <w:t>4</w:t>
            </w:r>
          </w:p>
        </w:tc>
        <w:tc>
          <w:tcPr>
            <w:tcW w:w="1560" w:type="dxa"/>
            <w:tcBorders>
              <w:top w:val="single" w:sz="4" w:space="0" w:color="auto"/>
              <w:bottom w:val="single" w:sz="4" w:space="0" w:color="auto"/>
            </w:tcBorders>
            <w:shd w:val="clear" w:color="auto" w:fill="auto"/>
            <w:vAlign w:val="center"/>
          </w:tcPr>
          <w:p w14:paraId="67C7F570" w14:textId="7CD8349B" w:rsidR="006271CA" w:rsidRPr="003E6B3B" w:rsidRDefault="006271CA" w:rsidP="006271CA">
            <w:pPr>
              <w:jc w:val="both"/>
              <w:rPr>
                <w:rFonts w:asciiTheme="majorHAnsi" w:hAnsiTheme="majorHAnsi"/>
                <w:sz w:val="22"/>
                <w:szCs w:val="22"/>
              </w:rPr>
            </w:pPr>
            <w:r w:rsidRPr="003E6B3B">
              <w:rPr>
                <w:rFonts w:asciiTheme="majorHAnsi" w:hAnsiTheme="majorHAnsi"/>
                <w:sz w:val="22"/>
                <w:szCs w:val="22"/>
                <w:vertAlign w:val="superscript"/>
              </w:rPr>
              <w:fldChar w:fldCharType="begin" w:fldLock="1"/>
            </w:r>
            <w:r w:rsidRPr="003E6B3B">
              <w:rPr>
                <w:rFonts w:asciiTheme="majorHAnsi" w:hAnsiTheme="majorHAnsi"/>
                <w:sz w:val="22"/>
                <w:szCs w:val="22"/>
                <w:vertAlign w:val="superscript"/>
              </w:rPr>
              <w:instrText>ADDIN CSL_CITATION {"citationItems":[{"id":"ITEM-1","itemData":{"DOI":"10.1016/j.cie.2017.04.036","ISSN":"03608352","abstract":"This study proposes a novel reliable hierarchical location-allocation model for health service network designs where facilities are subject to the risk of disruptions. To characterize the relationship between various levels of the concerned health network, a two-level multi-flow nested hierarchy with service referral is taken into account. The queuing system is considered in the model which handles uncertainty associated with demand as well as service. To ensure the service quality, a minimum limit reflected in the probability of patients’ waiting time is defined. The proposed model is formulated based on a two-stage robust optimization approach in which decisions are defined in two stages such that a first-stage solution should be robust against the possible realizations of the disruption that can only be revealed in a second stage. A solution procedure based on Benders decomposition type algorithm is implemented to solve the model. To illustrate the applicability of the proposed model, a practical case study is presented. The results show that the proposed model can be applied as a flexible decision support tool for decision makers to adopt appropriate strategies and policies in designing a reliable and robust health service network.","author":[{"dropping-particle":"","family":"Zarrinpoor","given":"Naeme","non-dropping-particle":"","parse-names":false,"suffix":""},{"dropping-particle":"","family":"Fallahnezhad","given":"Mohammad Saber","non-dropping-particle":"","parse-names":false,"suffix":""},{"dropping-particle":"","family":"Pishvaee","given":"Mir Saman","non-dropping-particle":"","parse-names":false,"suffix":""}],"container-title":"Computers and Industrial Engineering","id":"ITEM-1","issue":"November 2018","issued":{"date-parts":[["2017"]]},"page":"130-150","title":"Design of a reliable hierarchical location-allocation model under disruptions for health service networks: A two-stage robust approach","type":"article-journal","volume":"109"},"uris":["http://www.mendeley.com/documents/?uuid=c138da2d-e8f1-4a3d-b465-a6c239e57f9c"]}],"mendeley":{"formattedCitation":"(Zarrinpoor et al., 2017)","manualFormatting":"Zarrinpoor et al., 2017","plainTextFormattedCitation":"(Zarrinpoor et al., 2017)","previouslyFormattedCitation":"(Zarrinpoor et al., 2017)"},"properties":{"noteIndex":0},"schema":"https://github.com/citation-style-language/schema/raw/master/csl-citation.json"}</w:instrText>
            </w:r>
            <w:r w:rsidRPr="003E6B3B">
              <w:rPr>
                <w:rFonts w:asciiTheme="majorHAnsi" w:hAnsiTheme="majorHAnsi"/>
                <w:sz w:val="22"/>
                <w:szCs w:val="22"/>
                <w:vertAlign w:val="superscript"/>
              </w:rPr>
              <w:fldChar w:fldCharType="separate"/>
            </w:r>
            <w:r w:rsidRPr="003E6B3B">
              <w:rPr>
                <w:rFonts w:asciiTheme="majorHAnsi" w:hAnsiTheme="majorHAnsi"/>
                <w:noProof/>
                <w:sz w:val="22"/>
                <w:szCs w:val="22"/>
              </w:rPr>
              <w:t>Zarrinpoor et al., 2017</w:t>
            </w:r>
            <w:r w:rsidRPr="003E6B3B">
              <w:rPr>
                <w:rFonts w:asciiTheme="majorHAnsi" w:hAnsiTheme="majorHAnsi"/>
                <w:sz w:val="22"/>
                <w:szCs w:val="22"/>
                <w:vertAlign w:val="superscript"/>
              </w:rPr>
              <w:fldChar w:fldCharType="end"/>
            </w:r>
          </w:p>
        </w:tc>
        <w:tc>
          <w:tcPr>
            <w:tcW w:w="3827" w:type="dxa"/>
            <w:tcBorders>
              <w:top w:val="single" w:sz="4" w:space="0" w:color="auto"/>
              <w:bottom w:val="single" w:sz="4" w:space="0" w:color="auto"/>
            </w:tcBorders>
            <w:shd w:val="clear" w:color="auto" w:fill="auto"/>
            <w:vAlign w:val="center"/>
          </w:tcPr>
          <w:p w14:paraId="7D1FA89E" w14:textId="77777777" w:rsidR="006271CA" w:rsidRPr="003E6B3B" w:rsidRDefault="006271CA" w:rsidP="006271CA">
            <w:pPr>
              <w:jc w:val="both"/>
              <w:rPr>
                <w:rFonts w:asciiTheme="majorHAnsi" w:hAnsiTheme="majorHAnsi"/>
                <w:noProof/>
                <w:sz w:val="22"/>
                <w:szCs w:val="22"/>
              </w:rPr>
            </w:pPr>
            <w:r w:rsidRPr="003E6B3B">
              <w:rPr>
                <w:rFonts w:asciiTheme="majorHAnsi" w:hAnsiTheme="majorHAnsi"/>
                <w:sz w:val="22"/>
                <w:szCs w:val="22"/>
              </w:rPr>
              <w:t>Determination of health facility allocation policy using MIP</w:t>
            </w:r>
          </w:p>
        </w:tc>
        <w:tc>
          <w:tcPr>
            <w:tcW w:w="4382" w:type="dxa"/>
            <w:gridSpan w:val="2"/>
            <w:tcBorders>
              <w:top w:val="single" w:sz="4" w:space="0" w:color="auto"/>
              <w:bottom w:val="single" w:sz="4" w:space="0" w:color="auto"/>
            </w:tcBorders>
            <w:shd w:val="clear" w:color="auto" w:fill="auto"/>
            <w:vAlign w:val="center"/>
          </w:tcPr>
          <w:p w14:paraId="4294BAEC" w14:textId="77777777" w:rsidR="006271CA" w:rsidRPr="003E6B3B" w:rsidRDefault="006271CA" w:rsidP="006271CA">
            <w:pPr>
              <w:jc w:val="both"/>
              <w:rPr>
                <w:rFonts w:asciiTheme="majorHAnsi" w:hAnsiTheme="majorHAnsi"/>
                <w:sz w:val="22"/>
                <w:szCs w:val="22"/>
              </w:rPr>
            </w:pPr>
            <w:r w:rsidRPr="003E6B3B">
              <w:rPr>
                <w:rFonts w:asciiTheme="majorHAnsi" w:hAnsiTheme="majorHAnsi"/>
                <w:sz w:val="22"/>
                <w:szCs w:val="22"/>
              </w:rPr>
              <w:t>Determination of health facility allocation policy using MIP</w:t>
            </w:r>
          </w:p>
        </w:tc>
      </w:tr>
      <w:tr w:rsidR="006271CA" w:rsidRPr="003E6B3B" w14:paraId="32BEFED4" w14:textId="77777777" w:rsidTr="00DC7269">
        <w:trPr>
          <w:jc w:val="center"/>
        </w:trPr>
        <w:tc>
          <w:tcPr>
            <w:tcW w:w="592" w:type="dxa"/>
            <w:tcBorders>
              <w:top w:val="single" w:sz="4" w:space="0" w:color="auto"/>
              <w:bottom w:val="single" w:sz="4" w:space="0" w:color="auto"/>
            </w:tcBorders>
            <w:shd w:val="clear" w:color="auto" w:fill="auto"/>
            <w:vAlign w:val="center"/>
          </w:tcPr>
          <w:p w14:paraId="7C1CF2C3" w14:textId="77777777" w:rsidR="006271CA" w:rsidRPr="003E6B3B" w:rsidRDefault="006271CA" w:rsidP="006271CA">
            <w:pPr>
              <w:jc w:val="center"/>
              <w:rPr>
                <w:rFonts w:asciiTheme="majorHAnsi" w:hAnsiTheme="majorHAnsi"/>
                <w:sz w:val="22"/>
                <w:szCs w:val="22"/>
              </w:rPr>
            </w:pPr>
            <w:r w:rsidRPr="003E6B3B">
              <w:rPr>
                <w:rFonts w:asciiTheme="majorHAnsi" w:hAnsiTheme="majorHAnsi"/>
                <w:sz w:val="22"/>
                <w:szCs w:val="22"/>
              </w:rPr>
              <w:t>5</w:t>
            </w:r>
          </w:p>
        </w:tc>
        <w:tc>
          <w:tcPr>
            <w:tcW w:w="1560" w:type="dxa"/>
            <w:tcBorders>
              <w:top w:val="single" w:sz="4" w:space="0" w:color="auto"/>
              <w:bottom w:val="single" w:sz="4" w:space="0" w:color="auto"/>
            </w:tcBorders>
            <w:shd w:val="clear" w:color="auto" w:fill="auto"/>
            <w:vAlign w:val="center"/>
          </w:tcPr>
          <w:p w14:paraId="7D9A29C8" w14:textId="478EBED3" w:rsidR="006271CA" w:rsidRPr="003E6B3B" w:rsidRDefault="006271CA" w:rsidP="006271CA">
            <w:pPr>
              <w:jc w:val="both"/>
              <w:rPr>
                <w:rFonts w:asciiTheme="majorHAnsi" w:hAnsiTheme="majorHAnsi"/>
                <w:sz w:val="22"/>
                <w:szCs w:val="22"/>
              </w:rPr>
            </w:pPr>
            <w:r w:rsidRPr="003E6B3B">
              <w:rPr>
                <w:rFonts w:asciiTheme="majorHAnsi" w:hAnsiTheme="majorHAnsi"/>
                <w:sz w:val="22"/>
                <w:szCs w:val="22"/>
                <w:vertAlign w:val="superscript"/>
              </w:rPr>
              <w:fldChar w:fldCharType="begin" w:fldLock="1"/>
            </w:r>
            <w:r w:rsidRPr="003E6B3B">
              <w:rPr>
                <w:rFonts w:asciiTheme="majorHAnsi" w:hAnsiTheme="majorHAnsi"/>
                <w:sz w:val="22"/>
                <w:szCs w:val="22"/>
                <w:vertAlign w:val="superscript"/>
              </w:rPr>
              <w:instrText>ADDIN CSL_CITATION {"citationItems":[{"id":"ITEM-1","itemData":{"DOI":"10.1287/ijoc.2019.0928","abstract":"This paper addresses a class of two-stage robust optimization models with an exponential number of scenarios given implicitly. We apply Dantzig–Wolfe decomposition to exploit the structure of these models and show that the original problem reduces to a single-stage robust problem. We propose a Benders algorithm for the reformulated single-stage problem. We also develop a heuristic algorithm that dualizes the linear programming relaxation of the inner maximization problem in the reformulated model and iteratively generates cuts to shape the convex hull of the uncertainty set. We combine this heuristic with the Benders algorithm to create a more effective hybrid Benders algorithm. Because the master problem and subproblem in the Benders algorithm are mixed-integer programs, it is computationally demanding to solve them optimally at each iteration of the algorithm. Therefore, we develop novel stopping conditions for these mixed-integer programs and provide the relevant convergence proofs. Extensive computational experiments on a nurse planning problem and a two-echelon supply chain problem are performed to evaluate the efficiency of the proposed algorithms.","author":[{"dropping-particle":"","family":"Hashemi Doulabi","given":"Hossein","non-dropping-particle":"","parse-names":false,"suffix":""},{"dropping-particle":"","family":"Jaillet","given":"Patrick","non-dropping-particle":"","parse-names":false,"suffix":""},{"dropping-particle":"","family":"Pesant","given":"Gilles","non-dropping-particle":"","parse-names":false,"suffix":""},{"dropping-particle":"","family":"Rousseau","given":"Louis-Martin","non-dropping-particle":"","parse-names":false,"suffix":""}],"container-title":"INFORMS Journal on Computing","id":"ITEM-1","issue":"1","issued":{"date-parts":[["2021"]]},"note":"https://dspace.mit.edu/bitstream/1721.1/129328/2/ijc19.pdf","page":"143-162","title":"Exploiting the Structure of Two-Stage Robust Optimization Models with Exponential Scenarios","type":"article-journal","volume":"33"},"uris":["http://www.mendeley.com/documents/?uuid=62dc50c3-78ee-4c7d-a7b0-9a17d7b71808"]}],"mendeley":{"formattedCitation":"(Hashemi Doulabi et al., 2021)","manualFormatting":"Hashemi Doulabi et al., 2021","plainTextFormattedCitation":"(Hashemi Doulabi et al., 2021)","previouslyFormattedCitation":"(Hashemi Doulabi et al., 2021)"},"properties":{"noteIndex":0},"schema":"https://github.com/citation-style-language/schema/raw/master/csl-citation.json"}</w:instrText>
            </w:r>
            <w:r w:rsidRPr="003E6B3B">
              <w:rPr>
                <w:rFonts w:asciiTheme="majorHAnsi" w:hAnsiTheme="majorHAnsi"/>
                <w:sz w:val="22"/>
                <w:szCs w:val="22"/>
                <w:vertAlign w:val="superscript"/>
              </w:rPr>
              <w:fldChar w:fldCharType="separate"/>
            </w:r>
            <w:r w:rsidRPr="003E6B3B">
              <w:rPr>
                <w:rFonts w:asciiTheme="majorHAnsi" w:hAnsiTheme="majorHAnsi"/>
                <w:noProof/>
                <w:sz w:val="22"/>
                <w:szCs w:val="22"/>
              </w:rPr>
              <w:t>Hashemi Doulabi et al., 2021</w:t>
            </w:r>
            <w:r w:rsidRPr="003E6B3B">
              <w:rPr>
                <w:rFonts w:asciiTheme="majorHAnsi" w:hAnsiTheme="majorHAnsi"/>
                <w:sz w:val="22"/>
                <w:szCs w:val="22"/>
                <w:vertAlign w:val="superscript"/>
              </w:rPr>
              <w:fldChar w:fldCharType="end"/>
            </w:r>
          </w:p>
        </w:tc>
        <w:tc>
          <w:tcPr>
            <w:tcW w:w="3827" w:type="dxa"/>
            <w:tcBorders>
              <w:top w:val="single" w:sz="4" w:space="0" w:color="auto"/>
              <w:bottom w:val="single" w:sz="4" w:space="0" w:color="auto"/>
            </w:tcBorders>
            <w:shd w:val="clear" w:color="auto" w:fill="auto"/>
            <w:vAlign w:val="center"/>
          </w:tcPr>
          <w:p w14:paraId="1E41E31B" w14:textId="77777777" w:rsidR="006271CA" w:rsidRPr="003E6B3B" w:rsidRDefault="006271CA" w:rsidP="006271CA">
            <w:pPr>
              <w:jc w:val="both"/>
              <w:rPr>
                <w:rFonts w:asciiTheme="majorHAnsi" w:hAnsiTheme="majorHAnsi"/>
                <w:noProof/>
                <w:sz w:val="22"/>
                <w:szCs w:val="22"/>
              </w:rPr>
            </w:pPr>
            <w:r w:rsidRPr="003E6B3B">
              <w:rPr>
                <w:rFonts w:asciiTheme="majorHAnsi" w:hAnsiTheme="majorHAnsi"/>
                <w:noProof/>
                <w:sz w:val="22"/>
                <w:szCs w:val="22"/>
              </w:rPr>
              <w:t>The original problem decision variable uses the Dantzig-Wolfe Decomposition Method</w:t>
            </w:r>
          </w:p>
        </w:tc>
        <w:tc>
          <w:tcPr>
            <w:tcW w:w="4382" w:type="dxa"/>
            <w:gridSpan w:val="2"/>
            <w:tcBorders>
              <w:top w:val="single" w:sz="4" w:space="0" w:color="auto"/>
              <w:bottom w:val="single" w:sz="4" w:space="0" w:color="auto"/>
            </w:tcBorders>
            <w:shd w:val="clear" w:color="auto" w:fill="auto"/>
            <w:vAlign w:val="center"/>
          </w:tcPr>
          <w:p w14:paraId="60B2499D" w14:textId="77777777" w:rsidR="006271CA" w:rsidRPr="003E6B3B" w:rsidRDefault="006271CA" w:rsidP="006271CA">
            <w:pPr>
              <w:jc w:val="both"/>
              <w:rPr>
                <w:rFonts w:asciiTheme="majorHAnsi" w:hAnsiTheme="majorHAnsi"/>
                <w:sz w:val="22"/>
                <w:szCs w:val="22"/>
              </w:rPr>
            </w:pPr>
            <w:r w:rsidRPr="003E6B3B">
              <w:rPr>
                <w:rFonts w:asciiTheme="majorHAnsi" w:hAnsiTheme="majorHAnsi"/>
                <w:sz w:val="22"/>
                <w:szCs w:val="22"/>
              </w:rPr>
              <w:t>Decision variables reformulated original problem using the Benders Decomposition Method</w:t>
            </w:r>
          </w:p>
        </w:tc>
      </w:tr>
      <w:tr w:rsidR="006271CA" w:rsidRPr="003E6B3B" w14:paraId="542F2D18" w14:textId="77777777" w:rsidTr="00DC7269">
        <w:trPr>
          <w:jc w:val="center"/>
        </w:trPr>
        <w:tc>
          <w:tcPr>
            <w:tcW w:w="592" w:type="dxa"/>
            <w:tcBorders>
              <w:top w:val="single" w:sz="4" w:space="0" w:color="auto"/>
              <w:bottom w:val="single" w:sz="4" w:space="0" w:color="auto"/>
            </w:tcBorders>
            <w:shd w:val="clear" w:color="auto" w:fill="auto"/>
            <w:vAlign w:val="center"/>
          </w:tcPr>
          <w:p w14:paraId="6442C8FB" w14:textId="77777777" w:rsidR="006271CA" w:rsidRPr="003E6B3B" w:rsidRDefault="006271CA" w:rsidP="006271CA">
            <w:pPr>
              <w:jc w:val="center"/>
              <w:rPr>
                <w:rFonts w:asciiTheme="majorHAnsi" w:hAnsiTheme="majorHAnsi"/>
                <w:sz w:val="22"/>
                <w:szCs w:val="22"/>
              </w:rPr>
            </w:pPr>
            <w:r w:rsidRPr="003E6B3B">
              <w:rPr>
                <w:rFonts w:asciiTheme="majorHAnsi" w:hAnsiTheme="majorHAnsi"/>
                <w:sz w:val="22"/>
                <w:szCs w:val="22"/>
              </w:rPr>
              <w:t>6</w:t>
            </w:r>
          </w:p>
        </w:tc>
        <w:tc>
          <w:tcPr>
            <w:tcW w:w="1560" w:type="dxa"/>
            <w:tcBorders>
              <w:top w:val="single" w:sz="4" w:space="0" w:color="auto"/>
              <w:bottom w:val="single" w:sz="4" w:space="0" w:color="auto"/>
            </w:tcBorders>
            <w:shd w:val="clear" w:color="auto" w:fill="auto"/>
            <w:vAlign w:val="center"/>
          </w:tcPr>
          <w:p w14:paraId="71252756" w14:textId="2DA53B59" w:rsidR="006271CA" w:rsidRPr="003E6B3B" w:rsidRDefault="006271CA" w:rsidP="006271CA">
            <w:pPr>
              <w:jc w:val="both"/>
              <w:rPr>
                <w:rFonts w:asciiTheme="majorHAnsi" w:hAnsiTheme="majorHAnsi"/>
                <w:sz w:val="22"/>
                <w:szCs w:val="22"/>
              </w:rPr>
            </w:pPr>
            <w:r w:rsidRPr="003E6B3B">
              <w:rPr>
                <w:rFonts w:asciiTheme="majorHAnsi" w:hAnsiTheme="majorHAnsi"/>
                <w:sz w:val="22"/>
                <w:szCs w:val="22"/>
                <w:vertAlign w:val="superscript"/>
              </w:rPr>
              <w:fldChar w:fldCharType="begin" w:fldLock="1"/>
            </w:r>
            <w:r w:rsidRPr="003E6B3B">
              <w:rPr>
                <w:rFonts w:asciiTheme="majorHAnsi" w:hAnsiTheme="majorHAnsi"/>
                <w:sz w:val="22"/>
                <w:szCs w:val="22"/>
                <w:vertAlign w:val="superscript"/>
              </w:rPr>
              <w:instrText>ADDIN CSL_CITATION {"citationItems":[{"id":"ITEM-1","itemData":{"DOI":"10.1016/j.orl.2021.07.007","ISSN":"01676377","abstract":"We study decomposition methods for two-stage data-driven Wasserstein-based DROs with right-hand-sided uncertainty and rectangular support. We propose a novel finite reformulation that explores the rectangular uncertainty support to develop and test five new different decomposition schemes: Column-Constraint Generation, Single-cut and Multi-cut Benders, as well as Regularized Single-cut and Multi-cut Benders. We compare the efficiency of the proposed methods for a unit commitment problem with 14 and 54 thermal generators whose uncertainty vector differs from a 24 to 240-dimensional array.","author":[{"dropping-particle":"","family":"Gamboa","given":"Carlos Andrés","non-dropping-particle":"","parse-names":false,"suffix":""},{"dropping-particle":"","family":"Valladão","given":"Davi Michel","non-dropping-particle":"","parse-names":false,"suffix":""},{"dropping-particle":"","family":"Street","given":"Alexandre","non-dropping-particle":"","parse-names":false,"suffix":""},{"dropping-particle":"","family":"Homem-de-Mello","given":"Tito","non-dropping-particle":"","parse-names":false,"suffix":""}],"container-title":"Operations Research Letters","id":"ITEM-1","issue":"5","issued":{"date-parts":[["2021"]]},"page":"696-702","publisher":"Elsevier B.V.","title":"Decomposition methods for Wasserstein-based data-driven distributionally robust problems","type":"article-journal","volume":"49"},"uris":["http://www.mendeley.com/documents/?uuid=4c00ca87-6baf-4dbb-89f7-4d5c9e111ccd"]}],"mendeley":{"formattedCitation":"(Gamboa et al., 2021)","manualFormatting":"Gamboa et al., 2021","plainTextFormattedCitation":"(Gamboa et al., 2021)","previouslyFormattedCitation":"(Gamboa et al., 2021)"},"properties":{"noteIndex":0},"schema":"https://github.com/citation-style-language/schema/raw/master/csl-citation.json"}</w:instrText>
            </w:r>
            <w:r w:rsidRPr="003E6B3B">
              <w:rPr>
                <w:rFonts w:asciiTheme="majorHAnsi" w:hAnsiTheme="majorHAnsi"/>
                <w:sz w:val="22"/>
                <w:szCs w:val="22"/>
                <w:vertAlign w:val="superscript"/>
              </w:rPr>
              <w:fldChar w:fldCharType="separate"/>
            </w:r>
            <w:r w:rsidRPr="003E6B3B">
              <w:rPr>
                <w:rFonts w:asciiTheme="majorHAnsi" w:hAnsiTheme="majorHAnsi"/>
                <w:noProof/>
                <w:sz w:val="22"/>
                <w:szCs w:val="22"/>
              </w:rPr>
              <w:t>Gamboa et al., 2021</w:t>
            </w:r>
            <w:r w:rsidRPr="003E6B3B">
              <w:rPr>
                <w:rFonts w:asciiTheme="majorHAnsi" w:hAnsiTheme="majorHAnsi"/>
                <w:sz w:val="22"/>
                <w:szCs w:val="22"/>
                <w:vertAlign w:val="superscript"/>
              </w:rPr>
              <w:fldChar w:fldCharType="end"/>
            </w:r>
          </w:p>
        </w:tc>
        <w:tc>
          <w:tcPr>
            <w:tcW w:w="3827" w:type="dxa"/>
            <w:tcBorders>
              <w:top w:val="single" w:sz="4" w:space="0" w:color="auto"/>
              <w:bottom w:val="single" w:sz="4" w:space="0" w:color="auto"/>
            </w:tcBorders>
            <w:shd w:val="clear" w:color="auto" w:fill="auto"/>
            <w:vAlign w:val="center"/>
          </w:tcPr>
          <w:p w14:paraId="39630C7F" w14:textId="77777777" w:rsidR="006271CA" w:rsidRPr="003E6B3B" w:rsidRDefault="006271CA" w:rsidP="006271CA">
            <w:pPr>
              <w:jc w:val="both"/>
              <w:rPr>
                <w:rFonts w:asciiTheme="majorHAnsi" w:hAnsiTheme="majorHAnsi"/>
                <w:i/>
                <w:iCs/>
                <w:noProof/>
                <w:sz w:val="22"/>
                <w:szCs w:val="22"/>
              </w:rPr>
            </w:pPr>
            <w:r w:rsidRPr="003E6B3B">
              <w:rPr>
                <w:rFonts w:asciiTheme="majorHAnsi" w:hAnsiTheme="majorHAnsi"/>
                <w:noProof/>
                <w:sz w:val="22"/>
                <w:szCs w:val="22"/>
              </w:rPr>
              <w:t>Data-driven determination variables</w:t>
            </w:r>
          </w:p>
        </w:tc>
        <w:tc>
          <w:tcPr>
            <w:tcW w:w="4382" w:type="dxa"/>
            <w:gridSpan w:val="2"/>
            <w:tcBorders>
              <w:top w:val="single" w:sz="4" w:space="0" w:color="auto"/>
              <w:bottom w:val="single" w:sz="4" w:space="0" w:color="auto"/>
            </w:tcBorders>
            <w:shd w:val="clear" w:color="auto" w:fill="auto"/>
            <w:vAlign w:val="center"/>
          </w:tcPr>
          <w:p w14:paraId="27E34086" w14:textId="77777777" w:rsidR="006271CA" w:rsidRPr="003E6B3B" w:rsidRDefault="006271CA" w:rsidP="006271CA">
            <w:pPr>
              <w:jc w:val="both"/>
              <w:rPr>
                <w:rFonts w:asciiTheme="majorHAnsi" w:hAnsiTheme="majorHAnsi"/>
                <w:i/>
                <w:iCs/>
                <w:sz w:val="22"/>
                <w:szCs w:val="22"/>
              </w:rPr>
            </w:pPr>
            <w:r w:rsidRPr="003E6B3B">
              <w:rPr>
                <w:rFonts w:asciiTheme="majorHAnsi" w:hAnsiTheme="majorHAnsi"/>
                <w:sz w:val="22"/>
                <w:szCs w:val="22"/>
              </w:rPr>
              <w:t>Variables in the recourse function</w:t>
            </w:r>
          </w:p>
        </w:tc>
      </w:tr>
    </w:tbl>
    <w:p w14:paraId="5455CFF9" w14:textId="77777777" w:rsidR="00EE353A" w:rsidRPr="003E6B3B" w:rsidRDefault="00EE353A" w:rsidP="00EE353A">
      <w:pPr>
        <w:pStyle w:val="IEEEParagraph"/>
        <w:spacing w:line="23" w:lineRule="atLeast"/>
        <w:ind w:left="1004" w:firstLine="0"/>
        <w:rPr>
          <w:rStyle w:val="longtext"/>
          <w:rFonts w:asciiTheme="majorHAnsi" w:hAnsiTheme="majorHAnsi"/>
          <w:shd w:val="clear" w:color="auto" w:fill="FFFFFF"/>
          <w:lang w:val="en-US"/>
        </w:rPr>
      </w:pPr>
    </w:p>
    <w:p w14:paraId="6129A828" w14:textId="63EC84C0" w:rsidR="00002FB9" w:rsidRPr="003E6B3B" w:rsidRDefault="00002FB9" w:rsidP="00040106">
      <w:pPr>
        <w:pStyle w:val="IEEEParagraph"/>
        <w:numPr>
          <w:ilvl w:val="0"/>
          <w:numId w:val="18"/>
        </w:numPr>
        <w:spacing w:line="23" w:lineRule="atLeast"/>
        <w:ind w:left="709" w:hanging="425"/>
        <w:rPr>
          <w:rStyle w:val="longtext"/>
          <w:rFonts w:asciiTheme="majorHAnsi" w:hAnsiTheme="majorHAnsi"/>
          <w:shd w:val="clear" w:color="auto" w:fill="FFFFFF"/>
          <w:lang w:val="en-US"/>
        </w:rPr>
      </w:pPr>
      <w:r w:rsidRPr="003E6B3B">
        <w:rPr>
          <w:rStyle w:val="longtext"/>
          <w:rFonts w:asciiTheme="majorHAnsi" w:hAnsiTheme="majorHAnsi"/>
          <w:shd w:val="clear" w:color="auto" w:fill="FFFFFF"/>
          <w:lang w:val="en-US"/>
        </w:rPr>
        <w:t>Research Gaps and Recommendations on Research Topics</w:t>
      </w:r>
    </w:p>
    <w:p w14:paraId="3D65D7A0" w14:textId="77777777" w:rsidR="00EE353A" w:rsidRPr="003E6B3B" w:rsidRDefault="00EE353A" w:rsidP="00040106">
      <w:pPr>
        <w:pStyle w:val="IEEEParagraph"/>
        <w:spacing w:line="23" w:lineRule="atLeast"/>
        <w:ind w:left="567" w:firstLine="142"/>
        <w:rPr>
          <w:rStyle w:val="longtext"/>
          <w:rFonts w:asciiTheme="majorHAnsi" w:hAnsiTheme="majorHAnsi"/>
          <w:shd w:val="clear" w:color="auto" w:fill="FFFFFF"/>
          <w:lang w:val="en-US"/>
        </w:rPr>
      </w:pPr>
      <w:r w:rsidRPr="003E6B3B">
        <w:rPr>
          <w:rStyle w:val="longtext"/>
          <w:rFonts w:asciiTheme="majorHAnsi" w:hAnsiTheme="majorHAnsi"/>
          <w:shd w:val="clear" w:color="auto" w:fill="FFFFFF"/>
          <w:lang w:val="en-US"/>
        </w:rPr>
        <w:t xml:space="preserve">This section intends to answer RQ2: How are the research gaps between the multi-objective integer optimization model, ARC, Polyhedral Uncertainty Set, and the Benders Decomposition Method? Based on the discussion about obtaining Dataset 1 and 2 using </w:t>
      </w:r>
      <w:r w:rsidRPr="003E6B3B">
        <w:rPr>
          <w:rStyle w:val="longtext"/>
          <w:rFonts w:asciiTheme="majorHAnsi" w:hAnsiTheme="majorHAnsi"/>
          <w:shd w:val="clear" w:color="auto" w:fill="FFFFFF"/>
          <w:lang w:val="en-US"/>
        </w:rPr>
        <w:lastRenderedPageBreak/>
        <w:t>the PRISMA Method, then conducting an evolutionary analysis, it can be seen that the research topic in the article we discussed provides several search gaps as follows.</w:t>
      </w:r>
    </w:p>
    <w:p w14:paraId="03AD96F7" w14:textId="070DD8B7" w:rsidR="00EE353A" w:rsidRPr="003E6B3B" w:rsidRDefault="00EE353A" w:rsidP="00040106">
      <w:pPr>
        <w:pStyle w:val="IEEEParagraph"/>
        <w:spacing w:line="23" w:lineRule="atLeast"/>
        <w:ind w:left="567" w:firstLine="142"/>
        <w:rPr>
          <w:rStyle w:val="longtext"/>
          <w:rFonts w:asciiTheme="majorHAnsi" w:hAnsiTheme="majorHAnsi"/>
          <w:shd w:val="clear" w:color="auto" w:fill="FFFFFF"/>
          <w:lang w:val="en-US"/>
        </w:rPr>
      </w:pPr>
      <w:r w:rsidRPr="003E6B3B">
        <w:rPr>
          <w:rStyle w:val="longtext"/>
          <w:rFonts w:asciiTheme="majorHAnsi" w:hAnsiTheme="majorHAnsi"/>
          <w:shd w:val="clear" w:color="auto" w:fill="FFFFFF"/>
          <w:lang w:val="en-US"/>
        </w:rPr>
        <w:t>First, there is no research on the ARC multi-objective integer optimization model with Polyhedral Uncertainty Set using the Benders Decomposition Method. Based on the bibliometric analysis in Figure 2, which contains articles in dataset one and in Table 7 and Table 8, which includes articles on, there has not been any emergence of optimization models with more than one objective function is, commonly called multi-objective. This is a gap in previous research which is an opportunity for something new that must be developed in future research. Second: there is no research on the ARC multi-objective integer optimization model with Polyhedral Uncertainty Set using the Benders Decomposition Method, which discusses general models and their mathematical analysis. Based on Tables 7 and 8, the six articles focus on numerical experiments of the MILP model used in real life problems. The main focus of the research topic of this review article is the output in the form of a general model, so it is a novelty to develop or publish a new optimization model with specifications in the form of an ARC multi-objective integer optimization model with a Polyhedral Uncertainty Set using the Benders Decomposition Method.</w:t>
      </w:r>
    </w:p>
    <w:p w14:paraId="4D08284A" w14:textId="77777777" w:rsidR="009C30E3" w:rsidRPr="003E6B3B" w:rsidRDefault="009C30E3" w:rsidP="00E77E85">
      <w:pPr>
        <w:pStyle w:val="IEEEParagraph"/>
        <w:spacing w:line="23" w:lineRule="atLeast"/>
        <w:rPr>
          <w:rFonts w:asciiTheme="majorHAnsi" w:hAnsiTheme="majorHAnsi"/>
        </w:rPr>
      </w:pPr>
    </w:p>
    <w:p w14:paraId="4CFE8682" w14:textId="77777777" w:rsidR="0062033E" w:rsidRPr="003E6B3B" w:rsidRDefault="0063726A" w:rsidP="00E77E85">
      <w:pPr>
        <w:pStyle w:val="IEEEHeading1"/>
        <w:numPr>
          <w:ilvl w:val="0"/>
          <w:numId w:val="11"/>
        </w:numPr>
        <w:spacing w:before="0" w:after="0" w:line="23" w:lineRule="atLeast"/>
        <w:jc w:val="left"/>
        <w:rPr>
          <w:rFonts w:asciiTheme="majorHAnsi" w:hAnsiTheme="majorHAnsi"/>
          <w:b/>
          <w:sz w:val="24"/>
          <w:lang w:val="en-US"/>
        </w:rPr>
      </w:pPr>
      <w:r w:rsidRPr="003E6B3B">
        <w:rPr>
          <w:rFonts w:asciiTheme="majorHAnsi" w:hAnsiTheme="majorHAnsi"/>
          <w:b/>
          <w:sz w:val="24"/>
          <w:lang w:val="id-ID"/>
        </w:rPr>
        <w:t>CONCLUSION AND SUGGESTIONS</w:t>
      </w:r>
    </w:p>
    <w:p w14:paraId="16EEA4F9" w14:textId="77777777" w:rsidR="00002FB9" w:rsidRPr="003E6B3B" w:rsidRDefault="00002FB9" w:rsidP="00002FB9">
      <w:pPr>
        <w:pStyle w:val="IEEEParagraph"/>
        <w:spacing w:line="23" w:lineRule="atLeast"/>
        <w:ind w:firstLine="360"/>
        <w:rPr>
          <w:rStyle w:val="longtext"/>
          <w:rFonts w:asciiTheme="majorHAnsi" w:hAnsiTheme="majorHAnsi"/>
          <w:shd w:val="clear" w:color="auto" w:fill="FFFFFF"/>
          <w:lang w:val="sv-SE"/>
        </w:rPr>
      </w:pPr>
      <w:r w:rsidRPr="003E6B3B">
        <w:rPr>
          <w:rStyle w:val="longtext"/>
          <w:rFonts w:asciiTheme="majorHAnsi" w:hAnsiTheme="majorHAnsi"/>
          <w:shd w:val="clear" w:color="auto" w:fill="FFFFFF"/>
          <w:lang w:val="sv-SE"/>
        </w:rPr>
        <w:t xml:space="preserve">In this review article, we present a Systematic Literature Review (SLR) with the topic of ARC multi-objective integer optimization model with Polyhedral Uncertainty Set using the Benders Decomposition Method. The Preferred Reporting Items for Systematic Reviews and Meta-Analysis (PRISMA) method is used as a protocol to describe article selection criteria, search strategies, data extraction, and data analysis procedures proven to improve the quality of literature review. We used six kinds of keyword combinations with 256 identified articles from four digital libraries, namely Scopus, Science Direct, Dimensions, and Google Scholar. After all the PRISMA Method protocols were carried out, sixteen articles were obtained as Dataset 1, used for bibliometric mapping and evolution analysis. In comparison, the last six articles as Dataset 1 were analyzed to support SLR. </w:t>
      </w:r>
    </w:p>
    <w:p w14:paraId="5C3B9BC1" w14:textId="7624493D" w:rsidR="00002FB9" w:rsidRPr="003E6B3B" w:rsidRDefault="00002FB9" w:rsidP="00002FB9">
      <w:pPr>
        <w:pStyle w:val="IEEEParagraph"/>
        <w:spacing w:line="23" w:lineRule="atLeast"/>
        <w:ind w:firstLine="360"/>
        <w:rPr>
          <w:rStyle w:val="longtext"/>
          <w:rFonts w:asciiTheme="majorHAnsi" w:hAnsiTheme="majorHAnsi"/>
          <w:shd w:val="clear" w:color="auto" w:fill="FFFFFF"/>
          <w:lang w:val="sv-SE"/>
        </w:rPr>
      </w:pPr>
      <w:r w:rsidRPr="003E6B3B">
        <w:rPr>
          <w:rStyle w:val="longtext"/>
          <w:rFonts w:asciiTheme="majorHAnsi" w:hAnsiTheme="majorHAnsi"/>
          <w:shd w:val="clear" w:color="auto" w:fill="FFFFFF"/>
          <w:lang w:val="sv-SE"/>
        </w:rPr>
        <w:t>The results of Dataset 1 analysis show that the sixteen articles have a timespan between 1998 and 2022 with average years from the publication of 5.5, average citations per document of 7,875, an average citation per year per document 1,831, and a total of 496 references. Furthermore, it can be concluded that the ten relevant words produced in the most pertinent words of keywords in the title field not yet represent the topic of this research, namely the ARC multi-objective integer optimization model with a Polyhedral Uncertainty Set using the Benders Decomposition Method approach. In brief, the topic of ARC with Benders Decomposition Method has not been frequently studied and is open to further research in connection. This is our contribution to the following study.</w:t>
      </w:r>
    </w:p>
    <w:p w14:paraId="5B7B0B15" w14:textId="3E2262F3" w:rsidR="00633178" w:rsidRPr="003E6B3B" w:rsidRDefault="00002FB9" w:rsidP="00002FB9">
      <w:pPr>
        <w:pStyle w:val="IEEEParagraph"/>
        <w:spacing w:line="23" w:lineRule="atLeast"/>
        <w:ind w:firstLine="360"/>
        <w:rPr>
          <w:rStyle w:val="longtext"/>
          <w:rFonts w:asciiTheme="majorHAnsi" w:hAnsiTheme="majorHAnsi"/>
          <w:shd w:val="clear" w:color="auto" w:fill="FFFFFF"/>
          <w:lang w:val="id-ID"/>
        </w:rPr>
      </w:pPr>
      <w:r w:rsidRPr="003E6B3B">
        <w:rPr>
          <w:rStyle w:val="longtext"/>
          <w:rFonts w:asciiTheme="majorHAnsi" w:hAnsiTheme="majorHAnsi"/>
          <w:shd w:val="clear" w:color="auto" w:fill="FFFFFF"/>
          <w:lang w:val="sv-SE"/>
        </w:rPr>
        <w:t>The results of Dataset 2 analysis provide a research gap. There is no research on the ARC multi-objective integer optimization model with Polyhedral Uncertainty Set using the Benders Decomposition Method, which discusses general models and their mathematical analysis. This becomes the main reference for further research on this topic. Furthermore, future research analysis was conducted on the ARC multi-objective integer optimization model with Polyhedral Uncertainty Set using the Benders Decomposition Method.</w:t>
      </w:r>
    </w:p>
    <w:p w14:paraId="1A650703" w14:textId="77777777" w:rsidR="00633178" w:rsidRPr="003E6B3B" w:rsidRDefault="00633178" w:rsidP="00E77E85">
      <w:pPr>
        <w:pStyle w:val="IEEEParagraph"/>
        <w:spacing w:line="23" w:lineRule="atLeast"/>
        <w:rPr>
          <w:rFonts w:asciiTheme="majorHAnsi" w:hAnsiTheme="majorHAnsi"/>
          <w:lang w:val="id-ID"/>
        </w:rPr>
      </w:pPr>
    </w:p>
    <w:p w14:paraId="30CAC486" w14:textId="77777777" w:rsidR="003950A4" w:rsidRPr="003E6B3B" w:rsidRDefault="009C30E3" w:rsidP="00E77E85">
      <w:pPr>
        <w:pStyle w:val="IEEEHeading1"/>
        <w:numPr>
          <w:ilvl w:val="0"/>
          <w:numId w:val="0"/>
        </w:numPr>
        <w:spacing w:before="0" w:after="0" w:line="23" w:lineRule="atLeast"/>
        <w:jc w:val="left"/>
        <w:rPr>
          <w:rFonts w:asciiTheme="majorHAnsi" w:hAnsiTheme="majorHAnsi"/>
          <w:b/>
          <w:sz w:val="24"/>
          <w:lang w:val="en-US"/>
        </w:rPr>
      </w:pPr>
      <w:r w:rsidRPr="003E6B3B">
        <w:rPr>
          <w:rFonts w:asciiTheme="majorHAnsi" w:hAnsiTheme="majorHAnsi"/>
          <w:b/>
          <w:sz w:val="24"/>
          <w:lang w:val="en-US"/>
        </w:rPr>
        <w:t>ACKNOWLEDGEMENT</w:t>
      </w:r>
    </w:p>
    <w:p w14:paraId="6DE218A0" w14:textId="4179032C" w:rsidR="008A1519" w:rsidRPr="003E6B3B" w:rsidRDefault="00002FB9" w:rsidP="00E77E85">
      <w:pPr>
        <w:pStyle w:val="IEEEParagraph"/>
        <w:spacing w:line="23" w:lineRule="atLeast"/>
        <w:ind w:firstLine="0"/>
        <w:rPr>
          <w:rStyle w:val="longtext"/>
          <w:rFonts w:asciiTheme="majorHAnsi" w:hAnsiTheme="majorHAnsi"/>
          <w:shd w:val="clear" w:color="auto" w:fill="FFFFFF"/>
          <w:lang w:val="sv-SE"/>
        </w:rPr>
      </w:pPr>
      <w:r w:rsidRPr="003E6B3B">
        <w:rPr>
          <w:rStyle w:val="longtext"/>
          <w:rFonts w:asciiTheme="majorHAnsi" w:hAnsiTheme="majorHAnsi"/>
          <w:shd w:val="clear" w:color="auto" w:fill="FFFFFF"/>
          <w:lang w:val="sv-SE"/>
        </w:rPr>
        <w:t>This research is supported by Universitas Padjadjaran and the Indonesian Ministry of Education, Culture, Research, and Technology under project with Basic Research Scheme</w:t>
      </w:r>
      <w:r w:rsidR="009C30E3" w:rsidRPr="003E6B3B">
        <w:rPr>
          <w:rStyle w:val="longtext"/>
          <w:rFonts w:asciiTheme="majorHAnsi" w:hAnsiTheme="majorHAnsi"/>
          <w:shd w:val="clear" w:color="auto" w:fill="FFFFFF"/>
          <w:lang w:val="sv-SE"/>
        </w:rPr>
        <w:t>.</w:t>
      </w:r>
    </w:p>
    <w:p w14:paraId="5A7B8B5F" w14:textId="509E93ED" w:rsidR="00040106" w:rsidRPr="003E6B3B" w:rsidRDefault="00040106" w:rsidP="00E77E85">
      <w:pPr>
        <w:pStyle w:val="IEEEParagraph"/>
        <w:spacing w:line="23" w:lineRule="atLeast"/>
        <w:ind w:firstLine="0"/>
        <w:rPr>
          <w:rStyle w:val="longtext"/>
          <w:rFonts w:asciiTheme="majorHAnsi" w:hAnsiTheme="majorHAnsi"/>
          <w:shd w:val="clear" w:color="auto" w:fill="FFFFFF"/>
          <w:lang w:val="sv-SE"/>
        </w:rPr>
      </w:pPr>
    </w:p>
    <w:p w14:paraId="6E9DD1D2" w14:textId="3787669E" w:rsidR="00040106" w:rsidRPr="003E6B3B" w:rsidRDefault="00040106" w:rsidP="00E77E85">
      <w:pPr>
        <w:pStyle w:val="IEEEParagraph"/>
        <w:spacing w:line="23" w:lineRule="atLeast"/>
        <w:ind w:firstLine="0"/>
        <w:rPr>
          <w:rStyle w:val="longtext"/>
          <w:rFonts w:asciiTheme="majorHAnsi" w:hAnsiTheme="majorHAnsi"/>
          <w:shd w:val="clear" w:color="auto" w:fill="FFFFFF"/>
          <w:lang w:val="sv-SE"/>
        </w:rPr>
      </w:pPr>
    </w:p>
    <w:p w14:paraId="0DCA3EE3" w14:textId="77777777" w:rsidR="001928FB" w:rsidRPr="003E6B3B" w:rsidRDefault="009C30E3" w:rsidP="00E77E85">
      <w:pPr>
        <w:pStyle w:val="IEEEHeading1"/>
        <w:numPr>
          <w:ilvl w:val="0"/>
          <w:numId w:val="0"/>
        </w:numPr>
        <w:spacing w:before="0" w:after="0" w:line="23" w:lineRule="atLeast"/>
        <w:jc w:val="left"/>
        <w:rPr>
          <w:rFonts w:asciiTheme="majorHAnsi" w:hAnsiTheme="majorHAnsi"/>
          <w:b/>
          <w:sz w:val="24"/>
          <w:lang w:val="en-US"/>
        </w:rPr>
      </w:pPr>
      <w:r w:rsidRPr="003E6B3B">
        <w:rPr>
          <w:rFonts w:asciiTheme="majorHAnsi" w:hAnsiTheme="majorHAnsi"/>
          <w:b/>
          <w:sz w:val="24"/>
          <w:lang w:val="en-US"/>
        </w:rPr>
        <w:lastRenderedPageBreak/>
        <w:t>REFERENCES</w:t>
      </w:r>
    </w:p>
    <w:p w14:paraId="17BE1A71" w14:textId="404F0DFE" w:rsidR="003E6B3B" w:rsidRPr="003E6B3B" w:rsidRDefault="006271CA"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b/>
          <w:color w:val="FF0000"/>
          <w:sz w:val="22"/>
          <w:szCs w:val="22"/>
        </w:rPr>
        <w:fldChar w:fldCharType="begin" w:fldLock="1"/>
      </w:r>
      <w:r w:rsidRPr="003E6B3B">
        <w:rPr>
          <w:rFonts w:asciiTheme="majorHAnsi" w:hAnsiTheme="majorHAnsi"/>
          <w:b/>
          <w:color w:val="FF0000"/>
          <w:sz w:val="22"/>
          <w:szCs w:val="22"/>
        </w:rPr>
        <w:instrText xml:space="preserve">ADDIN Mendeley Bibliography CSL_BIBLIOGRAPHY </w:instrText>
      </w:r>
      <w:r w:rsidRPr="003E6B3B">
        <w:rPr>
          <w:rFonts w:asciiTheme="majorHAnsi" w:hAnsiTheme="majorHAnsi"/>
          <w:b/>
          <w:color w:val="FF0000"/>
          <w:sz w:val="22"/>
          <w:szCs w:val="22"/>
        </w:rPr>
        <w:fldChar w:fldCharType="separate"/>
      </w:r>
      <w:r w:rsidR="003E6B3B" w:rsidRPr="003E6B3B">
        <w:rPr>
          <w:rFonts w:asciiTheme="majorHAnsi" w:hAnsiTheme="majorHAnsi"/>
          <w:noProof/>
          <w:sz w:val="22"/>
          <w:szCs w:val="22"/>
        </w:rPr>
        <w:t xml:space="preserve">Abelha, M., Fernandes, S., Mesquita, D., Seabra, F., &amp; Ferreira-Oliveira, A. T. (2020). Graduate employability and competence development in higher education-A systematic literature review using PRISMA. </w:t>
      </w:r>
      <w:r w:rsidR="003E6B3B" w:rsidRPr="003E6B3B">
        <w:rPr>
          <w:rFonts w:asciiTheme="majorHAnsi" w:hAnsiTheme="majorHAnsi"/>
          <w:i/>
          <w:iCs/>
          <w:noProof/>
          <w:sz w:val="22"/>
          <w:szCs w:val="22"/>
        </w:rPr>
        <w:t>Sustainability (Switzerland)</w:t>
      </w:r>
      <w:r w:rsidR="003E6B3B" w:rsidRPr="003E6B3B">
        <w:rPr>
          <w:rFonts w:asciiTheme="majorHAnsi" w:hAnsiTheme="majorHAnsi"/>
          <w:noProof/>
          <w:sz w:val="22"/>
          <w:szCs w:val="22"/>
        </w:rPr>
        <w:t xml:space="preserve">, </w:t>
      </w:r>
      <w:r w:rsidR="003E6B3B" w:rsidRPr="003E6B3B">
        <w:rPr>
          <w:rFonts w:asciiTheme="majorHAnsi" w:hAnsiTheme="majorHAnsi"/>
          <w:i/>
          <w:iCs/>
          <w:noProof/>
          <w:sz w:val="22"/>
          <w:szCs w:val="22"/>
        </w:rPr>
        <w:t>12</w:t>
      </w:r>
      <w:r w:rsidR="003E6B3B" w:rsidRPr="003E6B3B">
        <w:rPr>
          <w:rFonts w:asciiTheme="majorHAnsi" w:hAnsiTheme="majorHAnsi"/>
          <w:noProof/>
          <w:sz w:val="22"/>
          <w:szCs w:val="22"/>
        </w:rPr>
        <w:t>(15). https://doi.org/10.3390/SU12155900.</w:t>
      </w:r>
    </w:p>
    <w:p w14:paraId="73092801" w14:textId="33D8940E"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Agustini, R. A., Chaerani, D., &amp; Hertini, E. (2020). Adjustable robust counterpart optimization model for maximum flow problems with box uncertainty. </w:t>
      </w:r>
      <w:r w:rsidRPr="003E6B3B">
        <w:rPr>
          <w:rFonts w:asciiTheme="majorHAnsi" w:hAnsiTheme="majorHAnsi"/>
          <w:i/>
          <w:iCs/>
          <w:noProof/>
          <w:sz w:val="22"/>
          <w:szCs w:val="22"/>
        </w:rPr>
        <w:t>World Scientific News</w:t>
      </w:r>
      <w:r w:rsidRPr="003E6B3B">
        <w:rPr>
          <w:rFonts w:asciiTheme="majorHAnsi" w:hAnsiTheme="majorHAnsi"/>
          <w:noProof/>
          <w:sz w:val="22"/>
          <w:szCs w:val="22"/>
        </w:rPr>
        <w:t>. http://psjd.icm.edu.pl/psjd/element/bwmeta1.element.psjd-d3bda928-14de-4915-9abf-b14cfee42610.</w:t>
      </w:r>
    </w:p>
    <w:p w14:paraId="4150AF17" w14:textId="58765E94"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Ben-Tal, A., Goryashko, A., Guslitzer, E., &amp; Nemirovski, A. (2004). Adjustable robust solutions of uncertain linear programs. </w:t>
      </w:r>
      <w:r w:rsidRPr="003E6B3B">
        <w:rPr>
          <w:rFonts w:asciiTheme="majorHAnsi" w:hAnsiTheme="majorHAnsi"/>
          <w:i/>
          <w:iCs/>
          <w:noProof/>
          <w:sz w:val="22"/>
          <w:szCs w:val="22"/>
        </w:rPr>
        <w:t>Mathematical Programming</w:t>
      </w:r>
      <w:r w:rsidRPr="003E6B3B">
        <w:rPr>
          <w:rFonts w:asciiTheme="majorHAnsi" w:hAnsiTheme="majorHAnsi"/>
          <w:noProof/>
          <w:sz w:val="22"/>
          <w:szCs w:val="22"/>
        </w:rPr>
        <w:t xml:space="preserve">, </w:t>
      </w:r>
      <w:r w:rsidRPr="003E6B3B">
        <w:rPr>
          <w:rFonts w:asciiTheme="majorHAnsi" w:hAnsiTheme="majorHAnsi"/>
          <w:i/>
          <w:iCs/>
          <w:noProof/>
          <w:sz w:val="22"/>
          <w:szCs w:val="22"/>
        </w:rPr>
        <w:t>99</w:t>
      </w:r>
      <w:r w:rsidRPr="003E6B3B">
        <w:rPr>
          <w:rFonts w:asciiTheme="majorHAnsi" w:hAnsiTheme="majorHAnsi"/>
          <w:noProof/>
          <w:sz w:val="22"/>
          <w:szCs w:val="22"/>
        </w:rPr>
        <w:t>(2), 351–376. https://doi.org/10.1007/s10107-003-0454-y.</w:t>
      </w:r>
    </w:p>
    <w:p w14:paraId="4F59E197" w14:textId="7148247C"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Bertsimas, D., Litvinov, E., Sun, X. A., Zhao, J., &amp; Zheng, T. (2013). Adaptive robust optimization for the security constrained unit commitment problem. </w:t>
      </w:r>
      <w:r w:rsidRPr="003E6B3B">
        <w:rPr>
          <w:rFonts w:asciiTheme="majorHAnsi" w:hAnsiTheme="majorHAnsi"/>
          <w:i/>
          <w:iCs/>
          <w:noProof/>
          <w:sz w:val="22"/>
          <w:szCs w:val="22"/>
        </w:rPr>
        <w:t>IEEE Transactions on Power Systems</w:t>
      </w:r>
      <w:r w:rsidRPr="003E6B3B">
        <w:rPr>
          <w:rFonts w:asciiTheme="majorHAnsi" w:hAnsiTheme="majorHAnsi"/>
          <w:noProof/>
          <w:sz w:val="22"/>
          <w:szCs w:val="22"/>
        </w:rPr>
        <w:t xml:space="preserve">, </w:t>
      </w:r>
      <w:r w:rsidRPr="003E6B3B">
        <w:rPr>
          <w:rFonts w:asciiTheme="majorHAnsi" w:hAnsiTheme="majorHAnsi"/>
          <w:i/>
          <w:iCs/>
          <w:noProof/>
          <w:sz w:val="22"/>
          <w:szCs w:val="22"/>
        </w:rPr>
        <w:t>28</w:t>
      </w:r>
      <w:r w:rsidRPr="003E6B3B">
        <w:rPr>
          <w:rFonts w:asciiTheme="majorHAnsi" w:hAnsiTheme="majorHAnsi"/>
          <w:noProof/>
          <w:sz w:val="22"/>
          <w:szCs w:val="22"/>
        </w:rPr>
        <w:t>(1), 52–63. https://doi.org/10.1109/TPWRS.2012.2205021.</w:t>
      </w:r>
      <w:r w:rsidR="00082137">
        <w:rPr>
          <w:rFonts w:asciiTheme="majorHAnsi" w:hAnsiTheme="majorHAnsi"/>
          <w:noProof/>
          <w:sz w:val="22"/>
          <w:szCs w:val="22"/>
        </w:rPr>
        <w:t xml:space="preserve"> </w:t>
      </w:r>
    </w:p>
    <w:p w14:paraId="46304EB3" w14:textId="4C3F604D"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Billionnet, A., Costa, M. C., &amp; Poirion, P. L. (2014). 2-stage robust MILP with continuous recourse variables. </w:t>
      </w:r>
      <w:r w:rsidRPr="003E6B3B">
        <w:rPr>
          <w:rFonts w:asciiTheme="majorHAnsi" w:hAnsiTheme="majorHAnsi"/>
          <w:i/>
          <w:iCs/>
          <w:noProof/>
          <w:sz w:val="22"/>
          <w:szCs w:val="22"/>
        </w:rPr>
        <w:t>Discrete Applied Mathematics</w:t>
      </w:r>
      <w:r w:rsidRPr="003E6B3B">
        <w:rPr>
          <w:rFonts w:asciiTheme="majorHAnsi" w:hAnsiTheme="majorHAnsi"/>
          <w:noProof/>
          <w:sz w:val="22"/>
          <w:szCs w:val="22"/>
        </w:rPr>
        <w:t xml:space="preserve">, </w:t>
      </w:r>
      <w:r w:rsidRPr="003E6B3B">
        <w:rPr>
          <w:rFonts w:asciiTheme="majorHAnsi" w:hAnsiTheme="majorHAnsi"/>
          <w:i/>
          <w:iCs/>
          <w:noProof/>
          <w:sz w:val="22"/>
          <w:szCs w:val="22"/>
        </w:rPr>
        <w:t>170</w:t>
      </w:r>
      <w:r w:rsidRPr="003E6B3B">
        <w:rPr>
          <w:rFonts w:asciiTheme="majorHAnsi" w:hAnsiTheme="majorHAnsi"/>
          <w:noProof/>
          <w:sz w:val="22"/>
          <w:szCs w:val="22"/>
        </w:rPr>
        <w:t>, 21–32. https://doi.org/10.1016/j.dam.2014.01.017.</w:t>
      </w:r>
    </w:p>
    <w:p w14:paraId="4647F1A2" w14:textId="7BBAE711"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Chaerani, D., Rusyaman, E., Mahrudinda, Marcia, A., &amp; Fridayana, A. (2021). Adjustable robust counterpart optimization model for internet shopping online problem. </w:t>
      </w:r>
      <w:r w:rsidRPr="003E6B3B">
        <w:rPr>
          <w:rFonts w:asciiTheme="majorHAnsi" w:hAnsiTheme="majorHAnsi"/>
          <w:i/>
          <w:iCs/>
          <w:noProof/>
          <w:sz w:val="22"/>
          <w:szCs w:val="22"/>
        </w:rPr>
        <w:t>Journal of Physics: Conference Series</w:t>
      </w:r>
      <w:r w:rsidRPr="003E6B3B">
        <w:rPr>
          <w:rFonts w:asciiTheme="majorHAnsi" w:hAnsiTheme="majorHAnsi"/>
          <w:noProof/>
          <w:sz w:val="22"/>
          <w:szCs w:val="22"/>
        </w:rPr>
        <w:t xml:space="preserve">, </w:t>
      </w:r>
      <w:r w:rsidRPr="003E6B3B">
        <w:rPr>
          <w:rFonts w:asciiTheme="majorHAnsi" w:hAnsiTheme="majorHAnsi"/>
          <w:i/>
          <w:iCs/>
          <w:noProof/>
          <w:sz w:val="22"/>
          <w:szCs w:val="22"/>
        </w:rPr>
        <w:t>1722</w:t>
      </w:r>
      <w:r w:rsidRPr="003E6B3B">
        <w:rPr>
          <w:rFonts w:asciiTheme="majorHAnsi" w:hAnsiTheme="majorHAnsi"/>
          <w:noProof/>
          <w:sz w:val="22"/>
          <w:szCs w:val="22"/>
        </w:rPr>
        <w:t>(1). https://doi.org/10.1088/1742-6596/1722/1/012074.</w:t>
      </w:r>
    </w:p>
    <w:p w14:paraId="510DAE11" w14:textId="6DEB6CD4"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Chaerani, Diah, Irmansyah, A. Z., Perdana, T., &amp; Gusriani, N. (2022). Contribution of robust optimization on handling agricultural processed products supply chain problem during covid-19 pandemic. </w:t>
      </w:r>
      <w:r w:rsidRPr="003E6B3B">
        <w:rPr>
          <w:rFonts w:asciiTheme="majorHAnsi" w:hAnsiTheme="majorHAnsi"/>
          <w:i/>
          <w:iCs/>
          <w:noProof/>
          <w:sz w:val="22"/>
          <w:szCs w:val="22"/>
        </w:rPr>
        <w:t>Uncertain Supply Chain Management</w:t>
      </w:r>
      <w:r w:rsidRPr="003E6B3B">
        <w:rPr>
          <w:rFonts w:asciiTheme="majorHAnsi" w:hAnsiTheme="majorHAnsi"/>
          <w:noProof/>
          <w:sz w:val="22"/>
          <w:szCs w:val="22"/>
        </w:rPr>
        <w:t xml:space="preserve">, </w:t>
      </w:r>
      <w:r w:rsidRPr="003E6B3B">
        <w:rPr>
          <w:rFonts w:asciiTheme="majorHAnsi" w:hAnsiTheme="majorHAnsi"/>
          <w:i/>
          <w:iCs/>
          <w:noProof/>
          <w:sz w:val="22"/>
          <w:szCs w:val="22"/>
        </w:rPr>
        <w:t>10</w:t>
      </w:r>
      <w:r w:rsidRPr="003E6B3B">
        <w:rPr>
          <w:rFonts w:asciiTheme="majorHAnsi" w:hAnsiTheme="majorHAnsi"/>
          <w:noProof/>
          <w:sz w:val="22"/>
          <w:szCs w:val="22"/>
        </w:rPr>
        <w:t>(1), 239–254. https://doi.org/10.5267/j.uscm.2021.9.004.</w:t>
      </w:r>
    </w:p>
    <w:p w14:paraId="14DB9054" w14:textId="07D4130C"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Gamboa, C. A., Valladão, D. M., Street, A., &amp; Homem-de-Mello, T. (2021). Decomposition methods for Wasserstein-based data-driven distributionally robust problems. </w:t>
      </w:r>
      <w:r w:rsidRPr="003E6B3B">
        <w:rPr>
          <w:rFonts w:asciiTheme="majorHAnsi" w:hAnsiTheme="majorHAnsi"/>
          <w:i/>
          <w:iCs/>
          <w:noProof/>
          <w:sz w:val="22"/>
          <w:szCs w:val="22"/>
        </w:rPr>
        <w:t>Operations Research Letters</w:t>
      </w:r>
      <w:r w:rsidRPr="003E6B3B">
        <w:rPr>
          <w:rFonts w:asciiTheme="majorHAnsi" w:hAnsiTheme="majorHAnsi"/>
          <w:noProof/>
          <w:sz w:val="22"/>
          <w:szCs w:val="22"/>
        </w:rPr>
        <w:t xml:space="preserve">, </w:t>
      </w:r>
      <w:r w:rsidRPr="003E6B3B">
        <w:rPr>
          <w:rFonts w:asciiTheme="majorHAnsi" w:hAnsiTheme="majorHAnsi"/>
          <w:i/>
          <w:iCs/>
          <w:noProof/>
          <w:sz w:val="22"/>
          <w:szCs w:val="22"/>
        </w:rPr>
        <w:t>49</w:t>
      </w:r>
      <w:r w:rsidRPr="003E6B3B">
        <w:rPr>
          <w:rFonts w:asciiTheme="majorHAnsi" w:hAnsiTheme="majorHAnsi"/>
          <w:noProof/>
          <w:sz w:val="22"/>
          <w:szCs w:val="22"/>
        </w:rPr>
        <w:t>(5), 696–702. https://doi.org/10.1016/j.orl.2021.07.007.</w:t>
      </w:r>
    </w:p>
    <w:p w14:paraId="463CAB4D" w14:textId="2FB68333"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Goberna, M. A., Jeyakumar, V., Li, G., &amp; Vicente-Pérez, J. (2022). The radius of robust feasibility of uncertain mathematical programs: A Survey and recent developments. </w:t>
      </w:r>
      <w:r w:rsidRPr="003E6B3B">
        <w:rPr>
          <w:rFonts w:asciiTheme="majorHAnsi" w:hAnsiTheme="majorHAnsi"/>
          <w:i/>
          <w:iCs/>
          <w:noProof/>
          <w:sz w:val="22"/>
          <w:szCs w:val="22"/>
        </w:rPr>
        <w:t>European Journal of Operational Research</w:t>
      </w:r>
      <w:r w:rsidRPr="003E6B3B">
        <w:rPr>
          <w:rFonts w:asciiTheme="majorHAnsi" w:hAnsiTheme="majorHAnsi"/>
          <w:noProof/>
          <w:sz w:val="22"/>
          <w:szCs w:val="22"/>
        </w:rPr>
        <w:t xml:space="preserve">, </w:t>
      </w:r>
      <w:r w:rsidRPr="003E6B3B">
        <w:rPr>
          <w:rFonts w:asciiTheme="majorHAnsi" w:hAnsiTheme="majorHAnsi"/>
          <w:i/>
          <w:iCs/>
          <w:noProof/>
          <w:sz w:val="22"/>
          <w:szCs w:val="22"/>
        </w:rPr>
        <w:t>296</w:t>
      </w:r>
      <w:r w:rsidRPr="003E6B3B">
        <w:rPr>
          <w:rFonts w:asciiTheme="majorHAnsi" w:hAnsiTheme="majorHAnsi"/>
          <w:noProof/>
          <w:sz w:val="22"/>
          <w:szCs w:val="22"/>
        </w:rPr>
        <w:t>(3), 749–763. https://doi.org/10.1016/j.ejor.2021.04.035.</w:t>
      </w:r>
    </w:p>
    <w:p w14:paraId="20847913" w14:textId="77777777"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Gorissen, B. L., Yanıkoğlu, İ., &amp; den Hertog, D. (2015). A practical guide to robust optimization. </w:t>
      </w:r>
      <w:r w:rsidRPr="003E6B3B">
        <w:rPr>
          <w:rFonts w:asciiTheme="majorHAnsi" w:hAnsiTheme="majorHAnsi"/>
          <w:i/>
          <w:iCs/>
          <w:noProof/>
          <w:sz w:val="22"/>
          <w:szCs w:val="22"/>
        </w:rPr>
        <w:t>Omega</w:t>
      </w:r>
      <w:r w:rsidRPr="003E6B3B">
        <w:rPr>
          <w:rFonts w:asciiTheme="majorHAnsi" w:hAnsiTheme="majorHAnsi"/>
          <w:noProof/>
          <w:sz w:val="22"/>
          <w:szCs w:val="22"/>
        </w:rPr>
        <w:t xml:space="preserve">, </w:t>
      </w:r>
      <w:r w:rsidRPr="003E6B3B">
        <w:rPr>
          <w:rFonts w:asciiTheme="majorHAnsi" w:hAnsiTheme="majorHAnsi"/>
          <w:i/>
          <w:iCs/>
          <w:noProof/>
          <w:sz w:val="22"/>
          <w:szCs w:val="22"/>
        </w:rPr>
        <w:t>53</w:t>
      </w:r>
      <w:r w:rsidRPr="003E6B3B">
        <w:rPr>
          <w:rFonts w:asciiTheme="majorHAnsi" w:hAnsiTheme="majorHAnsi"/>
          <w:noProof/>
          <w:sz w:val="22"/>
          <w:szCs w:val="22"/>
        </w:rPr>
        <w:t>, 124–137.</w:t>
      </w:r>
    </w:p>
    <w:p w14:paraId="1525880D" w14:textId="2236E9DD"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Hashemi Doulabi, H., Jaillet, P., Pesant, G., &amp; Rousseau, L.-M. (2021). Exploiting the Structure of Two-Stage Robust Optimization Models with Exponential Scenarios. </w:t>
      </w:r>
      <w:r w:rsidRPr="003E6B3B">
        <w:rPr>
          <w:rFonts w:asciiTheme="majorHAnsi" w:hAnsiTheme="majorHAnsi"/>
          <w:i/>
          <w:iCs/>
          <w:noProof/>
          <w:sz w:val="22"/>
          <w:szCs w:val="22"/>
        </w:rPr>
        <w:t>INFORMS Journal on Computing</w:t>
      </w:r>
      <w:r w:rsidRPr="003E6B3B">
        <w:rPr>
          <w:rFonts w:asciiTheme="majorHAnsi" w:hAnsiTheme="majorHAnsi"/>
          <w:noProof/>
          <w:sz w:val="22"/>
          <w:szCs w:val="22"/>
        </w:rPr>
        <w:t xml:space="preserve">, </w:t>
      </w:r>
      <w:r w:rsidRPr="003E6B3B">
        <w:rPr>
          <w:rFonts w:asciiTheme="majorHAnsi" w:hAnsiTheme="majorHAnsi"/>
          <w:i/>
          <w:iCs/>
          <w:noProof/>
          <w:sz w:val="22"/>
          <w:szCs w:val="22"/>
        </w:rPr>
        <w:t>33</w:t>
      </w:r>
      <w:r w:rsidRPr="003E6B3B">
        <w:rPr>
          <w:rFonts w:asciiTheme="majorHAnsi" w:hAnsiTheme="majorHAnsi"/>
          <w:noProof/>
          <w:sz w:val="22"/>
          <w:szCs w:val="22"/>
        </w:rPr>
        <w:t>(1), 143–162. https://doi.org/10.1287/ijoc.2019.0928.</w:t>
      </w:r>
    </w:p>
    <w:p w14:paraId="5BE10C66" w14:textId="24887681"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Ji, H., Wang, C., Li, P., Ding, F., &amp; Wu, J. (2019). Robust Operation of Soft Open Points in Active Distribution Networks With High Penetration of Photovoltaic Integration. </w:t>
      </w:r>
      <w:r w:rsidRPr="003E6B3B">
        <w:rPr>
          <w:rFonts w:asciiTheme="majorHAnsi" w:hAnsiTheme="majorHAnsi"/>
          <w:i/>
          <w:iCs/>
          <w:noProof/>
          <w:sz w:val="22"/>
          <w:szCs w:val="22"/>
        </w:rPr>
        <w:t>IEEE Transactions on Sustainable Energy</w:t>
      </w:r>
      <w:r w:rsidRPr="003E6B3B">
        <w:rPr>
          <w:rFonts w:asciiTheme="majorHAnsi" w:hAnsiTheme="majorHAnsi"/>
          <w:noProof/>
          <w:sz w:val="22"/>
          <w:szCs w:val="22"/>
        </w:rPr>
        <w:t xml:space="preserve">, </w:t>
      </w:r>
      <w:r w:rsidRPr="003E6B3B">
        <w:rPr>
          <w:rFonts w:asciiTheme="majorHAnsi" w:hAnsiTheme="majorHAnsi"/>
          <w:i/>
          <w:iCs/>
          <w:noProof/>
          <w:sz w:val="22"/>
          <w:szCs w:val="22"/>
        </w:rPr>
        <w:t>10</w:t>
      </w:r>
      <w:r w:rsidRPr="003E6B3B">
        <w:rPr>
          <w:rFonts w:asciiTheme="majorHAnsi" w:hAnsiTheme="majorHAnsi"/>
          <w:noProof/>
          <w:sz w:val="22"/>
          <w:szCs w:val="22"/>
        </w:rPr>
        <w:t>(1), 280–289. https://doi.org/10.1109/TSTE.2018.2833545.</w:t>
      </w:r>
    </w:p>
    <w:p w14:paraId="63A58F4D" w14:textId="32A2A45E"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Karbowski, A. (2021). Generalized benders decomposition method to solve big mixed-integer nonlinear optimization problems with convex objective and constraints functions. </w:t>
      </w:r>
      <w:r w:rsidRPr="003E6B3B">
        <w:rPr>
          <w:rFonts w:asciiTheme="majorHAnsi" w:hAnsiTheme="majorHAnsi"/>
          <w:i/>
          <w:iCs/>
          <w:noProof/>
          <w:sz w:val="22"/>
          <w:szCs w:val="22"/>
        </w:rPr>
        <w:t>Energies</w:t>
      </w:r>
      <w:r w:rsidRPr="003E6B3B">
        <w:rPr>
          <w:rFonts w:asciiTheme="majorHAnsi" w:hAnsiTheme="majorHAnsi"/>
          <w:noProof/>
          <w:sz w:val="22"/>
          <w:szCs w:val="22"/>
        </w:rPr>
        <w:t xml:space="preserve">, </w:t>
      </w:r>
      <w:r w:rsidRPr="003E6B3B">
        <w:rPr>
          <w:rFonts w:asciiTheme="majorHAnsi" w:hAnsiTheme="majorHAnsi"/>
          <w:i/>
          <w:iCs/>
          <w:noProof/>
          <w:sz w:val="22"/>
          <w:szCs w:val="22"/>
        </w:rPr>
        <w:t>14</w:t>
      </w:r>
      <w:r w:rsidRPr="003E6B3B">
        <w:rPr>
          <w:rFonts w:asciiTheme="majorHAnsi" w:hAnsiTheme="majorHAnsi"/>
          <w:noProof/>
          <w:sz w:val="22"/>
          <w:szCs w:val="22"/>
        </w:rPr>
        <w:t>(20). https://doi.org/10.3390/en14206503.</w:t>
      </w:r>
    </w:p>
    <w:p w14:paraId="61776C8A" w14:textId="67368BEB"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Kuznia, L., Zeng, B., Centeno, G., &amp; Miao, Z. (2013). Stochastic optimization for power system configuration with renewable energy in remote areas. </w:t>
      </w:r>
      <w:r w:rsidRPr="003E6B3B">
        <w:rPr>
          <w:rFonts w:asciiTheme="majorHAnsi" w:hAnsiTheme="majorHAnsi"/>
          <w:i/>
          <w:iCs/>
          <w:noProof/>
          <w:sz w:val="22"/>
          <w:szCs w:val="22"/>
        </w:rPr>
        <w:t>Annals of Operations Research</w:t>
      </w:r>
      <w:r w:rsidRPr="003E6B3B">
        <w:rPr>
          <w:rFonts w:asciiTheme="majorHAnsi" w:hAnsiTheme="majorHAnsi"/>
          <w:noProof/>
          <w:sz w:val="22"/>
          <w:szCs w:val="22"/>
        </w:rPr>
        <w:t xml:space="preserve">, </w:t>
      </w:r>
      <w:r w:rsidRPr="003E6B3B">
        <w:rPr>
          <w:rFonts w:asciiTheme="majorHAnsi" w:hAnsiTheme="majorHAnsi"/>
          <w:i/>
          <w:iCs/>
          <w:noProof/>
          <w:sz w:val="22"/>
          <w:szCs w:val="22"/>
        </w:rPr>
        <w:t>210</w:t>
      </w:r>
      <w:r w:rsidRPr="003E6B3B">
        <w:rPr>
          <w:rFonts w:asciiTheme="majorHAnsi" w:hAnsiTheme="majorHAnsi"/>
          <w:noProof/>
          <w:sz w:val="22"/>
          <w:szCs w:val="22"/>
        </w:rPr>
        <w:t>(1), 411–432. https://doi.org/10.1007/s10479-012-1110-9.</w:t>
      </w:r>
    </w:p>
    <w:p w14:paraId="3D8BD5BB" w14:textId="4E247202"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Lee, C., Lee, K., &amp; Park, S. (2013). Benders decomposition approach for the robust network design problem with flow bifurcations. </w:t>
      </w:r>
      <w:r w:rsidRPr="003E6B3B">
        <w:rPr>
          <w:rFonts w:asciiTheme="majorHAnsi" w:hAnsiTheme="majorHAnsi"/>
          <w:i/>
          <w:iCs/>
          <w:noProof/>
          <w:sz w:val="22"/>
          <w:szCs w:val="22"/>
        </w:rPr>
        <w:t>Networks</w:t>
      </w:r>
      <w:r w:rsidRPr="003E6B3B">
        <w:rPr>
          <w:rFonts w:asciiTheme="majorHAnsi" w:hAnsiTheme="majorHAnsi"/>
          <w:noProof/>
          <w:sz w:val="22"/>
          <w:szCs w:val="22"/>
        </w:rPr>
        <w:t xml:space="preserve">, </w:t>
      </w:r>
      <w:r w:rsidRPr="003E6B3B">
        <w:rPr>
          <w:rFonts w:asciiTheme="majorHAnsi" w:hAnsiTheme="majorHAnsi"/>
          <w:i/>
          <w:iCs/>
          <w:noProof/>
          <w:sz w:val="22"/>
          <w:szCs w:val="22"/>
        </w:rPr>
        <w:t>62</w:t>
      </w:r>
      <w:r w:rsidRPr="003E6B3B">
        <w:rPr>
          <w:rFonts w:asciiTheme="majorHAnsi" w:hAnsiTheme="majorHAnsi"/>
          <w:noProof/>
          <w:sz w:val="22"/>
          <w:szCs w:val="22"/>
        </w:rPr>
        <w:t>(1), 1–16. https://doi.org/10.1002/net.21486.</w:t>
      </w:r>
    </w:p>
    <w:p w14:paraId="38933A7B" w14:textId="635EFD33"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Mahrudinda, M., Chaerani, D., &amp; ... (2022). Systematic literature review on adjustable robust counterpart for internet shopping optimization problem. </w:t>
      </w:r>
      <w:r w:rsidRPr="003E6B3B">
        <w:rPr>
          <w:rFonts w:asciiTheme="majorHAnsi" w:hAnsiTheme="majorHAnsi"/>
          <w:i/>
          <w:iCs/>
          <w:noProof/>
          <w:sz w:val="22"/>
          <w:szCs w:val="22"/>
        </w:rPr>
        <w:t>International Journal of …</w:t>
      </w:r>
      <w:r w:rsidRPr="003E6B3B">
        <w:rPr>
          <w:rFonts w:asciiTheme="majorHAnsi" w:hAnsiTheme="majorHAnsi"/>
          <w:noProof/>
          <w:sz w:val="22"/>
          <w:szCs w:val="22"/>
        </w:rPr>
        <w:t>. http://m.growingscience.com/beta/ijds/5251-systematic-literature-review-on-adjustable-robust-counterpart-for-internet-shopping-optimization-problem.html.</w:t>
      </w:r>
    </w:p>
    <w:p w14:paraId="03374878" w14:textId="54EE2BF8" w:rsidR="003E6B3B" w:rsidRPr="00CB5155" w:rsidRDefault="00CB5155"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CB5155">
        <w:rPr>
          <w:rFonts w:asciiTheme="majorHAnsi" w:hAnsiTheme="majorHAnsi"/>
          <w:noProof/>
          <w:sz w:val="22"/>
          <w:szCs w:val="22"/>
        </w:rPr>
        <w:t>Hoyyi</w:t>
      </w:r>
      <w:r>
        <w:rPr>
          <w:rFonts w:asciiTheme="majorHAnsi" w:hAnsiTheme="majorHAnsi"/>
          <w:noProof/>
          <w:sz w:val="22"/>
          <w:szCs w:val="22"/>
        </w:rPr>
        <w:t>, A.</w:t>
      </w:r>
      <w:r w:rsidRPr="00CB5155">
        <w:rPr>
          <w:rFonts w:asciiTheme="majorHAnsi" w:hAnsiTheme="majorHAnsi"/>
          <w:noProof/>
          <w:sz w:val="22"/>
          <w:szCs w:val="22"/>
        </w:rPr>
        <w:t>, Ispriyanti</w:t>
      </w:r>
      <w:r>
        <w:rPr>
          <w:rFonts w:asciiTheme="majorHAnsi" w:hAnsiTheme="majorHAnsi"/>
          <w:noProof/>
          <w:sz w:val="22"/>
          <w:szCs w:val="22"/>
        </w:rPr>
        <w:t>, D. (2015). O</w:t>
      </w:r>
      <w:r w:rsidR="003E6B3B" w:rsidRPr="00CB5155">
        <w:rPr>
          <w:rFonts w:asciiTheme="majorHAnsi" w:hAnsiTheme="majorHAnsi"/>
          <w:noProof/>
          <w:sz w:val="22"/>
          <w:szCs w:val="22"/>
        </w:rPr>
        <w:t>PTIMISASI MULTIOBJEKTIF UNTUK PEMBENTUKAN PORTOFOLIO 1 Staf Pengajar Jurusan Statistika FSM UNDIP. (n.d.). 31–39.</w:t>
      </w:r>
    </w:p>
    <w:p w14:paraId="7AE3D784" w14:textId="011D7D5D"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Panic, N., Leoncini, E., De Belvis, G., Ricciardi, W., &amp; Boccia, S. (2013). Evaluation of the endorsement of the preferred reporting items for systematic reviews and meta-analysis (PRISMA) statement on the quality of published systematic review and meta-analyses. </w:t>
      </w:r>
      <w:r w:rsidRPr="003E6B3B">
        <w:rPr>
          <w:rFonts w:asciiTheme="majorHAnsi" w:hAnsiTheme="majorHAnsi"/>
          <w:i/>
          <w:iCs/>
          <w:noProof/>
          <w:sz w:val="22"/>
          <w:szCs w:val="22"/>
        </w:rPr>
        <w:t>PLoS ONE</w:t>
      </w:r>
      <w:r w:rsidRPr="003E6B3B">
        <w:rPr>
          <w:rFonts w:asciiTheme="majorHAnsi" w:hAnsiTheme="majorHAnsi"/>
          <w:noProof/>
          <w:sz w:val="22"/>
          <w:szCs w:val="22"/>
        </w:rPr>
        <w:t xml:space="preserve">, </w:t>
      </w:r>
      <w:r w:rsidRPr="003E6B3B">
        <w:rPr>
          <w:rFonts w:asciiTheme="majorHAnsi" w:hAnsiTheme="majorHAnsi"/>
          <w:i/>
          <w:iCs/>
          <w:noProof/>
          <w:sz w:val="22"/>
          <w:szCs w:val="22"/>
        </w:rPr>
        <w:t>8</w:t>
      </w:r>
      <w:r w:rsidRPr="003E6B3B">
        <w:rPr>
          <w:rFonts w:asciiTheme="majorHAnsi" w:hAnsiTheme="majorHAnsi"/>
          <w:noProof/>
          <w:sz w:val="22"/>
          <w:szCs w:val="22"/>
        </w:rPr>
        <w:t>(12). https://doi.org/10.1371/journal.pone.0083138.</w:t>
      </w:r>
    </w:p>
    <w:p w14:paraId="11CFDE71" w14:textId="3EE8B967"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lastRenderedPageBreak/>
        <w:t xml:space="preserve">Romeijnders, W., &amp; Postek, K. (2021). Piecewise constant decision rules via branch-and-bound based scenario detection for integer adjustable robust optimization. </w:t>
      </w:r>
      <w:r w:rsidRPr="003E6B3B">
        <w:rPr>
          <w:rFonts w:asciiTheme="majorHAnsi" w:hAnsiTheme="majorHAnsi"/>
          <w:i/>
          <w:iCs/>
          <w:noProof/>
          <w:sz w:val="22"/>
          <w:szCs w:val="22"/>
        </w:rPr>
        <w:t>INFORMS Journal on Computing</w:t>
      </w:r>
      <w:r w:rsidRPr="003E6B3B">
        <w:rPr>
          <w:rFonts w:asciiTheme="majorHAnsi" w:hAnsiTheme="majorHAnsi"/>
          <w:noProof/>
          <w:sz w:val="22"/>
          <w:szCs w:val="22"/>
        </w:rPr>
        <w:t>. https://doi.org/10.1287/ijoc.2019.0934.</w:t>
      </w:r>
    </w:p>
    <w:p w14:paraId="6E95466D" w14:textId="7EB69E6D"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Utomo, D. S., Onggo, B. S., &amp; Eldridge, S. (2018). Applications of agent-based modelling and simulation in the agri-food supply chains. </w:t>
      </w:r>
      <w:r w:rsidRPr="003E6B3B">
        <w:rPr>
          <w:rFonts w:asciiTheme="majorHAnsi" w:hAnsiTheme="majorHAnsi"/>
          <w:i/>
          <w:iCs/>
          <w:noProof/>
          <w:sz w:val="22"/>
          <w:szCs w:val="22"/>
        </w:rPr>
        <w:t>European Journal of Operational Research</w:t>
      </w:r>
      <w:r w:rsidRPr="003E6B3B">
        <w:rPr>
          <w:rFonts w:asciiTheme="majorHAnsi" w:hAnsiTheme="majorHAnsi"/>
          <w:noProof/>
          <w:sz w:val="22"/>
          <w:szCs w:val="22"/>
        </w:rPr>
        <w:t xml:space="preserve">, </w:t>
      </w:r>
      <w:r w:rsidRPr="003E6B3B">
        <w:rPr>
          <w:rFonts w:asciiTheme="majorHAnsi" w:hAnsiTheme="majorHAnsi"/>
          <w:i/>
          <w:iCs/>
          <w:noProof/>
          <w:sz w:val="22"/>
          <w:szCs w:val="22"/>
        </w:rPr>
        <w:t>269</w:t>
      </w:r>
      <w:r w:rsidRPr="003E6B3B">
        <w:rPr>
          <w:rFonts w:asciiTheme="majorHAnsi" w:hAnsiTheme="majorHAnsi"/>
          <w:noProof/>
          <w:sz w:val="22"/>
          <w:szCs w:val="22"/>
        </w:rPr>
        <w:t>(3), 794–805. https://doi.org/10.1016/j.ejor.2017.10.041.</w:t>
      </w:r>
    </w:p>
    <w:p w14:paraId="6FBBB855" w14:textId="4183F764"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Xiong, P., &amp; Jirutitijaroen, P. (2014). Two-stage adjustable robust optimisation for unit commitment under uncertainty. </w:t>
      </w:r>
      <w:r w:rsidRPr="003E6B3B">
        <w:rPr>
          <w:rFonts w:asciiTheme="majorHAnsi" w:hAnsiTheme="majorHAnsi"/>
          <w:i/>
          <w:iCs/>
          <w:noProof/>
          <w:sz w:val="22"/>
          <w:szCs w:val="22"/>
        </w:rPr>
        <w:t>IET Generation, Transmission and Distribution</w:t>
      </w:r>
      <w:r w:rsidRPr="003E6B3B">
        <w:rPr>
          <w:rFonts w:asciiTheme="majorHAnsi" w:hAnsiTheme="majorHAnsi"/>
          <w:noProof/>
          <w:sz w:val="22"/>
          <w:szCs w:val="22"/>
        </w:rPr>
        <w:t xml:space="preserve">, </w:t>
      </w:r>
      <w:r w:rsidRPr="003E6B3B">
        <w:rPr>
          <w:rFonts w:asciiTheme="majorHAnsi" w:hAnsiTheme="majorHAnsi"/>
          <w:i/>
          <w:iCs/>
          <w:noProof/>
          <w:sz w:val="22"/>
          <w:szCs w:val="22"/>
        </w:rPr>
        <w:t>8</w:t>
      </w:r>
      <w:r w:rsidRPr="003E6B3B">
        <w:rPr>
          <w:rFonts w:asciiTheme="majorHAnsi" w:hAnsiTheme="majorHAnsi"/>
          <w:noProof/>
          <w:sz w:val="22"/>
          <w:szCs w:val="22"/>
        </w:rPr>
        <w:t>(3), 573–582. https://doi.org/10.1049/iet-gtd.2012.0660.</w:t>
      </w:r>
    </w:p>
    <w:p w14:paraId="0F9B9516" w14:textId="1D4A2BED"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Yanıkoğlu, İ, Gorissen, B., &amp; ... (2017). Adjustable robust optimization—a survey and tutorial. </w:t>
      </w:r>
      <w:r w:rsidRPr="003E6B3B">
        <w:rPr>
          <w:rFonts w:asciiTheme="majorHAnsi" w:hAnsiTheme="majorHAnsi"/>
          <w:i/>
          <w:iCs/>
          <w:noProof/>
          <w:sz w:val="22"/>
          <w:szCs w:val="22"/>
        </w:rPr>
        <w:t>Available Online at …</w:t>
      </w:r>
      <w:r w:rsidRPr="003E6B3B">
        <w:rPr>
          <w:rFonts w:asciiTheme="majorHAnsi" w:hAnsiTheme="majorHAnsi"/>
          <w:noProof/>
          <w:sz w:val="22"/>
          <w:szCs w:val="22"/>
        </w:rPr>
        <w:t>. https://www.researchgate.net/profile/Ihsan-Yanikoglu/publication/319876919_A_Survey_of_Adjustable_Robust_Optimization_-_Cite_as_Yanikoglu_et_al_2019_EJOR_2773_799-813/links/59bf823d0f7e9b48a29b60c4/A-Survey-of-Adjustable-Robust-Optimization-Cite-as-Yaniko.</w:t>
      </w:r>
    </w:p>
    <w:p w14:paraId="5EB31860" w14:textId="2A9E7DBB"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Yanıkoğlu, İhsan, Gorissen, B. L., &amp; den Hertog, D. (2019). A survey of adjustable robust optimization. </w:t>
      </w:r>
      <w:r w:rsidRPr="003E6B3B">
        <w:rPr>
          <w:rFonts w:asciiTheme="majorHAnsi" w:hAnsiTheme="majorHAnsi"/>
          <w:i/>
          <w:iCs/>
          <w:noProof/>
          <w:sz w:val="22"/>
          <w:szCs w:val="22"/>
        </w:rPr>
        <w:t>European Journal of Operational Research</w:t>
      </w:r>
      <w:r w:rsidRPr="003E6B3B">
        <w:rPr>
          <w:rFonts w:asciiTheme="majorHAnsi" w:hAnsiTheme="majorHAnsi"/>
          <w:noProof/>
          <w:sz w:val="22"/>
          <w:szCs w:val="22"/>
        </w:rPr>
        <w:t xml:space="preserve">, </w:t>
      </w:r>
      <w:r w:rsidRPr="003E6B3B">
        <w:rPr>
          <w:rFonts w:asciiTheme="majorHAnsi" w:hAnsiTheme="majorHAnsi"/>
          <w:i/>
          <w:iCs/>
          <w:noProof/>
          <w:sz w:val="22"/>
          <w:szCs w:val="22"/>
        </w:rPr>
        <w:t>277</w:t>
      </w:r>
      <w:r w:rsidRPr="003E6B3B">
        <w:rPr>
          <w:rFonts w:asciiTheme="majorHAnsi" w:hAnsiTheme="majorHAnsi"/>
          <w:noProof/>
          <w:sz w:val="22"/>
          <w:szCs w:val="22"/>
        </w:rPr>
        <w:t>(3), 799–813. https://doi.org/10.1016/j.ejor.2018.08.031.</w:t>
      </w:r>
    </w:p>
    <w:p w14:paraId="17BAFB3C" w14:textId="2F09EB8E"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Yi, J., Lu, C., &amp; Li, G. (2019). A literature review on latest developments of Harmony Search and its applications to intelligent manufacturing. </w:t>
      </w:r>
      <w:r w:rsidRPr="003E6B3B">
        <w:rPr>
          <w:rFonts w:asciiTheme="majorHAnsi" w:hAnsiTheme="majorHAnsi"/>
          <w:i/>
          <w:iCs/>
          <w:noProof/>
          <w:sz w:val="22"/>
          <w:szCs w:val="22"/>
        </w:rPr>
        <w:t>Mathematical Biosciences and Engineering</w:t>
      </w:r>
      <w:r w:rsidRPr="003E6B3B">
        <w:rPr>
          <w:rFonts w:asciiTheme="majorHAnsi" w:hAnsiTheme="majorHAnsi"/>
          <w:noProof/>
          <w:sz w:val="22"/>
          <w:szCs w:val="22"/>
        </w:rPr>
        <w:t xml:space="preserve">, </w:t>
      </w:r>
      <w:r w:rsidRPr="003E6B3B">
        <w:rPr>
          <w:rFonts w:asciiTheme="majorHAnsi" w:hAnsiTheme="majorHAnsi"/>
          <w:i/>
          <w:iCs/>
          <w:noProof/>
          <w:sz w:val="22"/>
          <w:szCs w:val="22"/>
        </w:rPr>
        <w:t>16</w:t>
      </w:r>
      <w:r w:rsidRPr="003E6B3B">
        <w:rPr>
          <w:rFonts w:asciiTheme="majorHAnsi" w:hAnsiTheme="majorHAnsi"/>
          <w:noProof/>
          <w:sz w:val="22"/>
          <w:szCs w:val="22"/>
        </w:rPr>
        <w:t>(4), 2086–2117. https://doi.org/10.3934/mbe.2019102.</w:t>
      </w:r>
    </w:p>
    <w:p w14:paraId="7B44F6E6" w14:textId="0749A349"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Zahrani Irmansyah, A., Chaerani, D., &amp; Rusyaman, E. (2021). Optimization Model for Agricultural Processed Products Supply Chain Problem in Bandung During Covid-19 Period. </w:t>
      </w:r>
      <w:r w:rsidRPr="003E6B3B">
        <w:rPr>
          <w:rFonts w:asciiTheme="majorHAnsi" w:hAnsiTheme="majorHAnsi"/>
          <w:i/>
          <w:iCs/>
          <w:noProof/>
          <w:sz w:val="22"/>
          <w:szCs w:val="22"/>
        </w:rPr>
        <w:t>Jurnal Teknik Industri</w:t>
      </w:r>
      <w:r w:rsidRPr="003E6B3B">
        <w:rPr>
          <w:rFonts w:asciiTheme="majorHAnsi" w:hAnsiTheme="majorHAnsi"/>
          <w:noProof/>
          <w:sz w:val="22"/>
          <w:szCs w:val="22"/>
        </w:rPr>
        <w:t xml:space="preserve">, </w:t>
      </w:r>
      <w:r w:rsidRPr="003E6B3B">
        <w:rPr>
          <w:rFonts w:asciiTheme="majorHAnsi" w:hAnsiTheme="majorHAnsi"/>
          <w:i/>
          <w:iCs/>
          <w:noProof/>
          <w:sz w:val="22"/>
          <w:szCs w:val="22"/>
        </w:rPr>
        <w:t>23</w:t>
      </w:r>
      <w:r w:rsidRPr="003E6B3B">
        <w:rPr>
          <w:rFonts w:asciiTheme="majorHAnsi" w:hAnsiTheme="majorHAnsi"/>
          <w:noProof/>
          <w:sz w:val="22"/>
          <w:szCs w:val="22"/>
        </w:rPr>
        <w:t>(2). https://doi.org/10.9744/jti.24.2.</w:t>
      </w:r>
    </w:p>
    <w:p w14:paraId="1FC0C80C" w14:textId="1374EA35" w:rsidR="003E6B3B" w:rsidRPr="003E6B3B" w:rsidRDefault="003E6B3B" w:rsidP="003E6B3B">
      <w:pPr>
        <w:widowControl w:val="0"/>
        <w:autoSpaceDE w:val="0"/>
        <w:autoSpaceDN w:val="0"/>
        <w:adjustRightInd w:val="0"/>
        <w:spacing w:line="240" w:lineRule="atLeast"/>
        <w:ind w:left="480" w:hanging="480"/>
        <w:jc w:val="both"/>
        <w:rPr>
          <w:rFonts w:asciiTheme="majorHAnsi" w:hAnsiTheme="majorHAnsi"/>
          <w:noProof/>
          <w:sz w:val="22"/>
          <w:szCs w:val="22"/>
        </w:rPr>
      </w:pPr>
      <w:r w:rsidRPr="003E6B3B">
        <w:rPr>
          <w:rFonts w:asciiTheme="majorHAnsi" w:hAnsiTheme="majorHAnsi"/>
          <w:noProof/>
          <w:sz w:val="22"/>
          <w:szCs w:val="22"/>
        </w:rPr>
        <w:t xml:space="preserve">Zarrinpoor, N., Fallahnezhad, M. S., &amp; Pishvaee, M. S. (2017). Design of a reliable hierarchical location-allocation model under disruptions for health service networks: A two-stage robust approach. </w:t>
      </w:r>
      <w:r w:rsidRPr="003E6B3B">
        <w:rPr>
          <w:rFonts w:asciiTheme="majorHAnsi" w:hAnsiTheme="majorHAnsi"/>
          <w:i/>
          <w:iCs/>
          <w:noProof/>
          <w:sz w:val="22"/>
          <w:szCs w:val="22"/>
        </w:rPr>
        <w:t>Computers and Industrial Engineering</w:t>
      </w:r>
      <w:r w:rsidRPr="003E6B3B">
        <w:rPr>
          <w:rFonts w:asciiTheme="majorHAnsi" w:hAnsiTheme="majorHAnsi"/>
          <w:noProof/>
          <w:sz w:val="22"/>
          <w:szCs w:val="22"/>
        </w:rPr>
        <w:t xml:space="preserve">, </w:t>
      </w:r>
      <w:r w:rsidRPr="003E6B3B">
        <w:rPr>
          <w:rFonts w:asciiTheme="majorHAnsi" w:hAnsiTheme="majorHAnsi"/>
          <w:i/>
          <w:iCs/>
          <w:noProof/>
          <w:sz w:val="22"/>
          <w:szCs w:val="22"/>
        </w:rPr>
        <w:t>109</w:t>
      </w:r>
      <w:r w:rsidRPr="003E6B3B">
        <w:rPr>
          <w:rFonts w:asciiTheme="majorHAnsi" w:hAnsiTheme="majorHAnsi"/>
          <w:noProof/>
          <w:sz w:val="22"/>
          <w:szCs w:val="22"/>
        </w:rPr>
        <w:t>(November 2018), 130–150. https://doi.org/10.1016/j.cie.2017.04.036.</w:t>
      </w:r>
    </w:p>
    <w:p w14:paraId="4E93C75A" w14:textId="691AA05E" w:rsidR="00997F50" w:rsidRPr="003E6B3B" w:rsidRDefault="006271CA" w:rsidP="003E6B3B">
      <w:pPr>
        <w:pStyle w:val="References"/>
        <w:spacing w:line="23" w:lineRule="atLeast"/>
        <w:rPr>
          <w:rFonts w:asciiTheme="majorHAnsi" w:hAnsiTheme="majorHAnsi"/>
          <w:b/>
          <w:color w:val="FF0000"/>
          <w:sz w:val="24"/>
          <w:szCs w:val="24"/>
        </w:rPr>
      </w:pPr>
      <w:r w:rsidRPr="003E6B3B">
        <w:rPr>
          <w:rFonts w:asciiTheme="majorHAnsi" w:hAnsiTheme="majorHAnsi"/>
          <w:b/>
          <w:color w:val="FF0000"/>
          <w:sz w:val="22"/>
          <w:szCs w:val="22"/>
        </w:rPr>
        <w:fldChar w:fldCharType="end"/>
      </w:r>
      <w:r w:rsidR="00097E6D">
        <w:rPr>
          <w:rFonts w:asciiTheme="majorHAnsi" w:hAnsiTheme="majorHAnsi"/>
          <w:b/>
          <w:color w:val="FF0000"/>
          <w:sz w:val="22"/>
          <w:szCs w:val="22"/>
        </w:rPr>
        <w:t xml:space="preserve"> </w:t>
      </w:r>
    </w:p>
    <w:p w14:paraId="1653B6E4" w14:textId="77777777" w:rsidR="00BB13C6" w:rsidRPr="003E6B3B" w:rsidRDefault="00BB13C6" w:rsidP="00E77E85">
      <w:pPr>
        <w:pStyle w:val="References"/>
        <w:spacing w:line="23" w:lineRule="atLeast"/>
        <w:rPr>
          <w:rFonts w:asciiTheme="majorHAnsi" w:hAnsiTheme="majorHAnsi"/>
          <w:b/>
          <w:color w:val="FF0000"/>
          <w:sz w:val="24"/>
          <w:szCs w:val="24"/>
        </w:rPr>
      </w:pPr>
    </w:p>
    <w:sectPr w:rsidR="00BB13C6" w:rsidRPr="003E6B3B" w:rsidSect="00267F70">
      <w:type w:val="continuous"/>
      <w:pgSz w:w="11906" w:h="16838" w:code="9"/>
      <w:pgMar w:top="1134" w:right="1134" w:bottom="1134" w:left="1134" w:header="851" w:footer="567" w:gutter="0"/>
      <w:cols w:space="2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548BE7" w14:textId="77777777" w:rsidR="00E329E2" w:rsidRDefault="00E329E2" w:rsidP="00A1414F">
      <w:r>
        <w:separator/>
      </w:r>
    </w:p>
  </w:endnote>
  <w:endnote w:type="continuationSeparator" w:id="0">
    <w:p w14:paraId="07B92629" w14:textId="77777777" w:rsidR="00E329E2" w:rsidRDefault="00E329E2"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360824"/>
      <w:docPartObj>
        <w:docPartGallery w:val="Page Numbers (Bottom of Page)"/>
        <w:docPartUnique/>
      </w:docPartObj>
    </w:sdtPr>
    <w:sdtEndPr/>
    <w:sdtContent>
      <w:p w14:paraId="44F3EAC1" w14:textId="77777777" w:rsidR="00CB5155" w:rsidRDefault="00CB5155" w:rsidP="00427112">
        <w:pPr>
          <w:pStyle w:val="Footer"/>
          <w:jc w:val="center"/>
        </w:pPr>
      </w:p>
      <w:p w14:paraId="5C81D4EA" w14:textId="77777777" w:rsidR="00CB5155" w:rsidRDefault="00CB5155" w:rsidP="0042711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93970" w14:textId="77777777" w:rsidR="00E329E2" w:rsidRDefault="00E329E2" w:rsidP="00A1414F">
      <w:r>
        <w:separator/>
      </w:r>
    </w:p>
  </w:footnote>
  <w:footnote w:type="continuationSeparator" w:id="0">
    <w:p w14:paraId="2C888394" w14:textId="77777777" w:rsidR="00E329E2" w:rsidRDefault="00E329E2"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752CC" w14:textId="77777777" w:rsidR="00CB5155" w:rsidRDefault="00CB5155" w:rsidP="008168FA">
    <w:pPr>
      <w:pStyle w:val="Header"/>
      <w:tabs>
        <w:tab w:val="clear" w:pos="4680"/>
        <w:tab w:val="clear" w:pos="9360"/>
        <w:tab w:val="center" w:pos="5102"/>
      </w:tabs>
      <w:rPr>
        <w:rFonts w:ascii="Century Gothic" w:hAnsi="Century Gothic"/>
        <w:i/>
        <w:sz w:val="20"/>
        <w:szCs w:val="20"/>
        <w:lang w:val="en-US"/>
      </w:rPr>
    </w:pPr>
    <w:r w:rsidRPr="0000069A">
      <w:rPr>
        <w:rFonts w:ascii="Century Gothic" w:hAnsi="Century Gothic"/>
        <w:smallCaps/>
        <w:sz w:val="20"/>
        <w:szCs w:val="20"/>
        <w:lang w:val="id-ID"/>
      </w:rPr>
      <w:fldChar w:fldCharType="begin"/>
    </w:r>
    <w:r w:rsidRPr="008168FA">
      <w:rPr>
        <w:rFonts w:ascii="Century Gothic" w:hAnsi="Century Gothic"/>
        <w:smallCaps/>
        <w:sz w:val="20"/>
        <w:szCs w:val="20"/>
        <w:lang w:val="id-ID"/>
      </w:rPr>
      <w:instrText xml:space="preserve"> PAGE   \* MERGEFORMAT </w:instrText>
    </w:r>
    <w:r w:rsidRPr="0000069A">
      <w:rPr>
        <w:rFonts w:ascii="Century Gothic" w:hAnsi="Century Gothic"/>
        <w:smallCaps/>
        <w:sz w:val="20"/>
        <w:szCs w:val="20"/>
        <w:lang w:val="id-ID"/>
      </w:rPr>
      <w:fldChar w:fldCharType="separate"/>
    </w:r>
    <w:r>
      <w:rPr>
        <w:rFonts w:ascii="Century Gothic" w:hAnsi="Century Gothic"/>
        <w:smallCaps/>
        <w:noProof/>
        <w:sz w:val="20"/>
        <w:szCs w:val="20"/>
        <w:lang w:val="id-ID"/>
      </w:rPr>
      <w:t>2</w:t>
    </w:r>
    <w:r w:rsidRPr="0000069A">
      <w:rPr>
        <w:rFonts w:ascii="Century Gothic" w:hAnsi="Century Gothic"/>
        <w:smallCaps/>
        <w:noProof/>
        <w:sz w:val="20"/>
        <w:szCs w:val="20"/>
        <w:lang w:val="id-ID"/>
      </w:rPr>
      <w:fldChar w:fldCharType="end"/>
    </w:r>
    <w:r w:rsidRPr="0000069A">
      <w:rPr>
        <w:rFonts w:ascii="Century Gothic" w:hAnsi="Century Gothic"/>
        <w:smallCaps/>
        <w:noProof/>
        <w:sz w:val="20"/>
        <w:szCs w:val="20"/>
        <w:lang w:val="id-ID"/>
      </w:rPr>
      <w:t xml:space="preserve">  </w:t>
    </w:r>
    <w:r>
      <w:rPr>
        <w:rFonts w:ascii="Century Gothic" w:hAnsi="Century Gothic"/>
        <w:smallCaps/>
        <w:noProof/>
        <w:sz w:val="20"/>
        <w:szCs w:val="20"/>
        <w:lang w:val="en-US"/>
      </w:rPr>
      <w:t xml:space="preserve">| </w:t>
    </w:r>
    <w:r w:rsidRPr="0000069A">
      <w:rPr>
        <w:rFonts w:ascii="Century Gothic" w:hAnsi="Century Gothic"/>
        <w:smallCaps/>
        <w:noProof/>
        <w:sz w:val="20"/>
        <w:szCs w:val="20"/>
        <w:lang w:val="en-US"/>
      </w:rPr>
      <w:t xml:space="preserve"> </w:t>
    </w:r>
    <w:r>
      <w:rPr>
        <w:rFonts w:ascii="Century Gothic" w:hAnsi="Century Gothic"/>
        <w:b/>
        <w:sz w:val="20"/>
        <w:szCs w:val="20"/>
      </w:rPr>
      <w:t>JTAM (</w:t>
    </w:r>
    <w:proofErr w:type="spellStart"/>
    <w:r w:rsidRPr="001903E1">
      <w:rPr>
        <w:rFonts w:ascii="Century Gothic" w:hAnsi="Century Gothic"/>
        <w:b/>
        <w:sz w:val="20"/>
        <w:szCs w:val="20"/>
      </w:rPr>
      <w:t>Jurnal</w:t>
    </w:r>
    <w:proofErr w:type="spellEnd"/>
    <w:r w:rsidRPr="001903E1">
      <w:rPr>
        <w:rFonts w:ascii="Century Gothic" w:hAnsi="Century Gothic"/>
        <w:b/>
        <w:sz w:val="20"/>
        <w:szCs w:val="20"/>
      </w:rPr>
      <w:t xml:space="preserve"> </w:t>
    </w:r>
    <w:proofErr w:type="spellStart"/>
    <w:r w:rsidRPr="001903E1">
      <w:rPr>
        <w:rFonts w:ascii="Century Gothic" w:hAnsi="Century Gothic"/>
        <w:b/>
        <w:sz w:val="20"/>
        <w:szCs w:val="20"/>
      </w:rPr>
      <w:t>Teori</w:t>
    </w:r>
    <w:proofErr w:type="spellEnd"/>
    <w:r w:rsidRPr="001903E1">
      <w:rPr>
        <w:rFonts w:ascii="Century Gothic" w:hAnsi="Century Gothic"/>
        <w:b/>
        <w:sz w:val="20"/>
        <w:szCs w:val="20"/>
      </w:rPr>
      <w:t xml:space="preserve"> dan </w:t>
    </w:r>
    <w:proofErr w:type="spellStart"/>
    <w:r w:rsidRPr="001903E1">
      <w:rPr>
        <w:rFonts w:ascii="Century Gothic" w:hAnsi="Century Gothic"/>
        <w:b/>
        <w:sz w:val="20"/>
        <w:szCs w:val="20"/>
      </w:rPr>
      <w:t>Aplikasi</w:t>
    </w:r>
    <w:proofErr w:type="spellEnd"/>
    <w:r w:rsidRPr="001903E1">
      <w:rPr>
        <w:rFonts w:ascii="Century Gothic" w:hAnsi="Century Gothic"/>
        <w:b/>
        <w:sz w:val="20"/>
        <w:szCs w:val="20"/>
      </w:rPr>
      <w:t xml:space="preserve"> </w:t>
    </w:r>
    <w:proofErr w:type="spellStart"/>
    <w:r w:rsidRPr="001903E1">
      <w:rPr>
        <w:rFonts w:ascii="Century Gothic" w:hAnsi="Century Gothic"/>
        <w:b/>
        <w:sz w:val="20"/>
        <w:szCs w:val="20"/>
      </w:rPr>
      <w:t>Matematika</w:t>
    </w:r>
    <w:proofErr w:type="spellEnd"/>
    <w:r>
      <w:rPr>
        <w:rFonts w:ascii="Century Gothic" w:hAnsi="Century Gothic"/>
        <w:b/>
        <w:sz w:val="20"/>
        <w:szCs w:val="20"/>
      </w:rPr>
      <w:t>)</w:t>
    </w:r>
    <w:r w:rsidRPr="001903E1">
      <w:rPr>
        <w:rFonts w:ascii="Century Gothic" w:hAnsi="Century Gothic"/>
        <w:b/>
        <w:sz w:val="20"/>
        <w:szCs w:val="20"/>
      </w:rPr>
      <w:t xml:space="preserve"> </w:t>
    </w:r>
    <w:r>
      <w:rPr>
        <w:rFonts w:ascii="Century Gothic" w:hAnsi="Century Gothic"/>
        <w:b/>
        <w:sz w:val="20"/>
        <w:szCs w:val="20"/>
      </w:rPr>
      <w:t xml:space="preserve">| </w:t>
    </w:r>
    <w:r w:rsidRPr="0077568E">
      <w:rPr>
        <w:rFonts w:ascii="Century Gothic" w:hAnsi="Century Gothic"/>
        <w:i/>
        <w:sz w:val="20"/>
        <w:szCs w:val="20"/>
        <w:lang w:val="id-ID"/>
      </w:rPr>
      <w:t>Vol.</w:t>
    </w:r>
    <w:r w:rsidRPr="0077568E">
      <w:rPr>
        <w:rFonts w:ascii="Century Gothic" w:hAnsi="Century Gothic"/>
        <w:i/>
        <w:sz w:val="20"/>
        <w:szCs w:val="20"/>
        <w:lang w:val="en-US"/>
      </w:rPr>
      <w:t xml:space="preserve"> X</w:t>
    </w:r>
    <w:r w:rsidRPr="0077568E">
      <w:rPr>
        <w:rFonts w:ascii="Century Gothic" w:hAnsi="Century Gothic"/>
        <w:i/>
        <w:sz w:val="20"/>
        <w:szCs w:val="20"/>
        <w:lang w:val="id-ID"/>
      </w:rPr>
      <w:t>, No.</w:t>
    </w:r>
    <w:r w:rsidRPr="0077568E">
      <w:rPr>
        <w:rFonts w:ascii="Century Gothic" w:hAnsi="Century Gothic"/>
        <w:i/>
        <w:sz w:val="20"/>
        <w:szCs w:val="20"/>
        <w:lang w:val="en-US"/>
      </w:rPr>
      <w:t xml:space="preserve"> X</w:t>
    </w:r>
    <w:r w:rsidRPr="0077568E">
      <w:rPr>
        <w:rFonts w:ascii="Century Gothic" w:hAnsi="Century Gothic"/>
        <w:i/>
        <w:sz w:val="20"/>
        <w:szCs w:val="20"/>
        <w:lang w:val="id-ID"/>
      </w:rPr>
      <w:t xml:space="preserve">, </w:t>
    </w:r>
    <w:r w:rsidRPr="0077568E">
      <w:rPr>
        <w:rFonts w:ascii="Century Gothic" w:hAnsi="Century Gothic"/>
        <w:i/>
        <w:sz w:val="20"/>
        <w:szCs w:val="20"/>
        <w:lang w:val="en-US"/>
      </w:rPr>
      <w:t>Month 20XX</w:t>
    </w:r>
    <w:r w:rsidRPr="0077568E">
      <w:rPr>
        <w:rFonts w:ascii="Century Gothic" w:hAnsi="Century Gothic"/>
        <w:i/>
        <w:sz w:val="20"/>
        <w:szCs w:val="20"/>
        <w:lang w:val="id-ID"/>
      </w:rPr>
      <w:t xml:space="preserve">, </w:t>
    </w:r>
    <w:r w:rsidRPr="0077568E">
      <w:rPr>
        <w:rFonts w:ascii="Century Gothic" w:hAnsi="Century Gothic"/>
        <w:i/>
        <w:sz w:val="20"/>
        <w:szCs w:val="20"/>
        <w:lang w:val="en-US"/>
      </w:rPr>
      <w:t>pp. XX-YY</w:t>
    </w:r>
    <w:r w:rsidRPr="0077568E">
      <w:rPr>
        <w:rFonts w:ascii="Century Gothic" w:hAnsi="Century Gothic"/>
        <w:i/>
        <w:sz w:val="20"/>
        <w:szCs w:val="20"/>
        <w:lang w:val="en-US"/>
      </w:rPr>
      <w:tab/>
    </w:r>
  </w:p>
  <w:p w14:paraId="1E601715" w14:textId="77777777" w:rsidR="00CB5155" w:rsidRPr="0077568E" w:rsidRDefault="00CB5155" w:rsidP="008168FA">
    <w:pPr>
      <w:pStyle w:val="Header"/>
      <w:tabs>
        <w:tab w:val="clear" w:pos="4680"/>
        <w:tab w:val="clear" w:pos="9360"/>
        <w:tab w:val="center" w:pos="5102"/>
      </w:tabs>
      <w:rPr>
        <w:rFonts w:ascii="Century Gothic" w:hAnsi="Century Gothic"/>
        <w:i/>
        <w:sz w:val="20"/>
        <w:szCs w:val="20"/>
        <w:lang w:val="en-US"/>
      </w:rPr>
    </w:pPr>
  </w:p>
  <w:p w14:paraId="6762323B" w14:textId="77777777" w:rsidR="00CB5155" w:rsidRPr="00427112" w:rsidRDefault="00CB5155" w:rsidP="008168FA">
    <w:pPr>
      <w:pStyle w:val="Header"/>
      <w:tabs>
        <w:tab w:val="clear" w:pos="4680"/>
        <w:tab w:val="clear" w:pos="9360"/>
        <w:tab w:val="center" w:pos="5102"/>
      </w:tabs>
      <w:rPr>
        <w:rFonts w:ascii="Century Gothic" w:hAnsi="Century Gothic"/>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C0DCF" w14:textId="77777777" w:rsidR="00CB5155" w:rsidRDefault="00CB5155" w:rsidP="00E20C19">
    <w:pPr>
      <w:pStyle w:val="Header"/>
      <w:jc w:val="right"/>
      <w:rPr>
        <w:noProof/>
        <w:sz w:val="20"/>
        <w:szCs w:val="20"/>
      </w:rPr>
    </w:pPr>
    <w:r w:rsidRPr="001A1D29">
      <w:rPr>
        <w:smallCaps/>
        <w:sz w:val="20"/>
        <w:szCs w:val="20"/>
        <w:lang w:val="id-ID"/>
      </w:rPr>
      <w:tab/>
    </w:r>
    <w:r w:rsidRPr="001A1D29">
      <w:rPr>
        <w:smallCaps/>
        <w:sz w:val="20"/>
        <w:szCs w:val="20"/>
        <w:lang w:val="id-ID"/>
      </w:rPr>
      <w:tab/>
    </w:r>
    <w:r>
      <w:rPr>
        <w:i/>
        <w:sz w:val="20"/>
        <w:szCs w:val="20"/>
        <w:lang w:val="en-US"/>
      </w:rPr>
      <w:t>Corresponding Authors</w:t>
    </w:r>
    <w:r w:rsidRPr="001A1D29">
      <w:rPr>
        <w:i/>
        <w:sz w:val="20"/>
        <w:szCs w:val="20"/>
        <w:lang w:val="id-ID"/>
      </w:rPr>
      <w:t xml:space="preserve">, </w:t>
    </w:r>
    <w:r>
      <w:rPr>
        <w:i/>
        <w:sz w:val="20"/>
        <w:szCs w:val="20"/>
        <w:lang w:val="en-US"/>
      </w:rPr>
      <w:t>Title in</w:t>
    </w:r>
    <w:r w:rsidRPr="001A1D29">
      <w:rPr>
        <w:i/>
        <w:sz w:val="20"/>
        <w:szCs w:val="20"/>
        <w:lang w:val="id-ID"/>
      </w:rPr>
      <w:t xml:space="preserve"> </w:t>
    </w:r>
    <w:r>
      <w:rPr>
        <w:i/>
        <w:sz w:val="20"/>
        <w:szCs w:val="20"/>
        <w:lang w:val="en-US"/>
      </w:rPr>
      <w:t>5</w:t>
    </w:r>
    <w:r w:rsidRPr="001A1D29">
      <w:rPr>
        <w:i/>
        <w:sz w:val="20"/>
        <w:szCs w:val="20"/>
        <w:lang w:val="id-ID"/>
      </w:rPr>
      <w:t xml:space="preserve"> </w:t>
    </w:r>
    <w:r>
      <w:rPr>
        <w:i/>
        <w:sz w:val="20"/>
        <w:szCs w:val="20"/>
        <w:lang w:val="en-US"/>
      </w:rPr>
      <w:t>Words</w:t>
    </w:r>
    <w:r w:rsidRPr="001A1D29">
      <w:rPr>
        <w:i/>
        <w:sz w:val="20"/>
        <w:szCs w:val="20"/>
        <w:lang w:val="id-ID"/>
      </w:rPr>
      <w:t>...</w:t>
    </w:r>
    <w:r>
      <w:rPr>
        <w:i/>
        <w:sz w:val="20"/>
        <w:szCs w:val="20"/>
        <w:lang w:val="en-US"/>
      </w:rPr>
      <w:t xml:space="preserve">    </w:t>
    </w:r>
    <w:r w:rsidRPr="001A1D29">
      <w:rPr>
        <w:sz w:val="20"/>
        <w:szCs w:val="20"/>
      </w:rPr>
      <w:fldChar w:fldCharType="begin"/>
    </w:r>
    <w:r w:rsidRPr="001A1D29">
      <w:rPr>
        <w:sz w:val="20"/>
        <w:szCs w:val="20"/>
      </w:rPr>
      <w:instrText xml:space="preserve"> PAGE   \* MERGEFORMAT </w:instrText>
    </w:r>
    <w:r w:rsidRPr="001A1D29">
      <w:rPr>
        <w:sz w:val="20"/>
        <w:szCs w:val="20"/>
      </w:rPr>
      <w:fldChar w:fldCharType="separate"/>
    </w:r>
    <w:r>
      <w:rPr>
        <w:noProof/>
        <w:sz w:val="20"/>
        <w:szCs w:val="20"/>
      </w:rPr>
      <w:t>3</w:t>
    </w:r>
    <w:r w:rsidRPr="001A1D29">
      <w:rPr>
        <w:noProof/>
        <w:sz w:val="20"/>
        <w:szCs w:val="20"/>
      </w:rPr>
      <w:fldChar w:fldCharType="end"/>
    </w:r>
  </w:p>
  <w:p w14:paraId="779A830E" w14:textId="77777777" w:rsidR="00CB5155" w:rsidRDefault="00CB5155" w:rsidP="00E20C19">
    <w:pPr>
      <w:pStyle w:val="Header"/>
      <w:jc w:val="right"/>
      <w:rPr>
        <w:noProof/>
        <w:sz w:val="20"/>
        <w:szCs w:val="20"/>
      </w:rPr>
    </w:pPr>
  </w:p>
  <w:p w14:paraId="7DA2AD83" w14:textId="77777777" w:rsidR="00CB5155" w:rsidRPr="001A1D29" w:rsidRDefault="00CB5155" w:rsidP="00E20C19">
    <w:pPr>
      <w:pStyle w:val="Header"/>
      <w:jc w:val="righ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60AD7" w14:textId="1CC79C6C" w:rsidR="00CB5155" w:rsidRPr="008168FA" w:rsidRDefault="00CB5155" w:rsidP="008168FA">
    <w:pPr>
      <w:pStyle w:val="Header"/>
      <w:tabs>
        <w:tab w:val="clear" w:pos="4680"/>
        <w:tab w:val="clear" w:pos="9360"/>
        <w:tab w:val="left" w:pos="2650"/>
      </w:tabs>
    </w:pPr>
    <w:r>
      <w:rPr>
        <w:noProof/>
        <w:lang w:val="en-US" w:eastAsia="en-US"/>
      </w:rPr>
      <mc:AlternateContent>
        <mc:Choice Requires="wps">
          <w:drawing>
            <wp:anchor distT="0" distB="0" distL="114300" distR="114300" simplePos="0" relativeHeight="251657728" behindDoc="1" locked="0" layoutInCell="1" allowOverlap="1" wp14:anchorId="019AF699" wp14:editId="3E2B4374">
              <wp:simplePos x="0" y="0"/>
              <wp:positionH relativeFrom="column">
                <wp:posOffset>637540</wp:posOffset>
              </wp:positionH>
              <wp:positionV relativeFrom="paragraph">
                <wp:posOffset>-43180</wp:posOffset>
              </wp:positionV>
              <wp:extent cx="2793365" cy="751205"/>
              <wp:effectExtent l="0" t="0" r="6985"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751205"/>
                      </a:xfrm>
                      <a:prstGeom prst="rect">
                        <a:avLst/>
                      </a:prstGeom>
                      <a:solidFill>
                        <a:srgbClr val="FFFFFF">
                          <a:alpha val="0"/>
                        </a:srgbClr>
                      </a:solidFill>
                      <a:ln w="0">
                        <a:solidFill>
                          <a:schemeClr val="bg1">
                            <a:lumMod val="100000"/>
                            <a:lumOff val="0"/>
                          </a:schemeClr>
                        </a:solidFill>
                        <a:miter lim="800000"/>
                        <a:headEnd/>
                        <a:tailEnd/>
                      </a:ln>
                    </wps:spPr>
                    <wps:txbx>
                      <w:txbxContent>
                        <w:p w14:paraId="2C5855B4" w14:textId="77777777" w:rsidR="00CB5155" w:rsidRPr="008118E5" w:rsidRDefault="00CB5155" w:rsidP="008168FA">
                          <w:pPr>
                            <w:jc w:val="both"/>
                            <w:rPr>
                              <w:rFonts w:ascii="Century Gothic" w:hAnsi="Century Gothic"/>
                              <w:b/>
                              <w:sz w:val="18"/>
                              <w:szCs w:val="16"/>
                            </w:rPr>
                          </w:pPr>
                          <w:r>
                            <w:rPr>
                              <w:rFonts w:ascii="Century Gothic" w:hAnsi="Century Gothic"/>
                              <w:b/>
                              <w:sz w:val="18"/>
                              <w:szCs w:val="16"/>
                            </w:rPr>
                            <w:t>JTAM (</w:t>
                          </w:r>
                          <w:proofErr w:type="spellStart"/>
                          <w:r w:rsidRPr="008118E5">
                            <w:rPr>
                              <w:rFonts w:ascii="Century Gothic" w:hAnsi="Century Gothic"/>
                              <w:b/>
                              <w:sz w:val="18"/>
                              <w:szCs w:val="16"/>
                            </w:rPr>
                            <w:t>Jurnal</w:t>
                          </w:r>
                          <w:proofErr w:type="spellEnd"/>
                          <w:r w:rsidRPr="008118E5">
                            <w:rPr>
                              <w:rFonts w:ascii="Century Gothic" w:hAnsi="Century Gothic"/>
                              <w:b/>
                              <w:sz w:val="18"/>
                              <w:szCs w:val="16"/>
                            </w:rPr>
                            <w:t xml:space="preserve"> </w:t>
                          </w:r>
                          <w:proofErr w:type="spellStart"/>
                          <w:r w:rsidRPr="008118E5">
                            <w:rPr>
                              <w:rFonts w:ascii="Century Gothic" w:hAnsi="Century Gothic"/>
                              <w:b/>
                              <w:sz w:val="18"/>
                              <w:szCs w:val="16"/>
                            </w:rPr>
                            <w:t>Teori</w:t>
                          </w:r>
                          <w:proofErr w:type="spellEnd"/>
                          <w:r w:rsidRPr="008118E5">
                            <w:rPr>
                              <w:rFonts w:ascii="Century Gothic" w:hAnsi="Century Gothic"/>
                              <w:b/>
                              <w:sz w:val="18"/>
                              <w:szCs w:val="16"/>
                            </w:rPr>
                            <w:t xml:space="preserve"> dan </w:t>
                          </w:r>
                          <w:proofErr w:type="spellStart"/>
                          <w:r w:rsidRPr="008118E5">
                            <w:rPr>
                              <w:rFonts w:ascii="Century Gothic" w:hAnsi="Century Gothic"/>
                              <w:b/>
                              <w:sz w:val="18"/>
                              <w:szCs w:val="16"/>
                            </w:rPr>
                            <w:t>Aplikasi</w:t>
                          </w:r>
                          <w:proofErr w:type="spellEnd"/>
                          <w:r w:rsidRPr="008118E5">
                            <w:rPr>
                              <w:rFonts w:ascii="Century Gothic" w:hAnsi="Century Gothic"/>
                              <w:b/>
                              <w:sz w:val="18"/>
                              <w:szCs w:val="16"/>
                            </w:rPr>
                            <w:t xml:space="preserve"> </w:t>
                          </w:r>
                          <w:proofErr w:type="spellStart"/>
                          <w:r w:rsidRPr="008118E5">
                            <w:rPr>
                              <w:rFonts w:ascii="Century Gothic" w:hAnsi="Century Gothic"/>
                              <w:b/>
                              <w:sz w:val="18"/>
                              <w:szCs w:val="16"/>
                            </w:rPr>
                            <w:t>Matematika</w:t>
                          </w:r>
                          <w:proofErr w:type="spellEnd"/>
                          <w:r>
                            <w:rPr>
                              <w:rFonts w:ascii="Century Gothic" w:hAnsi="Century Gothic"/>
                              <w:b/>
                              <w:sz w:val="18"/>
                              <w:szCs w:val="16"/>
                            </w:rPr>
                            <w:t>)</w:t>
                          </w:r>
                        </w:p>
                        <w:p w14:paraId="53DCA70B" w14:textId="77777777" w:rsidR="00CB5155" w:rsidRDefault="00E329E2" w:rsidP="008168FA">
                          <w:pPr>
                            <w:jc w:val="both"/>
                            <w:rPr>
                              <w:rFonts w:ascii="Century" w:hAnsi="Century"/>
                              <w:sz w:val="20"/>
                            </w:rPr>
                          </w:pPr>
                          <w:hyperlink r:id="rId1" w:history="1">
                            <w:r w:rsidR="00CB5155" w:rsidRPr="008118E5">
                              <w:rPr>
                                <w:rStyle w:val="Hyperlink"/>
                                <w:rFonts w:ascii="Century" w:hAnsi="Century"/>
                                <w:sz w:val="20"/>
                              </w:rPr>
                              <w:t>http://journal.ummat.ac.id/index.php/jtam</w:t>
                            </w:r>
                          </w:hyperlink>
                        </w:p>
                        <w:p w14:paraId="530123DE" w14:textId="77777777" w:rsidR="00CB5155" w:rsidRPr="008118E5" w:rsidRDefault="00CB5155" w:rsidP="008168FA">
                          <w:pPr>
                            <w:jc w:val="both"/>
                            <w:rPr>
                              <w:rFonts w:ascii="Century" w:hAnsi="Century"/>
                              <w:sz w:val="2"/>
                              <w:szCs w:val="16"/>
                            </w:rPr>
                          </w:pPr>
                        </w:p>
                        <w:p w14:paraId="6DC9D170" w14:textId="77777777" w:rsidR="00CB5155" w:rsidRPr="008118E5" w:rsidRDefault="00CB5155" w:rsidP="008168FA">
                          <w:pPr>
                            <w:jc w:val="both"/>
                            <w:rPr>
                              <w:rFonts w:ascii="Century Gothic" w:hAnsi="Century Gothic"/>
                              <w:sz w:val="20"/>
                              <w:szCs w:val="16"/>
                            </w:rPr>
                          </w:pPr>
                          <w:r w:rsidRPr="008118E5">
                            <w:rPr>
                              <w:rFonts w:ascii="Century Gothic" w:hAnsi="Century Gothic"/>
                              <w:sz w:val="20"/>
                              <w:szCs w:val="16"/>
                            </w:rPr>
                            <w:t>p-ISSN 2597-7512 | e-ISSN 2614-1175</w:t>
                          </w:r>
                        </w:p>
                        <w:p w14:paraId="7274B510" w14:textId="77777777" w:rsidR="00CB5155" w:rsidRDefault="00CB5155" w:rsidP="008168FA">
                          <w:pPr>
                            <w:jc w:val="both"/>
                            <w:rPr>
                              <w:rFonts w:ascii="Century Gothic" w:hAnsi="Century Gothic"/>
                              <w:sz w:val="18"/>
                              <w:szCs w:val="16"/>
                            </w:rPr>
                          </w:pPr>
                          <w:r w:rsidRPr="008118E5">
                            <w:rPr>
                              <w:rFonts w:ascii="Century Gothic" w:hAnsi="Century Gothic"/>
                              <w:sz w:val="18"/>
                              <w:szCs w:val="16"/>
                            </w:rPr>
                            <w:t>Vol.</w:t>
                          </w:r>
                          <w:r>
                            <w:rPr>
                              <w:rFonts w:ascii="Century Gothic" w:hAnsi="Century Gothic"/>
                              <w:sz w:val="18"/>
                              <w:szCs w:val="16"/>
                            </w:rPr>
                            <w:t xml:space="preserve"> X</w:t>
                          </w:r>
                          <w:r w:rsidRPr="008118E5">
                            <w:rPr>
                              <w:rFonts w:ascii="Century Gothic" w:hAnsi="Century Gothic"/>
                              <w:sz w:val="18"/>
                              <w:szCs w:val="16"/>
                            </w:rPr>
                            <w:t>, No.</w:t>
                          </w:r>
                          <w:r>
                            <w:rPr>
                              <w:rFonts w:ascii="Century Gothic" w:hAnsi="Century Gothic"/>
                              <w:sz w:val="18"/>
                              <w:szCs w:val="16"/>
                            </w:rPr>
                            <w:t xml:space="preserve"> Y</w:t>
                          </w:r>
                          <w:r w:rsidRPr="008118E5">
                            <w:rPr>
                              <w:rFonts w:ascii="Century Gothic" w:hAnsi="Century Gothic"/>
                              <w:sz w:val="18"/>
                              <w:szCs w:val="16"/>
                            </w:rPr>
                            <w:t xml:space="preserve">, </w:t>
                          </w:r>
                          <w:proofErr w:type="gramStart"/>
                          <w:r>
                            <w:rPr>
                              <w:rFonts w:ascii="Century Gothic" w:hAnsi="Century Gothic"/>
                              <w:sz w:val="18"/>
                              <w:szCs w:val="16"/>
                            </w:rPr>
                            <w:t>Month  20</w:t>
                          </w:r>
                          <w:proofErr w:type="gramEnd"/>
                          <w:r>
                            <w:rPr>
                              <w:rFonts w:ascii="Century Gothic" w:hAnsi="Century Gothic"/>
                              <w:sz w:val="18"/>
                              <w:szCs w:val="16"/>
                            </w:rPr>
                            <w:t>XX, pp</w:t>
                          </w:r>
                          <w:r w:rsidRPr="008118E5">
                            <w:rPr>
                              <w:rFonts w:ascii="Century Gothic" w:hAnsi="Century Gothic"/>
                              <w:sz w:val="18"/>
                              <w:szCs w:val="16"/>
                            </w:rPr>
                            <w:t xml:space="preserve">. </w:t>
                          </w:r>
                          <w:r>
                            <w:rPr>
                              <w:rFonts w:ascii="Century Gothic" w:hAnsi="Century Gothic"/>
                              <w:sz w:val="18"/>
                              <w:szCs w:val="16"/>
                            </w:rPr>
                            <w:t>XX-YY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AF699" id="_x0000_t202" coordsize="21600,21600" o:spt="202" path="m,l,21600r21600,l21600,xe">
              <v:stroke joinstyle="miter"/>
              <v:path gradientshapeok="t" o:connecttype="rect"/>
            </v:shapetype>
            <v:shape id="Text Box 7" o:spid="_x0000_s1026" type="#_x0000_t202" style="position:absolute;margin-left:50.2pt;margin-top:-3.4pt;width:219.95pt;height:59.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" strokecolor="white [3212]" strokeweight="0">
              <v:fill opacity="0"/>
              <v:textbox>
                <w:txbxContent>
                  <w:p w14:paraId="2C5855B4" w14:textId="77777777" w:rsidR="00CB5155" w:rsidRPr="008118E5" w:rsidRDefault="00CB5155" w:rsidP="008168FA">
                    <w:pPr>
                      <w:jc w:val="both"/>
                      <w:rPr>
                        <w:rFonts w:ascii="Century Gothic" w:hAnsi="Century Gothic"/>
                        <w:b/>
                        <w:sz w:val="18"/>
                        <w:szCs w:val="16"/>
                      </w:rPr>
                    </w:pPr>
                    <w:r>
                      <w:rPr>
                        <w:rFonts w:ascii="Century Gothic" w:hAnsi="Century Gothic"/>
                        <w:b/>
                        <w:sz w:val="18"/>
                        <w:szCs w:val="16"/>
                      </w:rPr>
                      <w:t>JTAM (</w:t>
                    </w:r>
                    <w:proofErr w:type="spellStart"/>
                    <w:r w:rsidRPr="008118E5">
                      <w:rPr>
                        <w:rFonts w:ascii="Century Gothic" w:hAnsi="Century Gothic"/>
                        <w:b/>
                        <w:sz w:val="18"/>
                        <w:szCs w:val="16"/>
                      </w:rPr>
                      <w:t>Jurnal</w:t>
                    </w:r>
                    <w:proofErr w:type="spellEnd"/>
                    <w:r w:rsidRPr="008118E5">
                      <w:rPr>
                        <w:rFonts w:ascii="Century Gothic" w:hAnsi="Century Gothic"/>
                        <w:b/>
                        <w:sz w:val="18"/>
                        <w:szCs w:val="16"/>
                      </w:rPr>
                      <w:t xml:space="preserve"> </w:t>
                    </w:r>
                    <w:proofErr w:type="spellStart"/>
                    <w:r w:rsidRPr="008118E5">
                      <w:rPr>
                        <w:rFonts w:ascii="Century Gothic" w:hAnsi="Century Gothic"/>
                        <w:b/>
                        <w:sz w:val="18"/>
                        <w:szCs w:val="16"/>
                      </w:rPr>
                      <w:t>Teori</w:t>
                    </w:r>
                    <w:proofErr w:type="spellEnd"/>
                    <w:r w:rsidRPr="008118E5">
                      <w:rPr>
                        <w:rFonts w:ascii="Century Gothic" w:hAnsi="Century Gothic"/>
                        <w:b/>
                        <w:sz w:val="18"/>
                        <w:szCs w:val="16"/>
                      </w:rPr>
                      <w:t xml:space="preserve"> dan </w:t>
                    </w:r>
                    <w:proofErr w:type="spellStart"/>
                    <w:r w:rsidRPr="008118E5">
                      <w:rPr>
                        <w:rFonts w:ascii="Century Gothic" w:hAnsi="Century Gothic"/>
                        <w:b/>
                        <w:sz w:val="18"/>
                        <w:szCs w:val="16"/>
                      </w:rPr>
                      <w:t>Aplikasi</w:t>
                    </w:r>
                    <w:proofErr w:type="spellEnd"/>
                    <w:r w:rsidRPr="008118E5">
                      <w:rPr>
                        <w:rFonts w:ascii="Century Gothic" w:hAnsi="Century Gothic"/>
                        <w:b/>
                        <w:sz w:val="18"/>
                        <w:szCs w:val="16"/>
                      </w:rPr>
                      <w:t xml:space="preserve"> </w:t>
                    </w:r>
                    <w:proofErr w:type="spellStart"/>
                    <w:r w:rsidRPr="008118E5">
                      <w:rPr>
                        <w:rFonts w:ascii="Century Gothic" w:hAnsi="Century Gothic"/>
                        <w:b/>
                        <w:sz w:val="18"/>
                        <w:szCs w:val="16"/>
                      </w:rPr>
                      <w:t>Matematika</w:t>
                    </w:r>
                    <w:proofErr w:type="spellEnd"/>
                    <w:r>
                      <w:rPr>
                        <w:rFonts w:ascii="Century Gothic" w:hAnsi="Century Gothic"/>
                        <w:b/>
                        <w:sz w:val="18"/>
                        <w:szCs w:val="16"/>
                      </w:rPr>
                      <w:t>)</w:t>
                    </w:r>
                  </w:p>
                  <w:p w14:paraId="53DCA70B" w14:textId="77777777" w:rsidR="00CB5155" w:rsidRDefault="00E329E2" w:rsidP="008168FA">
                    <w:pPr>
                      <w:jc w:val="both"/>
                      <w:rPr>
                        <w:rFonts w:ascii="Century" w:hAnsi="Century"/>
                        <w:sz w:val="20"/>
                      </w:rPr>
                    </w:pPr>
                    <w:hyperlink r:id="rId2" w:history="1">
                      <w:r w:rsidR="00CB5155" w:rsidRPr="008118E5">
                        <w:rPr>
                          <w:rStyle w:val="Hyperlink"/>
                          <w:rFonts w:ascii="Century" w:hAnsi="Century"/>
                          <w:sz w:val="20"/>
                        </w:rPr>
                        <w:t>http://journal.ummat.ac.id/index.php/jtam</w:t>
                      </w:r>
                    </w:hyperlink>
                  </w:p>
                  <w:p w14:paraId="530123DE" w14:textId="77777777" w:rsidR="00CB5155" w:rsidRPr="008118E5" w:rsidRDefault="00CB5155" w:rsidP="008168FA">
                    <w:pPr>
                      <w:jc w:val="both"/>
                      <w:rPr>
                        <w:rFonts w:ascii="Century" w:hAnsi="Century"/>
                        <w:sz w:val="2"/>
                        <w:szCs w:val="16"/>
                      </w:rPr>
                    </w:pPr>
                  </w:p>
                  <w:p w14:paraId="6DC9D170" w14:textId="77777777" w:rsidR="00CB5155" w:rsidRPr="008118E5" w:rsidRDefault="00CB5155" w:rsidP="008168FA">
                    <w:pPr>
                      <w:jc w:val="both"/>
                      <w:rPr>
                        <w:rFonts w:ascii="Century Gothic" w:hAnsi="Century Gothic"/>
                        <w:sz w:val="20"/>
                        <w:szCs w:val="16"/>
                      </w:rPr>
                    </w:pPr>
                    <w:r w:rsidRPr="008118E5">
                      <w:rPr>
                        <w:rFonts w:ascii="Century Gothic" w:hAnsi="Century Gothic"/>
                        <w:sz w:val="20"/>
                        <w:szCs w:val="16"/>
                      </w:rPr>
                      <w:t>p-ISSN 2597-7512 | e-ISSN 2614-1175</w:t>
                    </w:r>
                  </w:p>
                  <w:p w14:paraId="7274B510" w14:textId="77777777" w:rsidR="00CB5155" w:rsidRDefault="00CB5155" w:rsidP="008168FA">
                    <w:pPr>
                      <w:jc w:val="both"/>
                      <w:rPr>
                        <w:rFonts w:ascii="Century Gothic" w:hAnsi="Century Gothic"/>
                        <w:sz w:val="18"/>
                        <w:szCs w:val="16"/>
                      </w:rPr>
                    </w:pPr>
                    <w:r w:rsidRPr="008118E5">
                      <w:rPr>
                        <w:rFonts w:ascii="Century Gothic" w:hAnsi="Century Gothic"/>
                        <w:sz w:val="18"/>
                        <w:szCs w:val="16"/>
                      </w:rPr>
                      <w:t>Vol.</w:t>
                    </w:r>
                    <w:r>
                      <w:rPr>
                        <w:rFonts w:ascii="Century Gothic" w:hAnsi="Century Gothic"/>
                        <w:sz w:val="18"/>
                        <w:szCs w:val="16"/>
                      </w:rPr>
                      <w:t xml:space="preserve"> X</w:t>
                    </w:r>
                    <w:r w:rsidRPr="008118E5">
                      <w:rPr>
                        <w:rFonts w:ascii="Century Gothic" w:hAnsi="Century Gothic"/>
                        <w:sz w:val="18"/>
                        <w:szCs w:val="16"/>
                      </w:rPr>
                      <w:t>, No.</w:t>
                    </w:r>
                    <w:r>
                      <w:rPr>
                        <w:rFonts w:ascii="Century Gothic" w:hAnsi="Century Gothic"/>
                        <w:sz w:val="18"/>
                        <w:szCs w:val="16"/>
                      </w:rPr>
                      <w:t xml:space="preserve"> Y</w:t>
                    </w:r>
                    <w:r w:rsidRPr="008118E5">
                      <w:rPr>
                        <w:rFonts w:ascii="Century Gothic" w:hAnsi="Century Gothic"/>
                        <w:sz w:val="18"/>
                        <w:szCs w:val="16"/>
                      </w:rPr>
                      <w:t xml:space="preserve">, </w:t>
                    </w:r>
                    <w:proofErr w:type="gramStart"/>
                    <w:r>
                      <w:rPr>
                        <w:rFonts w:ascii="Century Gothic" w:hAnsi="Century Gothic"/>
                        <w:sz w:val="18"/>
                        <w:szCs w:val="16"/>
                      </w:rPr>
                      <w:t>Month  20</w:t>
                    </w:r>
                    <w:proofErr w:type="gramEnd"/>
                    <w:r>
                      <w:rPr>
                        <w:rFonts w:ascii="Century Gothic" w:hAnsi="Century Gothic"/>
                        <w:sz w:val="18"/>
                        <w:szCs w:val="16"/>
                      </w:rPr>
                      <w:t>XX, pp</w:t>
                    </w:r>
                    <w:r w:rsidRPr="008118E5">
                      <w:rPr>
                        <w:rFonts w:ascii="Century Gothic" w:hAnsi="Century Gothic"/>
                        <w:sz w:val="18"/>
                        <w:szCs w:val="16"/>
                      </w:rPr>
                      <w:t xml:space="preserve">. </w:t>
                    </w:r>
                    <w:r>
                      <w:rPr>
                        <w:rFonts w:ascii="Century Gothic" w:hAnsi="Century Gothic"/>
                        <w:sz w:val="18"/>
                        <w:szCs w:val="16"/>
                      </w:rPr>
                      <w:t>XX-YY</w:t>
                    </w:r>
                  </w:p>
                </w:txbxContent>
              </v:textbox>
            </v:shape>
          </w:pict>
        </mc:Fallback>
      </mc:AlternateContent>
    </w:r>
    <w:r>
      <w:rPr>
        <w:noProof/>
        <w:lang w:val="en-US" w:eastAsia="en-US"/>
      </w:rPr>
      <w:drawing>
        <wp:inline distT="0" distB="0" distL="0" distR="0" wp14:anchorId="30F3037B" wp14:editId="75D94C7D">
          <wp:extent cx="688312" cy="648822"/>
          <wp:effectExtent l="0" t="0" r="0" b="0"/>
          <wp:docPr id="4" name="Picture 4" descr="C:\Users\WINDOWS 7\Pictures\Logo JTAM\JTAMIndeksasi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Pictures\Logo JTAM\JTAMIndeksasi copy - Cop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9790" cy="6502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F0B5EBE"/>
    <w:multiLevelType w:val="hybridMultilevel"/>
    <w:tmpl w:val="578C05A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1C34A52"/>
    <w:multiLevelType w:val="hybridMultilevel"/>
    <w:tmpl w:val="578C05A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 w15:restartNumberingAfterBreak="0">
    <w:nsid w:val="328273D7"/>
    <w:multiLevelType w:val="multilevel"/>
    <w:tmpl w:val="9C8E938C"/>
    <w:numStyleLink w:val="IEEEBullet1"/>
  </w:abstractNum>
  <w:abstractNum w:abstractNumId="6" w15:restartNumberingAfterBreak="0">
    <w:nsid w:val="35A77364"/>
    <w:multiLevelType w:val="hybridMultilevel"/>
    <w:tmpl w:val="049AEA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AE82645"/>
    <w:multiLevelType w:val="hybridMultilevel"/>
    <w:tmpl w:val="FF8AEB7C"/>
    <w:lvl w:ilvl="0" w:tplc="B0D696AA">
      <w:start w:val="1"/>
      <w:numFmt w:val="upperLetter"/>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1"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2" w15:restartNumberingAfterBreak="0">
    <w:nsid w:val="6F23703A"/>
    <w:multiLevelType w:val="hybridMultilevel"/>
    <w:tmpl w:val="EE18B65A"/>
    <w:lvl w:ilvl="0" w:tplc="0C0C6762">
      <w:start w:val="2"/>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4" w15:restartNumberingAfterBreak="0">
    <w:nsid w:val="77350B92"/>
    <w:multiLevelType w:val="hybridMultilevel"/>
    <w:tmpl w:val="1BC4A940"/>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num w:numId="1">
    <w:abstractNumId w:val="9"/>
  </w:num>
  <w:num w:numId="2">
    <w:abstractNumId w:val="10"/>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360"/>
          </w:tabs>
          <w:ind w:left="360" w:hanging="360"/>
        </w:pPr>
        <w:rPr>
          <w:rFonts w:hint="default"/>
          <w:b/>
          <w:sz w:val="21"/>
          <w:szCs w:val="21"/>
        </w:rPr>
      </w:lvl>
    </w:lvlOverride>
    <w:lvlOverride w:ilvl="4">
      <w:lvl w:ilvl="4">
        <w:start w:val="1"/>
        <w:numFmt w:val="lowerLetter"/>
        <w:lvlText w:val="%5."/>
        <w:lvlJc w:val="left"/>
        <w:pPr>
          <w:tabs>
            <w:tab w:val="num" w:pos="786"/>
          </w:tabs>
          <w:ind w:left="786" w:hanging="360"/>
        </w:pPr>
        <w:rPr>
          <w:rFonts w:asciiTheme="majorHAnsi" w:hAnsiTheme="majorHAnsi" w:hint="default"/>
          <w:sz w:val="21"/>
          <w:szCs w:val="21"/>
        </w:rPr>
      </w:lvl>
    </w:lvlOverride>
  </w:num>
  <w:num w:numId="7">
    <w:abstractNumId w:val="0"/>
  </w:num>
  <w:num w:numId="8">
    <w:abstractNumId w:val="2"/>
  </w:num>
  <w:num w:numId="9">
    <w:abstractNumId w:val="13"/>
  </w:num>
  <w:num w:numId="10">
    <w:abstractNumId w:val="3"/>
  </w:num>
  <w:num w:numId="11">
    <w:abstractNumId w:val="7"/>
  </w:num>
  <w:num w:numId="12">
    <w:abstractNumId w:val="11"/>
    <w:lvlOverride w:ilvl="0">
      <w:startOverride w:val="1"/>
    </w:lvlOverride>
  </w:num>
  <w:num w:numId="13">
    <w:abstractNumId w:val="0"/>
  </w:num>
  <w:num w:numId="14">
    <w:abstractNumId w:val="12"/>
  </w:num>
  <w:num w:numId="15">
    <w:abstractNumId w:val="6"/>
  </w:num>
  <w:num w:numId="16">
    <w:abstractNumId w:val="1"/>
  </w:num>
  <w:num w:numId="17">
    <w:abstractNumId w:val="14"/>
  </w:num>
  <w:num w:numId="1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en-ID"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B"/>
    <w:rsid w:val="000002E1"/>
    <w:rsid w:val="0000069A"/>
    <w:rsid w:val="00002866"/>
    <w:rsid w:val="00002AE5"/>
    <w:rsid w:val="00002FB9"/>
    <w:rsid w:val="000069C7"/>
    <w:rsid w:val="00010EDF"/>
    <w:rsid w:val="00017719"/>
    <w:rsid w:val="00020A6F"/>
    <w:rsid w:val="000227C5"/>
    <w:rsid w:val="00027F1D"/>
    <w:rsid w:val="0003296C"/>
    <w:rsid w:val="00033553"/>
    <w:rsid w:val="00040106"/>
    <w:rsid w:val="0004578F"/>
    <w:rsid w:val="00053481"/>
    <w:rsid w:val="00054421"/>
    <w:rsid w:val="00056CE7"/>
    <w:rsid w:val="00062122"/>
    <w:rsid w:val="00062E46"/>
    <w:rsid w:val="00066CB7"/>
    <w:rsid w:val="0006703C"/>
    <w:rsid w:val="00074AC8"/>
    <w:rsid w:val="00081408"/>
    <w:rsid w:val="00081EBE"/>
    <w:rsid w:val="00082137"/>
    <w:rsid w:val="00082A45"/>
    <w:rsid w:val="00082B73"/>
    <w:rsid w:val="0008577D"/>
    <w:rsid w:val="00086EDC"/>
    <w:rsid w:val="00093581"/>
    <w:rsid w:val="00097E6D"/>
    <w:rsid w:val="000A10E6"/>
    <w:rsid w:val="000A6695"/>
    <w:rsid w:val="000B36A3"/>
    <w:rsid w:val="000B4A2C"/>
    <w:rsid w:val="000C013C"/>
    <w:rsid w:val="000D4841"/>
    <w:rsid w:val="000D67E4"/>
    <w:rsid w:val="000E3F84"/>
    <w:rsid w:val="000E478F"/>
    <w:rsid w:val="000E4F95"/>
    <w:rsid w:val="000E5B46"/>
    <w:rsid w:val="00103C8B"/>
    <w:rsid w:val="00103E04"/>
    <w:rsid w:val="00104C9F"/>
    <w:rsid w:val="001056DF"/>
    <w:rsid w:val="00114025"/>
    <w:rsid w:val="00115691"/>
    <w:rsid w:val="001160D2"/>
    <w:rsid w:val="001218D3"/>
    <w:rsid w:val="00125158"/>
    <w:rsid w:val="00131344"/>
    <w:rsid w:val="001348A5"/>
    <w:rsid w:val="0013730E"/>
    <w:rsid w:val="00140C4C"/>
    <w:rsid w:val="00140FB9"/>
    <w:rsid w:val="00146992"/>
    <w:rsid w:val="0015135B"/>
    <w:rsid w:val="00151B8E"/>
    <w:rsid w:val="00153C49"/>
    <w:rsid w:val="001747C8"/>
    <w:rsid w:val="00177ADC"/>
    <w:rsid w:val="00182CE2"/>
    <w:rsid w:val="001928FB"/>
    <w:rsid w:val="00192BC7"/>
    <w:rsid w:val="001A1D29"/>
    <w:rsid w:val="001A50EA"/>
    <w:rsid w:val="001A6E68"/>
    <w:rsid w:val="001B52EF"/>
    <w:rsid w:val="001C0608"/>
    <w:rsid w:val="001D04EB"/>
    <w:rsid w:val="001D34BD"/>
    <w:rsid w:val="001F16CD"/>
    <w:rsid w:val="001F47D2"/>
    <w:rsid w:val="00201427"/>
    <w:rsid w:val="00202141"/>
    <w:rsid w:val="002202B7"/>
    <w:rsid w:val="0022285A"/>
    <w:rsid w:val="00224C61"/>
    <w:rsid w:val="00226AB3"/>
    <w:rsid w:val="00230E61"/>
    <w:rsid w:val="0025798B"/>
    <w:rsid w:val="0026094F"/>
    <w:rsid w:val="00267F70"/>
    <w:rsid w:val="00271242"/>
    <w:rsid w:val="002718C7"/>
    <w:rsid w:val="0027227B"/>
    <w:rsid w:val="0027288E"/>
    <w:rsid w:val="00273AC7"/>
    <w:rsid w:val="00273D2C"/>
    <w:rsid w:val="00275BFA"/>
    <w:rsid w:val="00285ECD"/>
    <w:rsid w:val="0028667D"/>
    <w:rsid w:val="00290E1B"/>
    <w:rsid w:val="00291B17"/>
    <w:rsid w:val="00292EFC"/>
    <w:rsid w:val="002A2FD6"/>
    <w:rsid w:val="002A6742"/>
    <w:rsid w:val="002A73DB"/>
    <w:rsid w:val="002B09BC"/>
    <w:rsid w:val="002C1A7F"/>
    <w:rsid w:val="002C270E"/>
    <w:rsid w:val="002C4239"/>
    <w:rsid w:val="002C559D"/>
    <w:rsid w:val="002C67F8"/>
    <w:rsid w:val="002D1679"/>
    <w:rsid w:val="002D2D42"/>
    <w:rsid w:val="002D3DAA"/>
    <w:rsid w:val="002D68C9"/>
    <w:rsid w:val="002D7E4D"/>
    <w:rsid w:val="002F15EA"/>
    <w:rsid w:val="002F192A"/>
    <w:rsid w:val="002F72D0"/>
    <w:rsid w:val="003003AB"/>
    <w:rsid w:val="00303687"/>
    <w:rsid w:val="00303AFA"/>
    <w:rsid w:val="00310DCB"/>
    <w:rsid w:val="00311C49"/>
    <w:rsid w:val="0031279E"/>
    <w:rsid w:val="0032119E"/>
    <w:rsid w:val="00321304"/>
    <w:rsid w:val="003303CD"/>
    <w:rsid w:val="00331F84"/>
    <w:rsid w:val="00332EA4"/>
    <w:rsid w:val="003366F9"/>
    <w:rsid w:val="00353F69"/>
    <w:rsid w:val="00355B72"/>
    <w:rsid w:val="00360589"/>
    <w:rsid w:val="00360C6A"/>
    <w:rsid w:val="00360D09"/>
    <w:rsid w:val="00366B29"/>
    <w:rsid w:val="003717D0"/>
    <w:rsid w:val="00382E62"/>
    <w:rsid w:val="00394DC4"/>
    <w:rsid w:val="003950A4"/>
    <w:rsid w:val="003967E0"/>
    <w:rsid w:val="00397E48"/>
    <w:rsid w:val="003C2005"/>
    <w:rsid w:val="003C3E37"/>
    <w:rsid w:val="003C7209"/>
    <w:rsid w:val="003D138F"/>
    <w:rsid w:val="003D3E2E"/>
    <w:rsid w:val="003D4C64"/>
    <w:rsid w:val="003D74B8"/>
    <w:rsid w:val="003E3577"/>
    <w:rsid w:val="003E6B3B"/>
    <w:rsid w:val="003F3A61"/>
    <w:rsid w:val="00400DC7"/>
    <w:rsid w:val="00403498"/>
    <w:rsid w:val="00410A5D"/>
    <w:rsid w:val="00414909"/>
    <w:rsid w:val="004202C3"/>
    <w:rsid w:val="004211FE"/>
    <w:rsid w:val="004216B1"/>
    <w:rsid w:val="00425A6A"/>
    <w:rsid w:val="00426FBB"/>
    <w:rsid w:val="00427112"/>
    <w:rsid w:val="004337B8"/>
    <w:rsid w:val="00437CE1"/>
    <w:rsid w:val="00437E30"/>
    <w:rsid w:val="00437E48"/>
    <w:rsid w:val="0044773F"/>
    <w:rsid w:val="0046428B"/>
    <w:rsid w:val="00471085"/>
    <w:rsid w:val="0047429A"/>
    <w:rsid w:val="0047524A"/>
    <w:rsid w:val="004772BF"/>
    <w:rsid w:val="004778A8"/>
    <w:rsid w:val="0048374C"/>
    <w:rsid w:val="00485D60"/>
    <w:rsid w:val="0048707A"/>
    <w:rsid w:val="0048771D"/>
    <w:rsid w:val="0049357F"/>
    <w:rsid w:val="004A1511"/>
    <w:rsid w:val="004A2B64"/>
    <w:rsid w:val="004A6605"/>
    <w:rsid w:val="004B0DB7"/>
    <w:rsid w:val="004B519F"/>
    <w:rsid w:val="004B5BFE"/>
    <w:rsid w:val="004B7F34"/>
    <w:rsid w:val="004C4227"/>
    <w:rsid w:val="004C45FA"/>
    <w:rsid w:val="004C4D2E"/>
    <w:rsid w:val="004D395E"/>
    <w:rsid w:val="004D6A8C"/>
    <w:rsid w:val="004D6BC3"/>
    <w:rsid w:val="004D7355"/>
    <w:rsid w:val="004E1BD8"/>
    <w:rsid w:val="004E452A"/>
    <w:rsid w:val="004E4FE6"/>
    <w:rsid w:val="004E78E3"/>
    <w:rsid w:val="004F5EA9"/>
    <w:rsid w:val="005004BF"/>
    <w:rsid w:val="00502E89"/>
    <w:rsid w:val="00504748"/>
    <w:rsid w:val="00505FE2"/>
    <w:rsid w:val="0051095A"/>
    <w:rsid w:val="00510E95"/>
    <w:rsid w:val="0051451F"/>
    <w:rsid w:val="00515557"/>
    <w:rsid w:val="00521ED0"/>
    <w:rsid w:val="00522D23"/>
    <w:rsid w:val="00524694"/>
    <w:rsid w:val="00524905"/>
    <w:rsid w:val="00527D56"/>
    <w:rsid w:val="0053012F"/>
    <w:rsid w:val="00530A0F"/>
    <w:rsid w:val="0053221F"/>
    <w:rsid w:val="00536FAE"/>
    <w:rsid w:val="0054252A"/>
    <w:rsid w:val="00542C85"/>
    <w:rsid w:val="00553510"/>
    <w:rsid w:val="00554186"/>
    <w:rsid w:val="005628CD"/>
    <w:rsid w:val="00564397"/>
    <w:rsid w:val="0056697B"/>
    <w:rsid w:val="005818EA"/>
    <w:rsid w:val="00585769"/>
    <w:rsid w:val="00591130"/>
    <w:rsid w:val="00591DB6"/>
    <w:rsid w:val="0059614C"/>
    <w:rsid w:val="005A3F28"/>
    <w:rsid w:val="005A40BE"/>
    <w:rsid w:val="005A7F4E"/>
    <w:rsid w:val="005B13E2"/>
    <w:rsid w:val="005B3934"/>
    <w:rsid w:val="005B47D7"/>
    <w:rsid w:val="005C4BA9"/>
    <w:rsid w:val="005C5526"/>
    <w:rsid w:val="005C62C6"/>
    <w:rsid w:val="005D033B"/>
    <w:rsid w:val="005D21E9"/>
    <w:rsid w:val="005D7B9E"/>
    <w:rsid w:val="005F0834"/>
    <w:rsid w:val="005F4A93"/>
    <w:rsid w:val="005F6DC3"/>
    <w:rsid w:val="006017FD"/>
    <w:rsid w:val="00601A8E"/>
    <w:rsid w:val="00602488"/>
    <w:rsid w:val="006079BE"/>
    <w:rsid w:val="0062033E"/>
    <w:rsid w:val="00624482"/>
    <w:rsid w:val="006271CA"/>
    <w:rsid w:val="00630921"/>
    <w:rsid w:val="00633178"/>
    <w:rsid w:val="006343E3"/>
    <w:rsid w:val="0063726A"/>
    <w:rsid w:val="006411AE"/>
    <w:rsid w:val="00643796"/>
    <w:rsid w:val="0064799C"/>
    <w:rsid w:val="00654156"/>
    <w:rsid w:val="00657AE5"/>
    <w:rsid w:val="00666AA3"/>
    <w:rsid w:val="00683A5B"/>
    <w:rsid w:val="00694D34"/>
    <w:rsid w:val="00695864"/>
    <w:rsid w:val="006977E6"/>
    <w:rsid w:val="006979FE"/>
    <w:rsid w:val="006A3AE1"/>
    <w:rsid w:val="006A4145"/>
    <w:rsid w:val="006B09B8"/>
    <w:rsid w:val="006B47CA"/>
    <w:rsid w:val="006C7AAA"/>
    <w:rsid w:val="006D1C2A"/>
    <w:rsid w:val="006D264F"/>
    <w:rsid w:val="006D3F45"/>
    <w:rsid w:val="006E2A8D"/>
    <w:rsid w:val="006E35C8"/>
    <w:rsid w:val="006E4AB3"/>
    <w:rsid w:val="006E6B57"/>
    <w:rsid w:val="006E7574"/>
    <w:rsid w:val="006F4323"/>
    <w:rsid w:val="00701D28"/>
    <w:rsid w:val="00703430"/>
    <w:rsid w:val="007069BE"/>
    <w:rsid w:val="00707835"/>
    <w:rsid w:val="00711BD2"/>
    <w:rsid w:val="00711FEB"/>
    <w:rsid w:val="00721E2E"/>
    <w:rsid w:val="007227F5"/>
    <w:rsid w:val="00724B17"/>
    <w:rsid w:val="0072566E"/>
    <w:rsid w:val="00733156"/>
    <w:rsid w:val="00733E74"/>
    <w:rsid w:val="0074085C"/>
    <w:rsid w:val="00745C86"/>
    <w:rsid w:val="00764603"/>
    <w:rsid w:val="0076604D"/>
    <w:rsid w:val="0077568E"/>
    <w:rsid w:val="00781DBA"/>
    <w:rsid w:val="00782C3F"/>
    <w:rsid w:val="00784428"/>
    <w:rsid w:val="007855B5"/>
    <w:rsid w:val="0078621C"/>
    <w:rsid w:val="00790909"/>
    <w:rsid w:val="0079301B"/>
    <w:rsid w:val="007A77C6"/>
    <w:rsid w:val="007B34E6"/>
    <w:rsid w:val="007B5A07"/>
    <w:rsid w:val="007B668E"/>
    <w:rsid w:val="007C7D51"/>
    <w:rsid w:val="007D3E71"/>
    <w:rsid w:val="007E132A"/>
    <w:rsid w:val="007E34AA"/>
    <w:rsid w:val="007E5D6A"/>
    <w:rsid w:val="007E645D"/>
    <w:rsid w:val="007F7260"/>
    <w:rsid w:val="007F75CA"/>
    <w:rsid w:val="00815DBA"/>
    <w:rsid w:val="008168FA"/>
    <w:rsid w:val="00816EA9"/>
    <w:rsid w:val="00820A91"/>
    <w:rsid w:val="00821E08"/>
    <w:rsid w:val="008230F3"/>
    <w:rsid w:val="00825A13"/>
    <w:rsid w:val="00834154"/>
    <w:rsid w:val="00834EFD"/>
    <w:rsid w:val="00841914"/>
    <w:rsid w:val="00842567"/>
    <w:rsid w:val="00842B65"/>
    <w:rsid w:val="00844B24"/>
    <w:rsid w:val="00844FAE"/>
    <w:rsid w:val="0084515F"/>
    <w:rsid w:val="0085092D"/>
    <w:rsid w:val="00865FB3"/>
    <w:rsid w:val="00873013"/>
    <w:rsid w:val="008746C3"/>
    <w:rsid w:val="008757E0"/>
    <w:rsid w:val="00877D4C"/>
    <w:rsid w:val="0089763B"/>
    <w:rsid w:val="008A0B0A"/>
    <w:rsid w:val="008A1519"/>
    <w:rsid w:val="008A2479"/>
    <w:rsid w:val="008B114A"/>
    <w:rsid w:val="008B6295"/>
    <w:rsid w:val="008B6AE3"/>
    <w:rsid w:val="008D1045"/>
    <w:rsid w:val="008E0EBD"/>
    <w:rsid w:val="008E2316"/>
    <w:rsid w:val="008E5277"/>
    <w:rsid w:val="008E5996"/>
    <w:rsid w:val="008F1272"/>
    <w:rsid w:val="00901AE1"/>
    <w:rsid w:val="00901EFD"/>
    <w:rsid w:val="00904754"/>
    <w:rsid w:val="00904DCD"/>
    <w:rsid w:val="00905356"/>
    <w:rsid w:val="00914E29"/>
    <w:rsid w:val="009205B4"/>
    <w:rsid w:val="009223D5"/>
    <w:rsid w:val="00922923"/>
    <w:rsid w:val="00932F60"/>
    <w:rsid w:val="00937F31"/>
    <w:rsid w:val="009408BA"/>
    <w:rsid w:val="00946DC6"/>
    <w:rsid w:val="009507C0"/>
    <w:rsid w:val="009537A7"/>
    <w:rsid w:val="009550E8"/>
    <w:rsid w:val="00955B59"/>
    <w:rsid w:val="009570BE"/>
    <w:rsid w:val="00962C93"/>
    <w:rsid w:val="00962FAF"/>
    <w:rsid w:val="00963433"/>
    <w:rsid w:val="009671E5"/>
    <w:rsid w:val="00971BB3"/>
    <w:rsid w:val="00971EBF"/>
    <w:rsid w:val="00977D12"/>
    <w:rsid w:val="00985DB4"/>
    <w:rsid w:val="00991EED"/>
    <w:rsid w:val="00992262"/>
    <w:rsid w:val="009926BC"/>
    <w:rsid w:val="00993DEB"/>
    <w:rsid w:val="00997F50"/>
    <w:rsid w:val="009A09C7"/>
    <w:rsid w:val="009A4319"/>
    <w:rsid w:val="009A6C3F"/>
    <w:rsid w:val="009A6E9C"/>
    <w:rsid w:val="009B0A53"/>
    <w:rsid w:val="009B73F2"/>
    <w:rsid w:val="009C12BD"/>
    <w:rsid w:val="009C30E3"/>
    <w:rsid w:val="009C50FE"/>
    <w:rsid w:val="009D2660"/>
    <w:rsid w:val="009D34EA"/>
    <w:rsid w:val="009D3C51"/>
    <w:rsid w:val="00A03A12"/>
    <w:rsid w:val="00A03E75"/>
    <w:rsid w:val="00A04DC8"/>
    <w:rsid w:val="00A06680"/>
    <w:rsid w:val="00A11080"/>
    <w:rsid w:val="00A12127"/>
    <w:rsid w:val="00A1414F"/>
    <w:rsid w:val="00A20D66"/>
    <w:rsid w:val="00A22FE0"/>
    <w:rsid w:val="00A37654"/>
    <w:rsid w:val="00A4337B"/>
    <w:rsid w:val="00A45FCE"/>
    <w:rsid w:val="00A64A36"/>
    <w:rsid w:val="00A7266B"/>
    <w:rsid w:val="00A75671"/>
    <w:rsid w:val="00A773CC"/>
    <w:rsid w:val="00A87305"/>
    <w:rsid w:val="00A9318B"/>
    <w:rsid w:val="00A94AC1"/>
    <w:rsid w:val="00A95B87"/>
    <w:rsid w:val="00A9735F"/>
    <w:rsid w:val="00AA5A8D"/>
    <w:rsid w:val="00AB18B7"/>
    <w:rsid w:val="00AB2575"/>
    <w:rsid w:val="00AC157F"/>
    <w:rsid w:val="00AC1DAA"/>
    <w:rsid w:val="00AD2BAB"/>
    <w:rsid w:val="00AD335D"/>
    <w:rsid w:val="00AD3C84"/>
    <w:rsid w:val="00AE1477"/>
    <w:rsid w:val="00AF200C"/>
    <w:rsid w:val="00AF47A1"/>
    <w:rsid w:val="00AF792B"/>
    <w:rsid w:val="00B00190"/>
    <w:rsid w:val="00B0294E"/>
    <w:rsid w:val="00B10F2B"/>
    <w:rsid w:val="00B23EE2"/>
    <w:rsid w:val="00B24C52"/>
    <w:rsid w:val="00B333DE"/>
    <w:rsid w:val="00B343ED"/>
    <w:rsid w:val="00B3521D"/>
    <w:rsid w:val="00B55D5E"/>
    <w:rsid w:val="00B56B16"/>
    <w:rsid w:val="00B717BA"/>
    <w:rsid w:val="00B735B0"/>
    <w:rsid w:val="00B75787"/>
    <w:rsid w:val="00B81E91"/>
    <w:rsid w:val="00B867D4"/>
    <w:rsid w:val="00B91814"/>
    <w:rsid w:val="00B92B81"/>
    <w:rsid w:val="00B94516"/>
    <w:rsid w:val="00BA183C"/>
    <w:rsid w:val="00BA655F"/>
    <w:rsid w:val="00BA665D"/>
    <w:rsid w:val="00BA7955"/>
    <w:rsid w:val="00BB13C6"/>
    <w:rsid w:val="00BB2855"/>
    <w:rsid w:val="00BB3407"/>
    <w:rsid w:val="00BB738A"/>
    <w:rsid w:val="00BC57FF"/>
    <w:rsid w:val="00BC6B25"/>
    <w:rsid w:val="00BC7909"/>
    <w:rsid w:val="00BD19C1"/>
    <w:rsid w:val="00BD25B8"/>
    <w:rsid w:val="00BD34C2"/>
    <w:rsid w:val="00BE3C75"/>
    <w:rsid w:val="00BF097D"/>
    <w:rsid w:val="00BF1228"/>
    <w:rsid w:val="00BF4618"/>
    <w:rsid w:val="00C0011E"/>
    <w:rsid w:val="00C012E1"/>
    <w:rsid w:val="00C029BD"/>
    <w:rsid w:val="00C06BB4"/>
    <w:rsid w:val="00C10D20"/>
    <w:rsid w:val="00C12AC4"/>
    <w:rsid w:val="00C12E0C"/>
    <w:rsid w:val="00C14968"/>
    <w:rsid w:val="00C21916"/>
    <w:rsid w:val="00C2650B"/>
    <w:rsid w:val="00C32E48"/>
    <w:rsid w:val="00C457CA"/>
    <w:rsid w:val="00C500EF"/>
    <w:rsid w:val="00C50BA0"/>
    <w:rsid w:val="00C52304"/>
    <w:rsid w:val="00C57349"/>
    <w:rsid w:val="00C57FB7"/>
    <w:rsid w:val="00C62CEB"/>
    <w:rsid w:val="00C65F3F"/>
    <w:rsid w:val="00C72414"/>
    <w:rsid w:val="00C8667B"/>
    <w:rsid w:val="00C86750"/>
    <w:rsid w:val="00C91EF5"/>
    <w:rsid w:val="00C9234E"/>
    <w:rsid w:val="00C93BB2"/>
    <w:rsid w:val="00C94402"/>
    <w:rsid w:val="00C9683E"/>
    <w:rsid w:val="00CA2A24"/>
    <w:rsid w:val="00CA4CE3"/>
    <w:rsid w:val="00CB1354"/>
    <w:rsid w:val="00CB19D8"/>
    <w:rsid w:val="00CB5155"/>
    <w:rsid w:val="00CB60BA"/>
    <w:rsid w:val="00CB65CB"/>
    <w:rsid w:val="00CC75C0"/>
    <w:rsid w:val="00CD23EF"/>
    <w:rsid w:val="00CD4F3F"/>
    <w:rsid w:val="00CE34BC"/>
    <w:rsid w:val="00CE562B"/>
    <w:rsid w:val="00CF75F6"/>
    <w:rsid w:val="00D05BEA"/>
    <w:rsid w:val="00D150AD"/>
    <w:rsid w:val="00D17D7F"/>
    <w:rsid w:val="00D2480A"/>
    <w:rsid w:val="00D30F2D"/>
    <w:rsid w:val="00D311F8"/>
    <w:rsid w:val="00D36B52"/>
    <w:rsid w:val="00D3708C"/>
    <w:rsid w:val="00D377C8"/>
    <w:rsid w:val="00D37FE2"/>
    <w:rsid w:val="00D41274"/>
    <w:rsid w:val="00D43BF3"/>
    <w:rsid w:val="00D47EA8"/>
    <w:rsid w:val="00D5746B"/>
    <w:rsid w:val="00D60CD8"/>
    <w:rsid w:val="00D677E9"/>
    <w:rsid w:val="00D767BB"/>
    <w:rsid w:val="00D8752A"/>
    <w:rsid w:val="00D92681"/>
    <w:rsid w:val="00D939B0"/>
    <w:rsid w:val="00D958E2"/>
    <w:rsid w:val="00DB16E0"/>
    <w:rsid w:val="00DB2DF9"/>
    <w:rsid w:val="00DB383B"/>
    <w:rsid w:val="00DB7E63"/>
    <w:rsid w:val="00DC2055"/>
    <w:rsid w:val="00DC7269"/>
    <w:rsid w:val="00DD16DC"/>
    <w:rsid w:val="00DD71E8"/>
    <w:rsid w:val="00DD7F83"/>
    <w:rsid w:val="00DE335E"/>
    <w:rsid w:val="00DF1B93"/>
    <w:rsid w:val="00DF68F5"/>
    <w:rsid w:val="00DF6A46"/>
    <w:rsid w:val="00DF7CA2"/>
    <w:rsid w:val="00E0641E"/>
    <w:rsid w:val="00E06664"/>
    <w:rsid w:val="00E11080"/>
    <w:rsid w:val="00E135B9"/>
    <w:rsid w:val="00E20C19"/>
    <w:rsid w:val="00E304BC"/>
    <w:rsid w:val="00E32853"/>
    <w:rsid w:val="00E329E2"/>
    <w:rsid w:val="00E33A00"/>
    <w:rsid w:val="00E379EC"/>
    <w:rsid w:val="00E401F8"/>
    <w:rsid w:val="00E41262"/>
    <w:rsid w:val="00E42932"/>
    <w:rsid w:val="00E43EEC"/>
    <w:rsid w:val="00E4498A"/>
    <w:rsid w:val="00E44C34"/>
    <w:rsid w:val="00E46425"/>
    <w:rsid w:val="00E47861"/>
    <w:rsid w:val="00E47D0E"/>
    <w:rsid w:val="00E512D9"/>
    <w:rsid w:val="00E53721"/>
    <w:rsid w:val="00E6457D"/>
    <w:rsid w:val="00E65018"/>
    <w:rsid w:val="00E678CD"/>
    <w:rsid w:val="00E70EE3"/>
    <w:rsid w:val="00E72D69"/>
    <w:rsid w:val="00E7529B"/>
    <w:rsid w:val="00E77E85"/>
    <w:rsid w:val="00E8787B"/>
    <w:rsid w:val="00E94339"/>
    <w:rsid w:val="00E97563"/>
    <w:rsid w:val="00EB0B63"/>
    <w:rsid w:val="00EB2163"/>
    <w:rsid w:val="00EC1C35"/>
    <w:rsid w:val="00EC265C"/>
    <w:rsid w:val="00EC2DD7"/>
    <w:rsid w:val="00EC65B7"/>
    <w:rsid w:val="00ED25B0"/>
    <w:rsid w:val="00ED61CB"/>
    <w:rsid w:val="00ED711E"/>
    <w:rsid w:val="00EE353A"/>
    <w:rsid w:val="00EE4353"/>
    <w:rsid w:val="00EF2488"/>
    <w:rsid w:val="00EF290B"/>
    <w:rsid w:val="00EF3452"/>
    <w:rsid w:val="00EF61AD"/>
    <w:rsid w:val="00F062D8"/>
    <w:rsid w:val="00F06A72"/>
    <w:rsid w:val="00F06C6A"/>
    <w:rsid w:val="00F1242E"/>
    <w:rsid w:val="00F136F0"/>
    <w:rsid w:val="00F20BBB"/>
    <w:rsid w:val="00F20DCD"/>
    <w:rsid w:val="00F22C0B"/>
    <w:rsid w:val="00F24F69"/>
    <w:rsid w:val="00F34AE2"/>
    <w:rsid w:val="00F359FA"/>
    <w:rsid w:val="00F41BED"/>
    <w:rsid w:val="00F4394A"/>
    <w:rsid w:val="00F43BD8"/>
    <w:rsid w:val="00F51254"/>
    <w:rsid w:val="00F55879"/>
    <w:rsid w:val="00F562F3"/>
    <w:rsid w:val="00F57140"/>
    <w:rsid w:val="00F66CC2"/>
    <w:rsid w:val="00F67BC3"/>
    <w:rsid w:val="00F73EC9"/>
    <w:rsid w:val="00F74B89"/>
    <w:rsid w:val="00F75133"/>
    <w:rsid w:val="00F80742"/>
    <w:rsid w:val="00F85074"/>
    <w:rsid w:val="00F870D3"/>
    <w:rsid w:val="00F93767"/>
    <w:rsid w:val="00F946C8"/>
    <w:rsid w:val="00FA30B6"/>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1ACB"/>
    <w:rsid w:val="00FD549E"/>
    <w:rsid w:val="00FD5CF0"/>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AA8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Strong">
    <w:name w:val="Strong"/>
    <w:basedOn w:val="DefaultParagraphFont"/>
    <w:uiPriority w:val="22"/>
    <w:qFormat/>
    <w:rsid w:val="00ED711E"/>
    <w:rPr>
      <w:b/>
      <w:bCs/>
    </w:rPr>
  </w:style>
  <w:style w:type="character" w:styleId="UnresolvedMention">
    <w:name w:val="Unresolved Mention"/>
    <w:basedOn w:val="DefaultParagraphFont"/>
    <w:uiPriority w:val="99"/>
    <w:semiHidden/>
    <w:unhideWhenUsed/>
    <w:rsid w:val="0059614C"/>
    <w:rPr>
      <w:color w:val="605E5C"/>
      <w:shd w:val="clear" w:color="auto" w:fill="E1DFDD"/>
    </w:rPr>
  </w:style>
  <w:style w:type="paragraph" w:customStyle="1" w:styleId="MTDisplayEquation">
    <w:name w:val="MTDisplayEquation"/>
    <w:basedOn w:val="Normal"/>
    <w:next w:val="Normal"/>
    <w:link w:val="MTDisplayEquationChar"/>
    <w:rsid w:val="005D033B"/>
    <w:pPr>
      <w:tabs>
        <w:tab w:val="center" w:pos="4520"/>
        <w:tab w:val="right" w:pos="9020"/>
      </w:tabs>
      <w:spacing w:after="160" w:line="259" w:lineRule="auto"/>
    </w:pPr>
    <w:rPr>
      <w:rFonts w:ascii="Calibri" w:eastAsia="Calibri" w:hAnsi="Calibri"/>
      <w:sz w:val="22"/>
      <w:szCs w:val="22"/>
      <w:lang w:val="en-ID" w:eastAsia="en-US"/>
    </w:rPr>
  </w:style>
  <w:style w:type="character" w:customStyle="1" w:styleId="MTDisplayEquationChar">
    <w:name w:val="MTDisplayEquation Char"/>
    <w:link w:val="MTDisplayEquation"/>
    <w:rsid w:val="005D033B"/>
    <w:rPr>
      <w:rFonts w:ascii="Calibri" w:eastAsia="Calibri" w:hAnsi="Calibri"/>
      <w:sz w:val="22"/>
      <w:szCs w:val="22"/>
      <w:lang w:val="en-ID"/>
    </w:rPr>
  </w:style>
  <w:style w:type="paragraph" w:customStyle="1" w:styleId="Paragraf">
    <w:name w:val="Paragraf"/>
    <w:link w:val="ParagrafChar"/>
    <w:qFormat/>
    <w:rsid w:val="005D033B"/>
    <w:pPr>
      <w:spacing w:line="360" w:lineRule="auto"/>
      <w:ind w:firstLine="720"/>
      <w:jc w:val="both"/>
    </w:pPr>
    <w:rPr>
      <w:rFonts w:eastAsia="Calibri"/>
      <w:sz w:val="24"/>
      <w:szCs w:val="24"/>
    </w:rPr>
  </w:style>
  <w:style w:type="character" w:customStyle="1" w:styleId="ParagrafChar">
    <w:name w:val="Paragraf Char"/>
    <w:link w:val="Paragraf"/>
    <w:rsid w:val="005D033B"/>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1.bin"/><Relationship Id="rId63" Type="http://schemas.openxmlformats.org/officeDocument/2006/relationships/image" Target="media/image28.wmf"/><Relationship Id="rId84" Type="http://schemas.openxmlformats.org/officeDocument/2006/relationships/oleObject" Target="embeddings/oleObject32.bin"/><Relationship Id="rId138" Type="http://schemas.openxmlformats.org/officeDocument/2006/relationships/oleObject" Target="embeddings/oleObject59.bin"/><Relationship Id="rId159" Type="http://schemas.openxmlformats.org/officeDocument/2006/relationships/image" Target="media/image76.wmf"/><Relationship Id="rId170" Type="http://schemas.openxmlformats.org/officeDocument/2006/relationships/image" Target="media/image84.png"/><Relationship Id="rId107" Type="http://schemas.openxmlformats.org/officeDocument/2006/relationships/image" Target="media/image50.wmf"/><Relationship Id="rId11" Type="http://schemas.openxmlformats.org/officeDocument/2006/relationships/header" Target="header1.xml"/><Relationship Id="rId32" Type="http://schemas.openxmlformats.org/officeDocument/2006/relationships/oleObject" Target="embeddings/oleObject6.bin"/><Relationship Id="rId53" Type="http://schemas.openxmlformats.org/officeDocument/2006/relationships/image" Target="media/image23.wmf"/><Relationship Id="rId74" Type="http://schemas.openxmlformats.org/officeDocument/2006/relationships/oleObject" Target="embeddings/oleObject27.bin"/><Relationship Id="rId128" Type="http://schemas.openxmlformats.org/officeDocument/2006/relationships/oleObject" Target="embeddings/oleObject54.bin"/><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70.bin"/><Relationship Id="rId22" Type="http://schemas.openxmlformats.org/officeDocument/2006/relationships/oleObject" Target="embeddings/oleObject1.bin"/><Relationship Id="rId43" Type="http://schemas.openxmlformats.org/officeDocument/2006/relationships/image" Target="media/image18.wmf"/><Relationship Id="rId64" Type="http://schemas.openxmlformats.org/officeDocument/2006/relationships/oleObject" Target="embeddings/oleObject22.bin"/><Relationship Id="rId118" Type="http://schemas.openxmlformats.org/officeDocument/2006/relationships/oleObject" Target="embeddings/oleObject49.bin"/><Relationship Id="rId139" Type="http://schemas.openxmlformats.org/officeDocument/2006/relationships/image" Target="media/image66.wmf"/><Relationship Id="rId85" Type="http://schemas.openxmlformats.org/officeDocument/2006/relationships/image" Target="media/image39.wmf"/><Relationship Id="rId150" Type="http://schemas.openxmlformats.org/officeDocument/2006/relationships/oleObject" Target="embeddings/oleObject65.bin"/><Relationship Id="rId171" Type="http://schemas.openxmlformats.org/officeDocument/2006/relationships/image" Target="media/image85.png"/><Relationship Id="rId12" Type="http://schemas.openxmlformats.org/officeDocument/2006/relationships/header" Target="header2.xml"/><Relationship Id="rId33" Type="http://schemas.openxmlformats.org/officeDocument/2006/relationships/image" Target="media/image13.wmf"/><Relationship Id="rId108" Type="http://schemas.openxmlformats.org/officeDocument/2006/relationships/oleObject" Target="embeddings/oleObject44.bin"/><Relationship Id="rId129" Type="http://schemas.openxmlformats.org/officeDocument/2006/relationships/image" Target="media/image61.wmf"/><Relationship Id="rId54" Type="http://schemas.openxmlformats.org/officeDocument/2006/relationships/oleObject" Target="embeddings/oleObject17.bin"/><Relationship Id="rId75" Type="http://schemas.openxmlformats.org/officeDocument/2006/relationships/image" Target="media/image34.wmf"/><Relationship Id="rId96" Type="http://schemas.openxmlformats.org/officeDocument/2006/relationships/oleObject" Target="embeddings/oleObject38.bin"/><Relationship Id="rId140" Type="http://schemas.openxmlformats.org/officeDocument/2006/relationships/oleObject" Target="embeddings/oleObject60.bin"/><Relationship Id="rId161" Type="http://schemas.openxmlformats.org/officeDocument/2006/relationships/image" Target="media/image77.wmf"/><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4.bin"/><Relationship Id="rId49" Type="http://schemas.openxmlformats.org/officeDocument/2006/relationships/image" Target="media/image21.wmf"/><Relationship Id="rId114" Type="http://schemas.openxmlformats.org/officeDocument/2006/relationships/oleObject" Target="embeddings/oleObject47.bin"/><Relationship Id="rId119" Type="http://schemas.openxmlformats.org/officeDocument/2006/relationships/image" Target="media/image56.wmf"/><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3.bin"/><Relationship Id="rId130" Type="http://schemas.openxmlformats.org/officeDocument/2006/relationships/oleObject" Target="embeddings/oleObject55.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68.bin"/><Relationship Id="rId177" Type="http://schemas.openxmlformats.org/officeDocument/2006/relationships/theme" Target="theme/theme1.xml"/><Relationship Id="rId172" Type="http://schemas.openxmlformats.org/officeDocument/2006/relationships/image" Target="media/image86.png"/><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4.wmf"/><Relationship Id="rId76" Type="http://schemas.openxmlformats.org/officeDocument/2006/relationships/oleObject" Target="embeddings/oleObject28.bin"/><Relationship Id="rId97" Type="http://schemas.openxmlformats.org/officeDocument/2006/relationships/image" Target="media/image45.w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3.bin"/><Relationship Id="rId167"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36.bin"/><Relationship Id="rId162" Type="http://schemas.openxmlformats.org/officeDocument/2006/relationships/oleObject" Target="embeddings/oleObject71.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9.wmf"/><Relationship Id="rId66" Type="http://schemas.openxmlformats.org/officeDocument/2006/relationships/oleObject" Target="embeddings/oleObject23.bin"/><Relationship Id="rId87" Type="http://schemas.openxmlformats.org/officeDocument/2006/relationships/image" Target="media/image40.wmf"/><Relationship Id="rId110" Type="http://schemas.openxmlformats.org/officeDocument/2006/relationships/oleObject" Target="embeddings/oleObject45.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58.bin"/><Relationship Id="rId157" Type="http://schemas.openxmlformats.org/officeDocument/2006/relationships/image" Target="media/image75.wmf"/><Relationship Id="rId61" Type="http://schemas.openxmlformats.org/officeDocument/2006/relationships/image" Target="media/image27.wmf"/><Relationship Id="rId82" Type="http://schemas.openxmlformats.org/officeDocument/2006/relationships/oleObject" Target="embeddings/oleObject31.bin"/><Relationship Id="rId152" Type="http://schemas.openxmlformats.org/officeDocument/2006/relationships/oleObject" Target="embeddings/oleObject66.bin"/><Relationship Id="rId173" Type="http://schemas.openxmlformats.org/officeDocument/2006/relationships/image" Target="media/image87.png"/><Relationship Id="rId19" Type="http://schemas.openxmlformats.org/officeDocument/2006/relationships/image" Target="media/image5.jpeg"/><Relationship Id="rId14" Type="http://schemas.openxmlformats.org/officeDocument/2006/relationships/footer" Target="footer1.xml"/><Relationship Id="rId30" Type="http://schemas.openxmlformats.org/officeDocument/2006/relationships/oleObject" Target="embeddings/oleObject5.bin"/><Relationship Id="rId35" Type="http://schemas.openxmlformats.org/officeDocument/2006/relationships/image" Target="media/image14.wmf"/><Relationship Id="rId56" Type="http://schemas.openxmlformats.org/officeDocument/2006/relationships/oleObject" Target="embeddings/oleObject18.bin"/><Relationship Id="rId77" Type="http://schemas.openxmlformats.org/officeDocument/2006/relationships/image" Target="media/image35.wmf"/><Relationship Id="rId100" Type="http://schemas.openxmlformats.org/officeDocument/2006/relationships/oleObject" Target="embeddings/oleObject40.bin"/><Relationship Id="rId105" Type="http://schemas.openxmlformats.org/officeDocument/2006/relationships/image" Target="media/image49.wmf"/><Relationship Id="rId126" Type="http://schemas.openxmlformats.org/officeDocument/2006/relationships/oleObject" Target="embeddings/oleObject53.bin"/><Relationship Id="rId147" Type="http://schemas.openxmlformats.org/officeDocument/2006/relationships/image" Target="media/image70.wmf"/><Relationship Id="rId168" Type="http://schemas.openxmlformats.org/officeDocument/2006/relationships/image" Target="media/image82.png"/><Relationship Id="rId8" Type="http://schemas.openxmlformats.org/officeDocument/2006/relationships/hyperlink" Target="mailto:athaya17002@mail.unpad.ac.id" TargetMode="External"/><Relationship Id="rId51" Type="http://schemas.openxmlformats.org/officeDocument/2006/relationships/image" Target="media/image22.wmf"/><Relationship Id="rId72" Type="http://schemas.openxmlformats.org/officeDocument/2006/relationships/oleObject" Target="embeddings/oleObject26.bin"/><Relationship Id="rId93" Type="http://schemas.openxmlformats.org/officeDocument/2006/relationships/image" Target="media/image43.wmf"/><Relationship Id="rId98" Type="http://schemas.openxmlformats.org/officeDocument/2006/relationships/oleObject" Target="embeddings/oleObject39.bin"/><Relationship Id="rId121" Type="http://schemas.openxmlformats.org/officeDocument/2006/relationships/image" Target="media/image57.wmf"/><Relationship Id="rId142" Type="http://schemas.openxmlformats.org/officeDocument/2006/relationships/oleObject" Target="embeddings/oleObject61.bin"/><Relationship Id="rId163" Type="http://schemas.openxmlformats.org/officeDocument/2006/relationships/image" Target="media/image78.w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3.bin"/><Relationship Id="rId67" Type="http://schemas.openxmlformats.org/officeDocument/2006/relationships/image" Target="media/image30.wmf"/><Relationship Id="rId116" Type="http://schemas.openxmlformats.org/officeDocument/2006/relationships/oleObject" Target="embeddings/oleObject48.bin"/><Relationship Id="rId137" Type="http://schemas.openxmlformats.org/officeDocument/2006/relationships/image" Target="media/image65.wmf"/><Relationship Id="rId158" Type="http://schemas.openxmlformats.org/officeDocument/2006/relationships/oleObject" Target="embeddings/oleObject69.bin"/><Relationship Id="rId20" Type="http://schemas.openxmlformats.org/officeDocument/2006/relationships/image" Target="media/image6.jpeg"/><Relationship Id="rId41" Type="http://schemas.openxmlformats.org/officeDocument/2006/relationships/image" Target="media/image17.wmf"/><Relationship Id="rId62" Type="http://schemas.openxmlformats.org/officeDocument/2006/relationships/oleObject" Target="embeddings/oleObject21.bin"/><Relationship Id="rId83" Type="http://schemas.openxmlformats.org/officeDocument/2006/relationships/image" Target="media/image38.wmf"/><Relationship Id="rId88" Type="http://schemas.openxmlformats.org/officeDocument/2006/relationships/oleObject" Target="embeddings/oleObject34.bin"/><Relationship Id="rId111" Type="http://schemas.openxmlformats.org/officeDocument/2006/relationships/image" Target="media/image52.wmf"/><Relationship Id="rId132" Type="http://schemas.openxmlformats.org/officeDocument/2006/relationships/oleObject" Target="embeddings/oleObject56.bin"/><Relationship Id="rId153" Type="http://schemas.openxmlformats.org/officeDocument/2006/relationships/image" Target="media/image73.wmf"/><Relationship Id="rId174" Type="http://schemas.openxmlformats.org/officeDocument/2006/relationships/image" Target="media/image88.png"/><Relationship Id="rId15" Type="http://schemas.openxmlformats.org/officeDocument/2006/relationships/image" Target="media/image2.jpeg"/><Relationship Id="rId36" Type="http://schemas.openxmlformats.org/officeDocument/2006/relationships/oleObject" Target="embeddings/oleObject8.bin"/><Relationship Id="rId57" Type="http://schemas.openxmlformats.org/officeDocument/2006/relationships/image" Target="media/image25.wmf"/><Relationship Id="rId106" Type="http://schemas.openxmlformats.org/officeDocument/2006/relationships/oleObject" Target="embeddings/oleObject43.bin"/><Relationship Id="rId127" Type="http://schemas.openxmlformats.org/officeDocument/2006/relationships/image" Target="media/image60.wmf"/><Relationship Id="rId10" Type="http://schemas.openxmlformats.org/officeDocument/2006/relationships/hyperlink" Target="mailto:rusyaman@unpad.ac.id" TargetMode="External"/><Relationship Id="rId31" Type="http://schemas.openxmlformats.org/officeDocument/2006/relationships/image" Target="media/image12.wmf"/><Relationship Id="rId52" Type="http://schemas.openxmlformats.org/officeDocument/2006/relationships/oleObject" Target="embeddings/oleObject16.bin"/><Relationship Id="rId73" Type="http://schemas.openxmlformats.org/officeDocument/2006/relationships/image" Target="media/image33.wmf"/><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1.bin"/><Relationship Id="rId143" Type="http://schemas.openxmlformats.org/officeDocument/2006/relationships/image" Target="media/image68.wmf"/><Relationship Id="rId148" Type="http://schemas.openxmlformats.org/officeDocument/2006/relationships/oleObject" Target="embeddings/oleObject64.bin"/><Relationship Id="rId164" Type="http://schemas.openxmlformats.org/officeDocument/2006/relationships/oleObject" Target="embeddings/oleObject72.bin"/><Relationship Id="rId169"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hyperlink" Target="mailto:d.chaerani@unpad.ac.id" TargetMode="External"/><Relationship Id="rId26" Type="http://schemas.openxmlformats.org/officeDocument/2006/relationships/oleObject" Target="embeddings/oleObject3.bin"/><Relationship Id="rId47" Type="http://schemas.openxmlformats.org/officeDocument/2006/relationships/image" Target="media/image20.wmf"/><Relationship Id="rId68" Type="http://schemas.openxmlformats.org/officeDocument/2006/relationships/oleObject" Target="embeddings/oleObject24.bin"/><Relationship Id="rId89" Type="http://schemas.openxmlformats.org/officeDocument/2006/relationships/image" Target="media/image41.wmf"/><Relationship Id="rId112" Type="http://schemas.openxmlformats.org/officeDocument/2006/relationships/oleObject" Target="embeddings/oleObject46.bin"/><Relationship Id="rId133" Type="http://schemas.openxmlformats.org/officeDocument/2006/relationships/image" Target="media/image63.wmf"/><Relationship Id="rId154" Type="http://schemas.openxmlformats.org/officeDocument/2006/relationships/oleObject" Target="embeddings/oleObject67.bin"/><Relationship Id="rId175" Type="http://schemas.openxmlformats.org/officeDocument/2006/relationships/image" Target="media/image89.png"/><Relationship Id="rId16" Type="http://schemas.openxmlformats.org/officeDocument/2006/relationships/image" Target="media/image3.jpeg"/><Relationship Id="rId37" Type="http://schemas.openxmlformats.org/officeDocument/2006/relationships/image" Target="media/image15.wmf"/><Relationship Id="rId58" Type="http://schemas.openxmlformats.org/officeDocument/2006/relationships/oleObject" Target="embeddings/oleObject19.bin"/><Relationship Id="rId79" Type="http://schemas.openxmlformats.org/officeDocument/2006/relationships/image" Target="media/image36.wmf"/><Relationship Id="rId102" Type="http://schemas.openxmlformats.org/officeDocument/2006/relationships/oleObject" Target="embeddings/oleObject41.bin"/><Relationship Id="rId123" Type="http://schemas.openxmlformats.org/officeDocument/2006/relationships/image" Target="media/image58.wmf"/><Relationship Id="rId144" Type="http://schemas.openxmlformats.org/officeDocument/2006/relationships/oleObject" Target="embeddings/oleObject62.bin"/><Relationship Id="rId90" Type="http://schemas.openxmlformats.org/officeDocument/2006/relationships/oleObject" Target="embeddings/oleObject35.bin"/><Relationship Id="rId165" Type="http://schemas.openxmlformats.org/officeDocument/2006/relationships/image" Target="media/image79.png"/><Relationship Id="rId27" Type="http://schemas.openxmlformats.org/officeDocument/2006/relationships/image" Target="media/image10.wmf"/><Relationship Id="rId48" Type="http://schemas.openxmlformats.org/officeDocument/2006/relationships/oleObject" Target="embeddings/oleObject14.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57.bin"/><Relationship Id="rId80" Type="http://schemas.openxmlformats.org/officeDocument/2006/relationships/oleObject" Target="embeddings/oleObject30.bin"/><Relationship Id="rId155" Type="http://schemas.openxmlformats.org/officeDocument/2006/relationships/image" Target="media/image74.wmf"/><Relationship Id="rId176" Type="http://schemas.openxmlformats.org/officeDocument/2006/relationships/fontTable" Target="fontTable.xml"/><Relationship Id="rId17" Type="http://schemas.openxmlformats.org/officeDocument/2006/relationships/hyperlink" Target="https://doi.org/10.31764/jtam.vXiY.ZZZ" TargetMode="External"/><Relationship Id="rId38" Type="http://schemas.openxmlformats.org/officeDocument/2006/relationships/oleObject" Target="embeddings/oleObject9.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2.bin"/><Relationship Id="rId70" Type="http://schemas.openxmlformats.org/officeDocument/2006/relationships/oleObject" Target="embeddings/oleObject25.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image" Target="media/image80.png"/><Relationship Id="rId1" Type="http://schemas.openxmlformats.org/officeDocument/2006/relationships/customXml" Target="../customXml/item1.xml"/></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journal.ummat.ac.id/index.php/jtam" TargetMode="External"/><Relationship Id="rId1" Type="http://schemas.openxmlformats.org/officeDocument/2006/relationships/hyperlink" Target="http://journal.ummat.ac.id/index.php/jt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91E21188-0684-496A-BF82-6E04E27C0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23217</Words>
  <Characters>132342</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2022-04-28T03:51:00Z</dcterms:created>
  <dcterms:modified xsi:type="dcterms:W3CDTF">2022-04-28T06:41:00Z</dcterms:modified>
</cp:coreProperties>
</file>