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7935" w14:textId="1A6A30B1" w:rsidR="000234DA" w:rsidRPr="00B27A59" w:rsidRDefault="00510297" w:rsidP="005C1D99">
      <w:pPr>
        <w:pStyle w:val="IEEETitle"/>
        <w:tabs>
          <w:tab w:val="left" w:pos="1014"/>
          <w:tab w:val="center" w:pos="5017"/>
        </w:tabs>
        <w:spacing w:before="240" w:after="240"/>
        <w:rPr>
          <w:rFonts w:ascii="Century Gothic" w:hAnsi="Century Gothic"/>
          <w:b/>
          <w:sz w:val="28"/>
          <w:szCs w:val="28"/>
          <w:shd w:val="clear" w:color="auto" w:fill="FFFFFF"/>
          <w:lang w:val="en-US"/>
        </w:rPr>
      </w:pPr>
      <w:r w:rsidRPr="000234DA">
        <w:rPr>
          <w:rStyle w:val="shorttext"/>
          <w:rFonts w:ascii="Century Gothic" w:hAnsi="Century Gothic"/>
          <w:b/>
          <w:sz w:val="28"/>
          <w:szCs w:val="28"/>
          <w:shd w:val="clear" w:color="auto" w:fill="FFFFFF"/>
          <w:lang w:val="id-ID"/>
        </w:rPr>
        <w:t xml:space="preserve">Optimasi Talud Irigasi </w:t>
      </w:r>
      <w:r w:rsidR="003F679A" w:rsidRPr="000234DA">
        <w:rPr>
          <w:rStyle w:val="shorttext"/>
          <w:rFonts w:ascii="Century Gothic" w:hAnsi="Century Gothic"/>
          <w:b/>
          <w:sz w:val="28"/>
          <w:szCs w:val="28"/>
          <w:shd w:val="clear" w:color="auto" w:fill="FFFFFF"/>
          <w:lang w:val="id-ID"/>
        </w:rPr>
        <w:t xml:space="preserve">dan </w:t>
      </w:r>
      <w:r w:rsidRPr="000234DA">
        <w:rPr>
          <w:rStyle w:val="shorttext"/>
          <w:rFonts w:ascii="Century Gothic" w:hAnsi="Century Gothic"/>
          <w:b/>
          <w:sz w:val="28"/>
          <w:szCs w:val="28"/>
          <w:shd w:val="clear" w:color="auto" w:fill="FFFFFF"/>
          <w:lang w:val="id-ID"/>
        </w:rPr>
        <w:t xml:space="preserve">Pemanfaatan Limbah Pertanian Organik </w:t>
      </w:r>
      <w:r w:rsidR="00BF15B5" w:rsidRPr="000234DA">
        <w:rPr>
          <w:rStyle w:val="shorttext"/>
          <w:rFonts w:ascii="Century Gothic" w:hAnsi="Century Gothic"/>
          <w:b/>
          <w:sz w:val="28"/>
          <w:szCs w:val="28"/>
          <w:shd w:val="clear" w:color="auto" w:fill="FFFFFF"/>
          <w:lang w:val="id-ID"/>
        </w:rPr>
        <w:t xml:space="preserve">untuk </w:t>
      </w:r>
      <w:r w:rsidRPr="000234DA">
        <w:rPr>
          <w:rStyle w:val="shorttext"/>
          <w:rFonts w:ascii="Century Gothic" w:hAnsi="Century Gothic"/>
          <w:b/>
          <w:sz w:val="28"/>
          <w:szCs w:val="28"/>
          <w:shd w:val="clear" w:color="auto" w:fill="FFFFFF"/>
          <w:lang w:val="id-ID"/>
        </w:rPr>
        <w:t xml:space="preserve">Mendukung Pertanian Berkelanjutan </w:t>
      </w:r>
      <w:r w:rsidR="007076E0" w:rsidRPr="000234DA">
        <w:rPr>
          <w:rStyle w:val="shorttext"/>
          <w:rFonts w:ascii="Century Gothic" w:hAnsi="Century Gothic"/>
          <w:b/>
          <w:sz w:val="28"/>
          <w:szCs w:val="28"/>
          <w:shd w:val="clear" w:color="auto" w:fill="FFFFFF"/>
          <w:lang w:val="id-ID"/>
        </w:rPr>
        <w:t xml:space="preserve">di </w:t>
      </w:r>
      <w:r w:rsidRPr="000234DA">
        <w:rPr>
          <w:rStyle w:val="shorttext"/>
          <w:rFonts w:ascii="Century Gothic" w:hAnsi="Century Gothic"/>
          <w:b/>
          <w:sz w:val="28"/>
          <w:szCs w:val="28"/>
          <w:shd w:val="clear" w:color="auto" w:fill="FFFFFF"/>
          <w:lang w:val="id-ID"/>
        </w:rPr>
        <w:t>Kelurahan Madurejo</w:t>
      </w:r>
    </w:p>
    <w:p w14:paraId="34C5B335" w14:textId="77777777" w:rsidR="005B3934" w:rsidRPr="00922A80" w:rsidRDefault="000234DA" w:rsidP="005B3934">
      <w:pPr>
        <w:jc w:val="center"/>
        <w:rPr>
          <w:rFonts w:ascii="Trebuchet MS" w:hAnsi="Trebuchet MS"/>
          <w:b/>
          <w:bCs/>
          <w:sz w:val="22"/>
          <w:szCs w:val="22"/>
        </w:rPr>
      </w:pPr>
      <w:r w:rsidRPr="000234DA">
        <w:rPr>
          <w:rFonts w:ascii="Trebuchet MS" w:hAnsi="Trebuchet MS"/>
          <w:b/>
          <w:bCs/>
          <w:sz w:val="22"/>
          <w:szCs w:val="22"/>
          <w:lang w:val="en-US"/>
        </w:rPr>
        <w:t>Liefson Jacobus</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sidRPr="000234DA">
        <w:rPr>
          <w:rFonts w:ascii="Trebuchet MS" w:hAnsi="Trebuchet MS"/>
          <w:b/>
          <w:bCs/>
          <w:sz w:val="22"/>
          <w:szCs w:val="22"/>
          <w:lang w:val="en-US"/>
        </w:rPr>
        <w:t>Suryawirawan Dwiputranto</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sidR="00EE5ABE" w:rsidRPr="00EE5ABE">
        <w:rPr>
          <w:rFonts w:ascii="Trebuchet MS" w:hAnsi="Trebuchet MS"/>
          <w:b/>
          <w:bCs/>
          <w:sz w:val="22"/>
          <w:szCs w:val="22"/>
          <w:lang w:val="en-US"/>
        </w:rPr>
        <w:t>Margaritha Agustina Morib</w:t>
      </w:r>
      <w:r w:rsidR="00AB2575" w:rsidRPr="00922A80">
        <w:rPr>
          <w:rFonts w:ascii="Trebuchet MS" w:hAnsi="Trebuchet MS"/>
          <w:b/>
          <w:bCs/>
          <w:sz w:val="22"/>
          <w:szCs w:val="22"/>
          <w:vertAlign w:val="superscript"/>
          <w:lang w:val="en-US"/>
        </w:rPr>
        <w:t>3</w:t>
      </w:r>
      <w:r w:rsidR="00EE5ABE">
        <w:rPr>
          <w:rFonts w:ascii="Trebuchet MS" w:hAnsi="Trebuchet MS"/>
          <w:b/>
          <w:bCs/>
          <w:sz w:val="22"/>
          <w:szCs w:val="22"/>
        </w:rPr>
        <w:t xml:space="preserve">, </w:t>
      </w:r>
      <w:r w:rsidR="00EE5ABE" w:rsidRPr="00EE5ABE">
        <w:rPr>
          <w:rFonts w:ascii="Trebuchet MS" w:hAnsi="Trebuchet MS"/>
          <w:b/>
          <w:bCs/>
          <w:sz w:val="22"/>
          <w:szCs w:val="22"/>
        </w:rPr>
        <w:t>Emerita Setyowati</w:t>
      </w:r>
      <w:r w:rsidR="00EE5ABE" w:rsidRPr="00EE5ABE">
        <w:rPr>
          <w:rFonts w:ascii="Trebuchet MS" w:hAnsi="Trebuchet MS"/>
          <w:bCs/>
          <w:szCs w:val="22"/>
          <w:vertAlign w:val="superscript"/>
        </w:rPr>
        <w:t>4</w:t>
      </w:r>
      <w:r w:rsidR="00EE5ABE" w:rsidRPr="00EE5ABE">
        <w:rPr>
          <w:rFonts w:ascii="Trebuchet MS" w:hAnsi="Trebuchet MS"/>
          <w:bCs/>
          <w:sz w:val="22"/>
          <w:szCs w:val="22"/>
        </w:rPr>
        <w:t xml:space="preserve"> </w:t>
      </w:r>
    </w:p>
    <w:p w14:paraId="1F78C0A3" w14:textId="38C94D6D" w:rsidR="005B3934" w:rsidRDefault="00F66CC2" w:rsidP="005B3934">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EE5ABE">
        <w:rPr>
          <w:rFonts w:ascii="Trebuchet MS" w:hAnsi="Trebuchet MS" w:cstheme="minorHAnsi"/>
          <w:sz w:val="18"/>
          <w:szCs w:val="18"/>
          <w:vertAlign w:val="superscript"/>
        </w:rPr>
        <w:t>,2</w:t>
      </w:r>
      <w:r w:rsidR="00C47B16">
        <w:rPr>
          <w:rFonts w:ascii="Trebuchet MS" w:hAnsi="Trebuchet MS" w:cstheme="minorHAnsi"/>
          <w:sz w:val="18"/>
          <w:szCs w:val="18"/>
          <w:vertAlign w:val="superscript"/>
        </w:rPr>
        <w:t>,</w:t>
      </w:r>
      <w:r w:rsidR="00EE5ABE">
        <w:rPr>
          <w:rFonts w:ascii="Trebuchet MS" w:hAnsi="Trebuchet MS" w:cstheme="minorHAnsi"/>
          <w:sz w:val="18"/>
          <w:szCs w:val="18"/>
          <w:vertAlign w:val="superscript"/>
        </w:rPr>
        <w:t>4</w:t>
      </w:r>
      <w:r w:rsidR="000234DA">
        <w:rPr>
          <w:rFonts w:ascii="Trebuchet MS" w:hAnsi="Trebuchet MS" w:cstheme="minorHAnsi"/>
          <w:sz w:val="18"/>
          <w:szCs w:val="18"/>
        </w:rPr>
        <w:t>Fisika</w:t>
      </w:r>
      <w:r w:rsidR="005B3934" w:rsidRPr="00BF5282">
        <w:rPr>
          <w:rFonts w:ascii="Trebuchet MS" w:hAnsi="Trebuchet MS" w:cstheme="minorHAnsi"/>
          <w:sz w:val="18"/>
          <w:szCs w:val="18"/>
        </w:rPr>
        <w:t xml:space="preserve">, </w:t>
      </w:r>
      <w:r w:rsidR="00AB2575" w:rsidRPr="00BF5282">
        <w:rPr>
          <w:rFonts w:ascii="Trebuchet MS" w:hAnsi="Trebuchet MS" w:cstheme="minorHAnsi"/>
          <w:sz w:val="18"/>
          <w:szCs w:val="18"/>
        </w:rPr>
        <w:t>Universitas</w:t>
      </w:r>
      <w:r w:rsidR="000234DA">
        <w:rPr>
          <w:rFonts w:ascii="Trebuchet MS" w:hAnsi="Trebuchet MS" w:cstheme="minorHAnsi"/>
          <w:sz w:val="18"/>
          <w:szCs w:val="18"/>
        </w:rPr>
        <w:t xml:space="preserve"> Kristen Imannuel</w:t>
      </w:r>
      <w:r w:rsidRPr="00BF5282">
        <w:rPr>
          <w:rFonts w:ascii="Trebuchet MS" w:hAnsi="Trebuchet MS" w:cstheme="minorHAnsi"/>
          <w:sz w:val="18"/>
          <w:szCs w:val="18"/>
        </w:rPr>
        <w:t xml:space="preserve">, </w:t>
      </w:r>
      <w:r w:rsidR="000234DA">
        <w:rPr>
          <w:rFonts w:ascii="Trebuchet MS" w:hAnsi="Trebuchet MS" w:cstheme="minorHAnsi"/>
          <w:sz w:val="18"/>
          <w:szCs w:val="18"/>
        </w:rPr>
        <w:t>Indonesia</w:t>
      </w:r>
      <w:r w:rsidR="009664E8">
        <w:rPr>
          <w:rFonts w:ascii="Trebuchet MS" w:hAnsi="Trebuchet MS" w:cstheme="minorHAnsi"/>
          <w:sz w:val="18"/>
          <w:szCs w:val="18"/>
        </w:rPr>
        <w:t>,</w:t>
      </w:r>
      <w:r w:rsidR="00983D5A">
        <w:rPr>
          <w:rFonts w:ascii="Trebuchet MS" w:hAnsi="Trebuchet MS" w:cstheme="minorHAnsi"/>
          <w:sz w:val="18"/>
          <w:szCs w:val="18"/>
        </w:rPr>
        <w:t xml:space="preserve"> </w:t>
      </w:r>
      <w:hyperlink r:id="rId8" w:history="1">
        <w:r w:rsidR="000234DA" w:rsidRPr="009664E8">
          <w:rPr>
            <w:rStyle w:val="Hyperlink"/>
            <w:rFonts w:ascii="Trebuchet MS" w:hAnsi="Trebuchet MS" w:cstheme="minorHAnsi"/>
            <w:sz w:val="18"/>
            <w:szCs w:val="18"/>
            <w:u w:val="none"/>
          </w:rPr>
          <w:t>liefson@ukrimuniversity.ac.id</w:t>
        </w:r>
        <w:r w:rsidR="000234DA" w:rsidRPr="009664E8">
          <w:rPr>
            <w:rStyle w:val="Hyperlink"/>
            <w:rFonts w:ascii="Trebuchet MS" w:hAnsi="Trebuchet MS" w:cstheme="minorHAnsi"/>
            <w:sz w:val="18"/>
            <w:szCs w:val="18"/>
            <w:u w:val="none"/>
            <w:vertAlign w:val="superscript"/>
          </w:rPr>
          <w:t>1</w:t>
        </w:r>
      </w:hyperlink>
      <w:r w:rsidR="000234DA" w:rsidRPr="009664E8">
        <w:rPr>
          <w:rFonts w:ascii="Trebuchet MS" w:hAnsi="Trebuchet MS" w:cstheme="minorHAnsi"/>
          <w:sz w:val="18"/>
          <w:szCs w:val="18"/>
        </w:rPr>
        <w:t xml:space="preserve">, </w:t>
      </w:r>
      <w:hyperlink r:id="rId9" w:history="1">
        <w:r w:rsidR="000234DA" w:rsidRPr="009664E8">
          <w:rPr>
            <w:rStyle w:val="Hyperlink"/>
            <w:rFonts w:ascii="Trebuchet MS" w:hAnsi="Trebuchet MS" w:cstheme="minorHAnsi"/>
            <w:sz w:val="18"/>
            <w:szCs w:val="18"/>
            <w:u w:val="none"/>
          </w:rPr>
          <w:t>surya@ukrimuniversity.ac.id</w:t>
        </w:r>
        <w:r w:rsidR="000234DA" w:rsidRPr="009664E8">
          <w:rPr>
            <w:rStyle w:val="Hyperlink"/>
            <w:rFonts w:ascii="Trebuchet MS" w:hAnsi="Trebuchet MS" w:cstheme="minorHAnsi"/>
            <w:sz w:val="18"/>
            <w:szCs w:val="18"/>
            <w:u w:val="none"/>
            <w:vertAlign w:val="superscript"/>
          </w:rPr>
          <w:t>2</w:t>
        </w:r>
      </w:hyperlink>
      <w:r w:rsidR="000234DA" w:rsidRPr="009664E8">
        <w:rPr>
          <w:rFonts w:ascii="Trebuchet MS" w:hAnsi="Trebuchet MS" w:cstheme="minorHAnsi"/>
          <w:sz w:val="18"/>
          <w:szCs w:val="18"/>
        </w:rPr>
        <w:t>,</w:t>
      </w:r>
    </w:p>
    <w:p w14:paraId="20FF16D4" w14:textId="1F1F929F" w:rsidR="000234DA" w:rsidRPr="00A220DE" w:rsidRDefault="00EE5ABE" w:rsidP="00A220DE">
      <w:pPr>
        <w:jc w:val="center"/>
        <w:rPr>
          <w:rFonts w:ascii="Trebuchet MS" w:hAnsi="Trebuchet MS" w:cstheme="minorHAnsi"/>
          <w:sz w:val="18"/>
          <w:szCs w:val="18"/>
        </w:rPr>
        <w:sectPr w:rsidR="000234DA" w:rsidRPr="00A220DE" w:rsidSect="00850E92">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567" w:footer="431" w:gutter="0"/>
          <w:pgNumType w:start="368"/>
          <w:cols w:space="708"/>
          <w:titlePg/>
          <w:docGrid w:linePitch="360"/>
        </w:sectPr>
      </w:pPr>
      <w:r>
        <w:rPr>
          <w:rFonts w:ascii="Trebuchet MS" w:hAnsi="Trebuchet MS" w:cstheme="minorHAnsi"/>
          <w:sz w:val="18"/>
          <w:szCs w:val="18"/>
          <w:vertAlign w:val="superscript"/>
        </w:rPr>
        <w:t>3</w:t>
      </w:r>
      <w:r>
        <w:rPr>
          <w:rFonts w:ascii="Trebuchet MS" w:hAnsi="Trebuchet MS" w:cstheme="minorHAnsi"/>
          <w:sz w:val="18"/>
          <w:szCs w:val="18"/>
        </w:rPr>
        <w:t>Teknik Sipi</w:t>
      </w:r>
      <w:r w:rsidRPr="00BF5282">
        <w:rPr>
          <w:rFonts w:ascii="Trebuchet MS" w:hAnsi="Trebuchet MS" w:cstheme="minorHAnsi"/>
          <w:sz w:val="18"/>
          <w:szCs w:val="18"/>
        </w:rPr>
        <w:t>, Universitas</w:t>
      </w:r>
      <w:r>
        <w:rPr>
          <w:rFonts w:ascii="Trebuchet MS" w:hAnsi="Trebuchet MS" w:cstheme="minorHAnsi"/>
          <w:sz w:val="18"/>
          <w:szCs w:val="18"/>
        </w:rPr>
        <w:t xml:space="preserve"> Kristen Imannuel</w:t>
      </w:r>
      <w:r w:rsidRPr="00BF5282">
        <w:rPr>
          <w:rFonts w:ascii="Trebuchet MS" w:hAnsi="Trebuchet MS" w:cstheme="minorHAnsi"/>
          <w:sz w:val="18"/>
          <w:szCs w:val="18"/>
        </w:rPr>
        <w:t xml:space="preserve">, </w:t>
      </w:r>
      <w:r>
        <w:rPr>
          <w:rFonts w:ascii="Trebuchet MS" w:hAnsi="Trebuchet MS" w:cstheme="minorHAnsi"/>
          <w:sz w:val="18"/>
          <w:szCs w:val="18"/>
        </w:rPr>
        <w:t>Indonesia</w:t>
      </w:r>
    </w:p>
    <w:p w14:paraId="751B7750" w14:textId="77777777" w:rsidR="009D3C51" w:rsidRPr="00B3521D" w:rsidRDefault="009D3C51" w:rsidP="007E34AA">
      <w:pPr>
        <w:pStyle w:val="IEEEAbtract"/>
        <w:ind w:left="1985" w:right="1779"/>
        <w:rPr>
          <w:rFonts w:ascii="Century Gothic" w:hAnsi="Century Gothic"/>
          <w:lang w:val="id-ID"/>
        </w:rPr>
      </w:pPr>
    </w:p>
    <w:tbl>
      <w:tblPr>
        <w:tblStyle w:val="TableGrid"/>
        <w:tblW w:w="8465" w:type="dxa"/>
        <w:jc w:val="center"/>
        <w:tblLook w:val="04A0" w:firstRow="1" w:lastRow="0" w:firstColumn="1" w:lastColumn="0" w:noHBand="0" w:noVBand="1"/>
      </w:tblPr>
      <w:tblGrid>
        <w:gridCol w:w="1079"/>
        <w:gridCol w:w="1066"/>
        <w:gridCol w:w="288"/>
        <w:gridCol w:w="1659"/>
        <w:gridCol w:w="4373"/>
      </w:tblGrid>
      <w:tr w:rsidR="00BF5282" w:rsidRPr="00922A80" w14:paraId="29E828AD" w14:textId="77777777" w:rsidTr="00866151">
        <w:trPr>
          <w:trHeight w:val="135"/>
          <w:jc w:val="center"/>
        </w:trPr>
        <w:tc>
          <w:tcPr>
            <w:tcW w:w="8465" w:type="dxa"/>
            <w:gridSpan w:val="5"/>
            <w:tcBorders>
              <w:top w:val="double" w:sz="4" w:space="0" w:color="auto"/>
              <w:left w:val="nil"/>
              <w:bottom w:val="single" w:sz="4" w:space="0" w:color="auto"/>
              <w:right w:val="nil"/>
            </w:tcBorders>
            <w:vAlign w:val="center"/>
          </w:tcPr>
          <w:p w14:paraId="39BD3006"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3B2B3999" w14:textId="77777777" w:rsidTr="00866151">
        <w:trPr>
          <w:trHeight w:val="1268"/>
          <w:jc w:val="center"/>
        </w:trPr>
        <w:tc>
          <w:tcPr>
            <w:tcW w:w="8465" w:type="dxa"/>
            <w:gridSpan w:val="5"/>
            <w:vMerge w:val="restart"/>
            <w:tcBorders>
              <w:top w:val="single" w:sz="4" w:space="0" w:color="auto"/>
              <w:left w:val="nil"/>
              <w:right w:val="nil"/>
            </w:tcBorders>
          </w:tcPr>
          <w:p w14:paraId="4A6D4E29" w14:textId="77777777" w:rsidR="00BF5282" w:rsidRDefault="00BF5282" w:rsidP="00637087">
            <w:pPr>
              <w:spacing w:before="120" w:after="12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0234DA" w:rsidRPr="000234DA">
              <w:rPr>
                <w:rFonts w:ascii="Century" w:hAnsi="Century"/>
                <w:sz w:val="20"/>
                <w:szCs w:val="20"/>
                <w:lang w:val="id-ID"/>
              </w:rPr>
              <w:t>Dusun Mutihan, yang terletak di Kelurahan Madurejo, Kecamatan Prambanan, memiliki lahan sawah seluas 12 hektar yang dikelola oleh kelompok tani “Eko Mulyo.” Namun, para petani menghadapi kendala serius dalam pengelolaan air karena saluran irigasi sepanjang 250 meter yang digunakan untuk mengairi sawah masih berupa tanah. Kondisi talud tanah ini menyebabkan banyak air bocor dan meresap, sehingga beberapa sawah tidak mendapatkan pengairan yang memadai. Selain itu, petani juga sangat bergantung pada pupuk kimia dan pestisida anorganik, sementara subsidi pupuk dari pemerintah mengalami penurunan pada tahun 2023 sebesar 50%. Setiap 1000 meter persegi lahan, petani hanya mendapatkan 10 kg urea dan ponska, turun dari 20 kg di tahun sebelumnya. Untuk mengatasi masalah ini, Tim PKM memberikan bantuan berupa pembangunan talud irigasi dan pelatihan pembuatan pupuk organik. Fokus kegiatan dimulai dengan Focus Group Discussion (FGD) bersama kelompok tani "Eko Mulyo" untuk membahas teknik pembangunan talud dan pemanfaatan bahan organik lokal. Hasilnya, talud cor beton berbentuk U berhasil dibangun sepanjang 60 meter, tanpa kebocoran air selama uji coba. Pelatihan pembuatan pupuk organik juga dilaksanakan, dan evaluasi serta pendampingan akan dilakukan setelah proyek selesai.</w:t>
            </w:r>
          </w:p>
          <w:p w14:paraId="5E5C6883" w14:textId="7AE215CB" w:rsidR="00BF5282" w:rsidRPr="00827D13" w:rsidRDefault="00BF5282" w:rsidP="00FF20E5">
            <w:pPr>
              <w:spacing w:before="120" w:after="120"/>
              <w:ind w:left="1315" w:hanging="1315"/>
              <w:jc w:val="both"/>
              <w:rPr>
                <w:rFonts w:ascii="Century" w:hAnsi="Century"/>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4F29C7" w:rsidRPr="000234DA">
              <w:rPr>
                <w:rStyle w:val="longtext"/>
                <w:rFonts w:ascii="Century" w:hAnsi="Century"/>
                <w:sz w:val="20"/>
                <w:szCs w:val="20"/>
                <w:shd w:val="clear" w:color="auto" w:fill="FFFFFF"/>
                <w:lang w:val="sv-SE"/>
              </w:rPr>
              <w:t>optimasi; talud irigasi; limbah pertanian; pertanian berkelanjutan</w:t>
            </w:r>
            <w:r w:rsidR="004F29C7" w:rsidRPr="00AB4027">
              <w:rPr>
                <w:rStyle w:val="longtext"/>
                <w:rFonts w:ascii="Century" w:hAnsi="Century"/>
                <w:sz w:val="20"/>
                <w:szCs w:val="20"/>
                <w:shd w:val="clear" w:color="auto" w:fill="FFFFFF"/>
                <w:lang w:val="sv-SE"/>
              </w:rPr>
              <w:t>.</w:t>
            </w:r>
            <w:r w:rsidR="004F29C7">
              <w:rPr>
                <w:rStyle w:val="longtext"/>
                <w:rFonts w:ascii="Century" w:hAnsi="Century"/>
                <w:i/>
                <w:sz w:val="20"/>
                <w:szCs w:val="20"/>
                <w:shd w:val="clear" w:color="auto" w:fill="FFFFFF"/>
                <w:lang w:val="sv-SE"/>
              </w:rPr>
              <w:t xml:space="preserve"> </w:t>
            </w:r>
          </w:p>
          <w:p w14:paraId="33C3139F" w14:textId="5F44ECD1" w:rsidR="00CC4E42" w:rsidRPr="00CC4E42" w:rsidRDefault="00BF5282" w:rsidP="00C3592A">
            <w:pPr>
              <w:spacing w:before="120" w:after="12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CC4E42" w:rsidRPr="00CC4E42">
              <w:rPr>
                <w:rFonts w:ascii="Century" w:hAnsi="Century"/>
                <w:i/>
                <w:sz w:val="20"/>
                <w:szCs w:val="20"/>
                <w:lang w:val="en-US"/>
              </w:rPr>
              <w:t>Mutihan Hamlet, located in Madurejo Village, Prambanan Subdistrict, has 12 hectares of rice fields managed by the farmer group “Eko Mulyo”. However, the farmers face serious constraints in water management because the 250-meter-long irrigation canal used to irrigate the rice fields is still earthen. The condition of this earthen embankment causes a lot of water to leak and seep through, resulting in some rice fields not getting adequate irrigation. In addition, farmers are also highly dependent on chemical fertilizers and inorganic pesticides, while fertilizer subsidies from the government have decreased by 50% in 2023. For every 1000 square meters of land, farmers only get 10 kg of urea and ponska, down from 20 kg in the previous year.</w:t>
            </w:r>
            <w:r w:rsidR="00A001B3">
              <w:rPr>
                <w:rFonts w:ascii="Century" w:hAnsi="Century"/>
                <w:i/>
                <w:sz w:val="20"/>
                <w:szCs w:val="20"/>
                <w:lang w:val="en-US"/>
              </w:rPr>
              <w:t xml:space="preserve"> </w:t>
            </w:r>
            <w:r w:rsidR="00CC4E42" w:rsidRPr="00CC4E42">
              <w:rPr>
                <w:rFonts w:ascii="Century" w:hAnsi="Century"/>
                <w:i/>
                <w:sz w:val="20"/>
                <w:szCs w:val="20"/>
                <w:lang w:val="en-US"/>
              </w:rPr>
              <w:t>To overcome this problem, the PKM Team provided assistance in the form of irrigation talud construction and training in making organic fertilizer. The focus of the activity began with a Focus Group Discussion (FGD) with the “Eko Mulyo” farmer group to discuss the construction techniques of the embankment and the utilization of local organic materials. As a result, a 60-meter-long U-shaped cast-concrete embankment was successfully constructed, with no water leakage during the trial. Training on organic fertilizer production was also conducted, and evaluation and mentoring will be conducted after the project is completed.</w:t>
            </w:r>
          </w:p>
          <w:p w14:paraId="5DD478CD" w14:textId="7752573B" w:rsidR="00F1641C" w:rsidRPr="00F1641C" w:rsidRDefault="00BF5282" w:rsidP="00181E56">
            <w:pPr>
              <w:spacing w:before="120" w:after="120"/>
              <w:ind w:left="1043" w:hanging="1043"/>
              <w:jc w:val="both"/>
              <w:rPr>
                <w:rFonts w:ascii="Century" w:hAnsi="Century"/>
                <w:b/>
                <w:sz w:val="20"/>
                <w:szCs w:val="20"/>
                <w:lang w:val="en-US"/>
              </w:rPr>
            </w:pPr>
            <w:r w:rsidRPr="00BF5282">
              <w:rPr>
                <w:rFonts w:ascii="Century" w:hAnsi="Century"/>
                <w:b/>
                <w:i/>
                <w:sz w:val="20"/>
                <w:szCs w:val="20"/>
                <w:lang w:val="en-US"/>
              </w:rPr>
              <w:t>Keywords:</w:t>
            </w:r>
            <w:r w:rsidR="00CC4E42">
              <w:rPr>
                <w:rFonts w:ascii="Century" w:hAnsi="Century"/>
                <w:b/>
                <w:i/>
                <w:sz w:val="20"/>
                <w:szCs w:val="20"/>
                <w:lang w:val="en-US"/>
              </w:rPr>
              <w:t xml:space="preserve"> </w:t>
            </w:r>
            <w:r w:rsidR="00245A48" w:rsidRPr="00CC4E42">
              <w:rPr>
                <w:rFonts w:ascii="Century" w:hAnsi="Century"/>
                <w:i/>
                <w:sz w:val="20"/>
                <w:szCs w:val="20"/>
                <w:lang w:val="en-US"/>
              </w:rPr>
              <w:t>optimization; irrigation gabions; agricultural waste;</w:t>
            </w:r>
            <w:r w:rsidR="00245A48">
              <w:rPr>
                <w:rFonts w:ascii="Century" w:hAnsi="Century"/>
                <w:i/>
                <w:sz w:val="20"/>
                <w:szCs w:val="20"/>
                <w:lang w:val="en-US"/>
              </w:rPr>
              <w:t xml:space="preserve"> </w:t>
            </w:r>
            <w:r w:rsidR="00245A48" w:rsidRPr="00CC4E42">
              <w:rPr>
                <w:rFonts w:ascii="Century" w:hAnsi="Century"/>
                <w:i/>
                <w:sz w:val="20"/>
                <w:szCs w:val="20"/>
                <w:lang w:val="en-US"/>
              </w:rPr>
              <w:t>sustainable agriculture.</w:t>
            </w:r>
          </w:p>
        </w:tc>
      </w:tr>
      <w:tr w:rsidR="00BF5282" w:rsidRPr="00922A80" w14:paraId="2AC23762" w14:textId="77777777" w:rsidTr="00866151">
        <w:trPr>
          <w:trHeight w:val="2329"/>
          <w:jc w:val="center"/>
        </w:trPr>
        <w:tc>
          <w:tcPr>
            <w:tcW w:w="8465" w:type="dxa"/>
            <w:gridSpan w:val="5"/>
            <w:vMerge/>
            <w:tcBorders>
              <w:left w:val="nil"/>
              <w:bottom w:val="single" w:sz="4" w:space="0" w:color="auto"/>
              <w:right w:val="nil"/>
            </w:tcBorders>
          </w:tcPr>
          <w:p w14:paraId="044D765B" w14:textId="77777777" w:rsidR="00BF5282" w:rsidRPr="00922A80" w:rsidRDefault="00BF5282" w:rsidP="00E03F00">
            <w:pPr>
              <w:spacing w:before="120"/>
              <w:jc w:val="both"/>
              <w:rPr>
                <w:rFonts w:ascii="Century Gothic" w:hAnsi="Century Gothic"/>
                <w:iCs/>
                <w:color w:val="000000"/>
                <w:sz w:val="20"/>
                <w:szCs w:val="20"/>
              </w:rPr>
            </w:pPr>
          </w:p>
        </w:tc>
      </w:tr>
      <w:tr w:rsidR="00F1641C" w:rsidRPr="00922A80" w14:paraId="55872970" w14:textId="77777777" w:rsidTr="00866151">
        <w:trPr>
          <w:trHeight w:val="196"/>
          <w:jc w:val="center"/>
        </w:trPr>
        <w:tc>
          <w:tcPr>
            <w:tcW w:w="1079" w:type="dxa"/>
            <w:vMerge w:val="restart"/>
            <w:tcBorders>
              <w:left w:val="nil"/>
              <w:right w:val="single" w:sz="4" w:space="0" w:color="auto"/>
            </w:tcBorders>
          </w:tcPr>
          <w:p w14:paraId="77D37886" w14:textId="77777777"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58240" behindDoc="1" locked="0" layoutInCell="1" allowOverlap="1" wp14:anchorId="42AB9465" wp14:editId="4B68BF68">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3A94A" w14:textId="77777777"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14:paraId="1B42320F" w14:textId="77777777"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t>Article History</w:t>
            </w:r>
            <w:r w:rsidR="0029298E">
              <w:rPr>
                <w:rFonts w:ascii="Trebuchet MS" w:hAnsi="Trebuchet MS"/>
                <w:b/>
                <w:sz w:val="20"/>
                <w:szCs w:val="20"/>
              </w:rPr>
              <w:t>:</w:t>
            </w:r>
          </w:p>
        </w:tc>
      </w:tr>
      <w:tr w:rsidR="00802160" w:rsidRPr="00922A80" w14:paraId="3DB07D3E" w14:textId="77777777" w:rsidTr="00253E61">
        <w:trPr>
          <w:trHeight w:val="877"/>
          <w:jc w:val="center"/>
        </w:trPr>
        <w:tc>
          <w:tcPr>
            <w:tcW w:w="1079" w:type="dxa"/>
            <w:vMerge/>
            <w:tcBorders>
              <w:left w:val="nil"/>
              <w:bottom w:val="single" w:sz="4" w:space="0" w:color="auto"/>
              <w:right w:val="nil"/>
            </w:tcBorders>
          </w:tcPr>
          <w:p w14:paraId="3D4D8C2C" w14:textId="77777777"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14:paraId="2A894618" w14:textId="256CEFC7" w:rsidR="00BC08A3" w:rsidRDefault="00BC08A3" w:rsidP="007D5761">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r>
              <w:rPr>
                <w:rFonts w:ascii="Trebuchet MS" w:hAnsi="Trebuchet MS"/>
                <w:sz w:val="20"/>
                <w:szCs w:val="20"/>
              </w:rPr>
              <w:t xml:space="preserve">   </w:t>
            </w:r>
            <w:r w:rsidRPr="004B412F">
              <w:rPr>
                <w:rFonts w:ascii="Trebuchet MS" w:hAnsi="Trebuchet MS"/>
                <w:sz w:val="20"/>
                <w:szCs w:val="20"/>
              </w:rPr>
              <w:t>Accepted</w:t>
            </w:r>
            <w:r>
              <w:rPr>
                <w:rFonts w:ascii="Trebuchet MS" w:hAnsi="Trebuchet MS"/>
                <w:sz w:val="20"/>
                <w:szCs w:val="20"/>
              </w:rPr>
              <w:t xml:space="preserve"> </w:t>
            </w:r>
          </w:p>
          <w:p w14:paraId="6F52C5CE" w14:textId="77777777"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14:paraId="557B6DCA" w14:textId="77777777"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7B2FC542"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4CB13F9A" w14:textId="02564C20"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14:paraId="625DE64F" w14:textId="029C5E50" w:rsidR="00BC08A3" w:rsidRDefault="00DC30FE" w:rsidP="00BC08A3">
            <w:pPr>
              <w:ind w:right="-13"/>
              <w:rPr>
                <w:rFonts w:ascii="Trebuchet MS" w:hAnsi="Trebuchet MS"/>
                <w:sz w:val="20"/>
                <w:szCs w:val="20"/>
              </w:rPr>
            </w:pPr>
            <w:r>
              <w:rPr>
                <w:rFonts w:ascii="Trebuchet MS" w:hAnsi="Trebuchet MS"/>
                <w:sz w:val="20"/>
                <w:szCs w:val="20"/>
              </w:rPr>
              <w:t>25</w:t>
            </w:r>
            <w:r w:rsidR="00BC08A3" w:rsidRPr="00F96D21">
              <w:rPr>
                <w:rFonts w:ascii="Trebuchet MS" w:hAnsi="Trebuchet MS"/>
                <w:sz w:val="20"/>
                <w:szCs w:val="20"/>
              </w:rPr>
              <w:t>-</w:t>
            </w:r>
            <w:r>
              <w:rPr>
                <w:rFonts w:ascii="Trebuchet MS" w:hAnsi="Trebuchet MS"/>
                <w:sz w:val="20"/>
                <w:szCs w:val="20"/>
              </w:rPr>
              <w:t>09</w:t>
            </w:r>
            <w:r w:rsidR="00866151">
              <w:rPr>
                <w:rFonts w:ascii="Trebuchet MS" w:hAnsi="Trebuchet MS"/>
                <w:sz w:val="20"/>
                <w:szCs w:val="20"/>
              </w:rPr>
              <w:t>-</w:t>
            </w:r>
            <w:r w:rsidR="00014D12">
              <w:rPr>
                <w:rFonts w:ascii="Trebuchet MS" w:hAnsi="Trebuchet MS"/>
                <w:sz w:val="20"/>
                <w:szCs w:val="20"/>
              </w:rPr>
              <w:t>2024</w:t>
            </w:r>
          </w:p>
          <w:p w14:paraId="47594163" w14:textId="6C015B94" w:rsidR="00BC08A3" w:rsidRDefault="00C47989" w:rsidP="00BC08A3">
            <w:pPr>
              <w:ind w:right="-13"/>
              <w:rPr>
                <w:rFonts w:ascii="Trebuchet MS" w:hAnsi="Trebuchet MS"/>
                <w:sz w:val="20"/>
                <w:szCs w:val="20"/>
              </w:rPr>
            </w:pPr>
            <w:r>
              <w:rPr>
                <w:rFonts w:ascii="Trebuchet MS" w:hAnsi="Trebuchet MS"/>
                <w:sz w:val="20"/>
                <w:szCs w:val="20"/>
              </w:rPr>
              <w:t>08</w:t>
            </w:r>
            <w:r w:rsidR="00BC08A3" w:rsidRPr="006069B3">
              <w:rPr>
                <w:rFonts w:ascii="Trebuchet MS" w:hAnsi="Trebuchet MS"/>
                <w:sz w:val="20"/>
                <w:szCs w:val="20"/>
              </w:rPr>
              <w:t>-</w:t>
            </w:r>
            <w:r>
              <w:rPr>
                <w:rFonts w:ascii="Trebuchet MS" w:hAnsi="Trebuchet MS"/>
                <w:sz w:val="20"/>
                <w:szCs w:val="20"/>
              </w:rPr>
              <w:t>09</w:t>
            </w:r>
            <w:r w:rsidR="00D55C47">
              <w:rPr>
                <w:rFonts w:ascii="Trebuchet MS" w:hAnsi="Trebuchet MS"/>
                <w:sz w:val="20"/>
                <w:szCs w:val="20"/>
              </w:rPr>
              <w:t>-20</w:t>
            </w:r>
            <w:r>
              <w:rPr>
                <w:rFonts w:ascii="Trebuchet MS" w:hAnsi="Trebuchet MS"/>
                <w:sz w:val="20"/>
                <w:szCs w:val="20"/>
              </w:rPr>
              <w:t>24</w:t>
            </w:r>
          </w:p>
          <w:p w14:paraId="462E40E4" w14:textId="3AF8B9AE" w:rsidR="00802160" w:rsidRDefault="00F229E1" w:rsidP="00BC08A3">
            <w:pPr>
              <w:jc w:val="both"/>
              <w:rPr>
                <w:rFonts w:ascii="Century Gothic" w:hAnsi="Century Gothic"/>
                <w:iCs/>
                <w:color w:val="000000"/>
                <w:sz w:val="20"/>
                <w:szCs w:val="20"/>
              </w:rPr>
            </w:pPr>
            <w:r>
              <w:rPr>
                <w:rFonts w:ascii="Trebuchet MS" w:hAnsi="Trebuchet MS"/>
                <w:sz w:val="20"/>
                <w:szCs w:val="20"/>
              </w:rPr>
              <w:t>08</w:t>
            </w:r>
            <w:r w:rsidR="00BC08A3" w:rsidRPr="006069B3">
              <w:rPr>
                <w:rFonts w:ascii="Trebuchet MS" w:hAnsi="Trebuchet MS"/>
                <w:sz w:val="20"/>
                <w:szCs w:val="20"/>
              </w:rPr>
              <w:t>-</w:t>
            </w:r>
            <w:r>
              <w:rPr>
                <w:rFonts w:ascii="Trebuchet MS" w:hAnsi="Trebuchet MS"/>
                <w:sz w:val="20"/>
                <w:szCs w:val="20"/>
              </w:rPr>
              <w:t>09</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24</w:t>
            </w:r>
          </w:p>
        </w:tc>
        <w:tc>
          <w:tcPr>
            <w:tcW w:w="4373" w:type="dxa"/>
            <w:tcBorders>
              <w:left w:val="nil"/>
              <w:bottom w:val="single" w:sz="4" w:space="0" w:color="auto"/>
              <w:right w:val="nil"/>
            </w:tcBorders>
          </w:tcPr>
          <w:p w14:paraId="777C4111" w14:textId="77777777"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59264" behindDoc="1" locked="0" layoutInCell="1" allowOverlap="1" wp14:anchorId="0C83D505" wp14:editId="388FEB4C">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58A">
              <w:rPr>
                <w:rFonts w:ascii="Century Gothic" w:hAnsi="Century Gothic"/>
                <w:iCs/>
                <w:color w:val="000000"/>
                <w:sz w:val="20"/>
                <w:szCs w:val="20"/>
              </w:rPr>
              <w:tab/>
            </w:r>
          </w:p>
          <w:p w14:paraId="74D92BFF" w14:textId="77777777" w:rsidR="00C2417F" w:rsidRDefault="00C2417F" w:rsidP="00074342">
            <w:pPr>
              <w:ind w:right="-13"/>
              <w:jc w:val="right"/>
              <w:rPr>
                <w:rFonts w:ascii="Century Gothic" w:hAnsi="Century Gothic"/>
                <w:i/>
                <w:iCs/>
                <w:color w:val="000000"/>
                <w:sz w:val="18"/>
                <w:szCs w:val="18"/>
              </w:rPr>
            </w:pPr>
          </w:p>
          <w:p w14:paraId="4A79DB89" w14:textId="77777777"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14:paraId="3FE7E106" w14:textId="77777777"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14:paraId="36C19A1A" w14:textId="77777777" w:rsidR="00F66CC2" w:rsidRPr="00B3521D" w:rsidRDefault="00F66CC2" w:rsidP="00534A90">
      <w:pPr>
        <w:pStyle w:val="PARAGRAPHnoindent"/>
        <w:spacing w:line="240" w:lineRule="auto"/>
        <w:rPr>
          <w:color w:val="000000"/>
          <w:sz w:val="14"/>
          <w:szCs w:val="14"/>
        </w:rPr>
      </w:pPr>
    </w:p>
    <w:p w14:paraId="3C41A479" w14:textId="77777777" w:rsidR="00B3521D" w:rsidRPr="00DB7C46" w:rsidRDefault="00B3521D" w:rsidP="00DB7C46">
      <w:pPr>
        <w:pStyle w:val="IEEEHeading1"/>
        <w:numPr>
          <w:ilvl w:val="0"/>
          <w:numId w:val="0"/>
        </w:numPr>
        <w:jc w:val="left"/>
        <w:rPr>
          <w:b/>
          <w:iCs/>
          <w:sz w:val="26"/>
          <w:szCs w:val="20"/>
          <w:lang w:val="en-US"/>
        </w:rPr>
        <w:sectPr w:rsidR="00B3521D" w:rsidRPr="00DB7C46" w:rsidSect="00B47460">
          <w:type w:val="continuous"/>
          <w:pgSz w:w="11906" w:h="16838" w:code="9"/>
          <w:pgMar w:top="1134" w:right="1701" w:bottom="1134" w:left="1701" w:header="709" w:footer="709" w:gutter="0"/>
          <w:cols w:space="238"/>
          <w:docGrid w:linePitch="360"/>
        </w:sectPr>
      </w:pPr>
    </w:p>
    <w:p w14:paraId="3D4F854E" w14:textId="77777777" w:rsidR="00AD335D" w:rsidRPr="00922A80" w:rsidRDefault="00E1365C" w:rsidP="0056306F">
      <w:pPr>
        <w:pStyle w:val="IEEEHeading1"/>
        <w:numPr>
          <w:ilvl w:val="0"/>
          <w:numId w:val="11"/>
        </w:numPr>
        <w:spacing w:before="0" w:after="0" w:line="276" w:lineRule="auto"/>
        <w:ind w:left="426" w:hanging="426"/>
        <w:jc w:val="left"/>
        <w:rPr>
          <w:rFonts w:ascii="Century" w:hAnsi="Century"/>
          <w:b/>
          <w:sz w:val="25"/>
          <w:szCs w:val="25"/>
        </w:rPr>
      </w:pPr>
      <w:r>
        <w:rPr>
          <w:rFonts w:ascii="Century" w:hAnsi="Century"/>
          <w:b/>
          <w:iCs/>
          <w:sz w:val="25"/>
          <w:szCs w:val="25"/>
          <w:lang w:val="en-US"/>
        </w:rPr>
        <w:lastRenderedPageBreak/>
        <w:t>PENDAHULUAN</w:t>
      </w:r>
    </w:p>
    <w:p w14:paraId="2EB9E8E3" w14:textId="4D45360D" w:rsidR="00192C4C" w:rsidRPr="00192C4C" w:rsidRDefault="00192C4C" w:rsidP="00192C4C">
      <w:pPr>
        <w:pStyle w:val="IEEEParagraph"/>
        <w:spacing w:line="276" w:lineRule="auto"/>
        <w:ind w:firstLine="426"/>
        <w:rPr>
          <w:rStyle w:val="longtext"/>
          <w:rFonts w:ascii="Century" w:hAnsi="Century"/>
          <w:shd w:val="clear" w:color="auto" w:fill="FFFFFF"/>
        </w:rPr>
      </w:pPr>
      <w:r w:rsidRPr="00192C4C">
        <w:rPr>
          <w:rStyle w:val="longtext"/>
          <w:rFonts w:ascii="Century" w:hAnsi="Century"/>
          <w:shd w:val="clear" w:color="auto" w:fill="FFFFFF"/>
        </w:rPr>
        <w:t xml:space="preserve">Kebutuhan pangan nasional yang terus meningkat memaksa petani di berbagai daerah untuk meningkatkan produksi padi guna memenuhi permintaan pasar yang tinggi </w:t>
      </w:r>
      <w:r w:rsidR="0007313C">
        <w:rPr>
          <w:rStyle w:val="longtext"/>
          <w:rFonts w:ascii="Century" w:hAnsi="Century"/>
          <w:shd w:val="clear" w:color="auto" w:fill="FFFFFF"/>
        </w:rPr>
        <w:fldChar w:fldCharType="begin" w:fldLock="1"/>
      </w:r>
      <w:r w:rsidR="008B767F">
        <w:rPr>
          <w:rStyle w:val="longtext"/>
          <w:rFonts w:ascii="Century" w:hAnsi="Century"/>
          <w:shd w:val="clear" w:color="auto" w:fill="FFFFFF"/>
        </w:rPr>
        <w:instrText>ADDIN CSL_CITATION {"citationItems":[{"id":"ITEM-1","itemData":{"author":[{"dropping-particle":"","family":"Kementerian Pertanian","given":"","non-dropping-particle":"","parse-names":false,"suffix":""}],"container-title":"Jakarta: Kementerian Pertanian","id":"ITEM-1","issued":{"date-parts":[["2020"]]},"title":"Laporan Tahunan Kementerian Pertanian 2020","type":"webpage"},"uris":["http://www.mendeley.com/documents/?uuid=92473576-3cd6-4cce-a487-8bf1ae5cc230"]}],"mendeley":{"formattedCitation":"(Kementerian Pertanian, 2020)","plainTextFormattedCitation":"(Kementerian Pertanian, 2020)","previouslyFormattedCitation":"(Kementerian Pertanian, 2020)"},"properties":{"noteIndex":0},"schema":"https://github.com/citation-style-language/schema/raw/master/csl-citation.json"}</w:instrText>
      </w:r>
      <w:r w:rsidR="0007313C">
        <w:rPr>
          <w:rStyle w:val="longtext"/>
          <w:rFonts w:ascii="Century" w:hAnsi="Century"/>
          <w:shd w:val="clear" w:color="auto" w:fill="FFFFFF"/>
        </w:rPr>
        <w:fldChar w:fldCharType="separate"/>
      </w:r>
      <w:r w:rsidR="0007313C" w:rsidRPr="0007313C">
        <w:rPr>
          <w:rStyle w:val="longtext"/>
          <w:rFonts w:ascii="Century" w:hAnsi="Century"/>
          <w:noProof/>
          <w:shd w:val="clear" w:color="auto" w:fill="FFFFFF"/>
        </w:rPr>
        <w:t>(Kementerian Pertanian, 2020)</w:t>
      </w:r>
      <w:r w:rsidR="0007313C">
        <w:rPr>
          <w:rStyle w:val="longtext"/>
          <w:rFonts w:ascii="Century" w:hAnsi="Century"/>
          <w:shd w:val="clear" w:color="auto" w:fill="FFFFFF"/>
        </w:rPr>
        <w:fldChar w:fldCharType="end"/>
      </w:r>
      <w:r w:rsidRPr="00192C4C">
        <w:rPr>
          <w:rStyle w:val="longtext"/>
          <w:rFonts w:ascii="Century" w:hAnsi="Century"/>
          <w:shd w:val="clear" w:color="auto" w:fill="FFFFFF"/>
        </w:rPr>
        <w:t xml:space="preserve">. Di Kalurahan Madurejo, Sleman, kondisi ini juga mendorong peningkatan produktivitas padi </w:t>
      </w:r>
      <w:r w:rsidR="008B767F">
        <w:rPr>
          <w:rStyle w:val="longtext"/>
          <w:rFonts w:ascii="Century" w:hAnsi="Century"/>
          <w:shd w:val="clear" w:color="auto" w:fill="FFFFFF"/>
        </w:rPr>
        <w:fldChar w:fldCharType="begin" w:fldLock="1"/>
      </w:r>
      <w:r w:rsidR="008D1703">
        <w:rPr>
          <w:rStyle w:val="longtext"/>
          <w:rFonts w:ascii="Century" w:hAnsi="Century"/>
          <w:shd w:val="clear" w:color="auto" w:fill="FFFFFF"/>
        </w:rPr>
        <w:instrText>ADDIN CSL_CITATION {"citationItems":[{"id":"ITEM-1","itemData":{"author":[{"dropping-particle":"","family":"Badan Pusat Statistik","given":"","non-dropping-particle":"","parse-names":false,"suffix":""}],"container-title":"Jakarta: BPS.","id":"ITEM-1","issued":{"date-parts":[["2021"]]},"title":"Statistik Pertanian Tahun 2021","type":"webpage"},"uris":["http://www.mendeley.com/documents/?uuid=6b158c9e-17af-4d77-a957-7d0fa0b79e30"]}],"mendeley":{"formattedCitation":"(Badan Pusat Statistik, 2021)","plainTextFormattedCitation":"(Badan Pusat Statistik, 2021)","previouslyFormattedCitation":"(Badan Pusat Statistik, 2021)"},"properties":{"noteIndex":0},"schema":"https://github.com/citation-style-language/schema/raw/master/csl-citation.json"}</w:instrText>
      </w:r>
      <w:r w:rsidR="008B767F">
        <w:rPr>
          <w:rStyle w:val="longtext"/>
          <w:rFonts w:ascii="Century" w:hAnsi="Century"/>
          <w:shd w:val="clear" w:color="auto" w:fill="FFFFFF"/>
        </w:rPr>
        <w:fldChar w:fldCharType="separate"/>
      </w:r>
      <w:r w:rsidR="008B767F" w:rsidRPr="008B767F">
        <w:rPr>
          <w:rStyle w:val="longtext"/>
          <w:rFonts w:ascii="Century" w:hAnsi="Century"/>
          <w:noProof/>
          <w:shd w:val="clear" w:color="auto" w:fill="FFFFFF"/>
        </w:rPr>
        <w:t>(Badan Pusat Statistik, 2021)</w:t>
      </w:r>
      <w:r w:rsidR="008B767F">
        <w:rPr>
          <w:rStyle w:val="longtext"/>
          <w:rFonts w:ascii="Century" w:hAnsi="Century"/>
          <w:shd w:val="clear" w:color="auto" w:fill="FFFFFF"/>
        </w:rPr>
        <w:fldChar w:fldCharType="end"/>
      </w:r>
      <w:r w:rsidRPr="00192C4C">
        <w:rPr>
          <w:rStyle w:val="longtext"/>
          <w:rFonts w:ascii="Century" w:hAnsi="Century"/>
          <w:shd w:val="clear" w:color="auto" w:fill="FFFFFF"/>
        </w:rPr>
        <w:t xml:space="preserve">. Namun, kelompok tani "Eko Mulyo" yang mengelola sekitar 20 hektar lahan persawahan di Dusun Mutihan, Madurejo, menghadapi dua masalah utama yang signifikan. Pertama, kekurangan air irigasi yang disebabkan oleh kerusakan talud, terutama selama musim kemarau </w:t>
      </w:r>
      <w:r w:rsidR="008D1703">
        <w:rPr>
          <w:rStyle w:val="longtext"/>
          <w:rFonts w:ascii="Century" w:hAnsi="Century"/>
          <w:shd w:val="clear" w:color="auto" w:fill="FFFFFF"/>
        </w:rPr>
        <w:fldChar w:fldCharType="begin" w:fldLock="1"/>
      </w:r>
      <w:r w:rsidR="00D31E87">
        <w:rPr>
          <w:rStyle w:val="longtext"/>
          <w:rFonts w:ascii="Century" w:hAnsi="Century"/>
          <w:shd w:val="clear" w:color="auto" w:fill="FFFFFF"/>
        </w:rPr>
        <w:instrText>ADDIN CSL_CITATION {"citationItems":[{"id":"ITEM-1","itemData":{"author":[{"dropping-particle":"","family":"Pemerintah Desa Madurejo","given":"","non-dropping-particle":"","parse-names":false,"suffix":""}],"container-title":"Sleman: Pemerintah Desa Madurejo.","id":"ITEM-1","issued":{"date-parts":[["2023"]]},"title":"Laporan Tahunan Desa Madurejo","type":"webpage"},"uris":["http://www.mendeley.com/documents/?uuid=7e1aeb44-8a7b-44dc-ab89-9558b08ee712"]}],"mendeley":{"formattedCitation":"(Pemerintah Desa Madurejo, 2023)","plainTextFormattedCitation":"(Pemerintah Desa Madurejo, 2023)","previouslyFormattedCitation":"(Pemerintah Desa Madurejo, 2023)"},"properties":{"noteIndex":0},"schema":"https://github.com/citation-style-language/schema/raw/master/csl-citation.json"}</w:instrText>
      </w:r>
      <w:r w:rsidR="008D1703">
        <w:rPr>
          <w:rStyle w:val="longtext"/>
          <w:rFonts w:ascii="Century" w:hAnsi="Century"/>
          <w:shd w:val="clear" w:color="auto" w:fill="FFFFFF"/>
        </w:rPr>
        <w:fldChar w:fldCharType="separate"/>
      </w:r>
      <w:r w:rsidR="008D1703" w:rsidRPr="008D1703">
        <w:rPr>
          <w:rStyle w:val="longtext"/>
          <w:rFonts w:ascii="Century" w:hAnsi="Century"/>
          <w:noProof/>
          <w:shd w:val="clear" w:color="auto" w:fill="FFFFFF"/>
        </w:rPr>
        <w:t>(Pemerintah Desa Madurejo, 2023)</w:t>
      </w:r>
      <w:r w:rsidR="008D1703">
        <w:rPr>
          <w:rStyle w:val="longtext"/>
          <w:rFonts w:ascii="Century" w:hAnsi="Century"/>
          <w:shd w:val="clear" w:color="auto" w:fill="FFFFFF"/>
        </w:rPr>
        <w:fldChar w:fldCharType="end"/>
      </w:r>
      <w:r w:rsidRPr="00192C4C">
        <w:rPr>
          <w:rStyle w:val="longtext"/>
          <w:rFonts w:ascii="Century" w:hAnsi="Century"/>
          <w:shd w:val="clear" w:color="auto" w:fill="FFFFFF"/>
        </w:rPr>
        <w:t>. Masalah ini mengakibatkan penurunan produktivitas padi dari tiga kali panen menjadi hanya dua kali panen per tahun, mengancam pendapatan petani secara langsung</w:t>
      </w:r>
      <w:r w:rsidR="0026063C">
        <w:rPr>
          <w:rStyle w:val="longtext"/>
          <w:rFonts w:ascii="Century" w:hAnsi="Century"/>
          <w:shd w:val="clear" w:color="auto" w:fill="FFFFFF"/>
        </w:rPr>
        <w:t xml:space="preserve"> </w:t>
      </w:r>
      <w:r w:rsidR="00D31E87">
        <w:rPr>
          <w:rStyle w:val="longtext"/>
          <w:rFonts w:ascii="Century" w:hAnsi="Century"/>
          <w:shd w:val="clear" w:color="auto" w:fill="FFFFFF"/>
        </w:rPr>
        <w:fldChar w:fldCharType="begin" w:fldLock="1"/>
      </w:r>
      <w:r w:rsidR="003E58AC">
        <w:rPr>
          <w:rStyle w:val="longtext"/>
          <w:rFonts w:ascii="Century" w:hAnsi="Century"/>
          <w:shd w:val="clear" w:color="auto" w:fill="FFFFFF"/>
        </w:rPr>
        <w:instrText>ADDIN CSL_CITATION {"citationItems":[{"id":"ITEM-1","itemData":{"ISSN":"2987-3754","author":[{"dropping-particle":"","family":"Butomo","given":"Krido Ilham","non-dropping-particle":"","parse-names":false,"suffix":""},{"dropping-particle":"","family":"Waluyowati","given":"Lestari Rahayu","non-dropping-particle":"","parse-names":false,"suffix":""},{"dropping-particle":"","family":"Astuti","given":"Ari","non-dropping-particle":"","parse-names":false,"suffix":""}],"container-title":"Jurnal Ilmiah Agritas","id":"ITEM-1","issue":"1","issued":{"date-parts":[["2020"]]},"page":"30-38","title":"Laju Pertumbuhan Lahan Sawah di Kabupaten Sleman","type":"article-journal","volume":"4"},"uris":["http://www.mendeley.com/documents/?uuid=1efbc614-212d-4993-a58d-70e2cb2bf6f7"]},{"id":"ITEM-2","itemData":{"ISSN":"2527-9238","author":[{"dropping-particle":"","family":"Triyono","given":"Triyono","non-dropping-particle":"","parse-names":false,"suffix":""},{"dropping-particle":"","family":"Mulyo","given":"Jangkung Handoyo","non-dropping-particle":"","parse-names":false,"suffix":""},{"dropping-particle":"","family":"Masyhuri","given":"Masyhuri","non-dropping-particle":"","parse-names":false,"suffix":""},{"dropping-particle":"","family":"Jamhari","given":"Jamhari","non-dropping-particle":"","parse-names":false,"suffix":""}],"container-title":"AGRARIS: Journal of Agribusiness and Rural Development Research","id":"ITEM-2","issue":"1","issued":{"date-parts":[["2016"]]},"page":"1-8","title":"Pengaruh Karakteristik Struktural dan Manajerial Terhadap Efisiensi Usahatani Padi di Kabupaten Sleman","type":"article-journal","volume":"2"},"uris":["http://www.mendeley.com/documents/?uuid=71fa20ab-cc93-4569-996c-fbaeffa80048"]}],"mendeley":{"formattedCitation":"(Butomo et al., 2020; Triyono et al., 2016)","plainTextFormattedCitation":"(Butomo et al., 2020; Triyono et al., 2016)","previouslyFormattedCitation":"(Butomo et al., 2020; Triyono et al., 2016)"},"properties":{"noteIndex":0},"schema":"https://github.com/citation-style-language/schema/raw/master/csl-citation.json"}</w:instrText>
      </w:r>
      <w:r w:rsidR="00D31E87">
        <w:rPr>
          <w:rStyle w:val="longtext"/>
          <w:rFonts w:ascii="Century" w:hAnsi="Century"/>
          <w:shd w:val="clear" w:color="auto" w:fill="FFFFFF"/>
        </w:rPr>
        <w:fldChar w:fldCharType="separate"/>
      </w:r>
      <w:r w:rsidR="00D31E87" w:rsidRPr="00D31E87">
        <w:rPr>
          <w:rStyle w:val="longtext"/>
          <w:rFonts w:ascii="Century" w:hAnsi="Century"/>
          <w:noProof/>
          <w:shd w:val="clear" w:color="auto" w:fill="FFFFFF"/>
        </w:rPr>
        <w:t>(Butomo et al., 2020; Triyono et al., 2016)</w:t>
      </w:r>
      <w:r w:rsidR="00D31E87">
        <w:rPr>
          <w:rStyle w:val="longtext"/>
          <w:rFonts w:ascii="Century" w:hAnsi="Century"/>
          <w:shd w:val="clear" w:color="auto" w:fill="FFFFFF"/>
        </w:rPr>
        <w:fldChar w:fldCharType="end"/>
      </w:r>
      <w:r w:rsidR="00D31E87">
        <w:rPr>
          <w:rStyle w:val="longtext"/>
          <w:rFonts w:ascii="Century" w:hAnsi="Century"/>
          <w:shd w:val="clear" w:color="auto" w:fill="FFFFFF"/>
        </w:rPr>
        <w:t xml:space="preserve">. </w:t>
      </w:r>
    </w:p>
    <w:p w14:paraId="2D28275B" w14:textId="2F48B617" w:rsidR="00192C4C" w:rsidRPr="00192C4C" w:rsidRDefault="00192C4C" w:rsidP="00192C4C">
      <w:pPr>
        <w:pStyle w:val="IEEEParagraph"/>
        <w:spacing w:line="276" w:lineRule="auto"/>
        <w:ind w:firstLine="426"/>
        <w:rPr>
          <w:rStyle w:val="longtext"/>
          <w:rFonts w:ascii="Century" w:hAnsi="Century"/>
          <w:shd w:val="clear" w:color="auto" w:fill="FFFFFF"/>
        </w:rPr>
      </w:pPr>
      <w:r w:rsidRPr="00192C4C">
        <w:rPr>
          <w:rStyle w:val="longtext"/>
          <w:rFonts w:ascii="Century" w:hAnsi="Century"/>
          <w:shd w:val="clear" w:color="auto" w:fill="FFFFFF"/>
        </w:rPr>
        <w:t xml:space="preserve">Masalah kedua adalah ketergantungan yang tinggi terhadap pupuk kimia, yang diperparah oleh berkurangnya subsidi dari pemerintah pada tahun 2023 sebesar 50% </w:t>
      </w:r>
      <w:r w:rsidR="003E58AC">
        <w:rPr>
          <w:rStyle w:val="longtext"/>
          <w:rFonts w:ascii="Century" w:hAnsi="Century"/>
          <w:shd w:val="clear" w:color="auto" w:fill="FFFFFF"/>
        </w:rPr>
        <w:fldChar w:fldCharType="begin" w:fldLock="1"/>
      </w:r>
      <w:r w:rsidR="00365A4E">
        <w:rPr>
          <w:rStyle w:val="longtext"/>
          <w:rFonts w:ascii="Century" w:hAnsi="Century"/>
          <w:shd w:val="clear" w:color="auto" w:fill="FFFFFF"/>
        </w:rPr>
        <w:instrText>ADDIN CSL_CITATION {"citationItems":[{"id":"ITEM-1","itemData":{"author":[{"dropping-particle":"","family":"Kementerian Pertanian","given":"","non-dropping-particle":"","parse-names":false,"suffix":""}],"container-title":"Jakarta: Kementerian Pertanian.","id":"ITEM-1","issued":{"date-parts":[["2023"]]},"title":"Panduan Subsidi Pupuk 2023","type":"webpage"},"uris":["http://www.mendeley.com/documents/?uuid=41632320-5423-4d1e-a074-c21324b73806"]}],"mendeley":{"formattedCitation":"(Kementerian Pertanian, 2023)","plainTextFormattedCitation":"(Kementerian Pertanian, 2023)","previouslyFormattedCitation":"(Kementerian Pertanian, 2023)"},"properties":{"noteIndex":0},"schema":"https://github.com/citation-style-language/schema/raw/master/csl-citation.json"}</w:instrText>
      </w:r>
      <w:r w:rsidR="003E58AC">
        <w:rPr>
          <w:rStyle w:val="longtext"/>
          <w:rFonts w:ascii="Century" w:hAnsi="Century"/>
          <w:shd w:val="clear" w:color="auto" w:fill="FFFFFF"/>
        </w:rPr>
        <w:fldChar w:fldCharType="separate"/>
      </w:r>
      <w:r w:rsidR="003E58AC" w:rsidRPr="003E58AC">
        <w:rPr>
          <w:rStyle w:val="longtext"/>
          <w:rFonts w:ascii="Century" w:hAnsi="Century"/>
          <w:noProof/>
          <w:shd w:val="clear" w:color="auto" w:fill="FFFFFF"/>
        </w:rPr>
        <w:t>(Kementerian Pertanian, 2023)</w:t>
      </w:r>
      <w:r w:rsidR="003E58AC">
        <w:rPr>
          <w:rStyle w:val="longtext"/>
          <w:rFonts w:ascii="Century" w:hAnsi="Century"/>
          <w:shd w:val="clear" w:color="auto" w:fill="FFFFFF"/>
        </w:rPr>
        <w:fldChar w:fldCharType="end"/>
      </w:r>
      <w:r w:rsidRPr="00192C4C">
        <w:rPr>
          <w:rStyle w:val="longtext"/>
          <w:rFonts w:ascii="Century" w:hAnsi="Century"/>
          <w:shd w:val="clear" w:color="auto" w:fill="FFFFFF"/>
        </w:rPr>
        <w:t xml:space="preserve">. Hal ini menyebabkan para petani harus membeli pupuk dengan harga yang lebih mahal, sehingga menambah beban ekonomi dan mengurangi keuntungan dari hasil panen </w:t>
      </w:r>
      <w:r w:rsidR="00365A4E">
        <w:rPr>
          <w:rStyle w:val="longtext"/>
          <w:rFonts w:ascii="Century" w:hAnsi="Century"/>
          <w:shd w:val="clear" w:color="auto" w:fill="FFFFFF"/>
        </w:rPr>
        <w:fldChar w:fldCharType="begin" w:fldLock="1"/>
      </w:r>
      <w:r w:rsidR="00696868">
        <w:rPr>
          <w:rStyle w:val="longtext"/>
          <w:rFonts w:ascii="Century" w:hAnsi="Century"/>
          <w:shd w:val="clear" w:color="auto" w:fill="FFFFFF"/>
        </w:rPr>
        <w:instrText>ADDIN CSL_CITATION {"citationItems":[{"id":"ITEM-1","itemData":{"author":[{"dropping-particle":"","family":"Nugroho","given":"Eko Wahyu","non-dropping-particle":"","parse-names":false,"suffix":""},{"dropping-particle":"","family":"Budiani","given":"Sri Rahayu","non-dropping-particle":"","parse-names":false,"suffix":""}],"container-title":"Jurnal Bumi Indonesia","id":"ITEM-1","issue":"2","issued":{"date-parts":[["2019"]]},"title":"Analisis Keberlanjutan Usahatani Tanaman Mendong Di Kecamatan Minggir Kabupaten Sleman","type":"article-journal","volume":"8"},"uris":["http://www.mendeley.com/documents/?uuid=452fc2b8-0d9a-4e82-9c9f-22b238993b1c"]},{"id":"ITEM-2","itemData":{"ISBN":"6230943026","author":[{"dropping-particle":"","family":"Ramayana","given":"Syamad","non-dropping-particle":"","parse-names":false,"suffix":""}],"id":"ITEM-2","issued":{"date-parts":[["2023"]]},"publisher":"Deepublish","title":"Pembangunan Pertanian Dan Peternakan Berkelanjutan","type":"book"},"uris":["http://www.mendeley.com/documents/?uuid=d08890ad-da70-4fa8-b117-90ae63f5a563"]}],"mendeley":{"formattedCitation":"(Nugroho &amp; Budiani, 2019; Ramayana, 2023)","plainTextFormattedCitation":"(Nugroho &amp; Budiani, 2019; Ramayana, 2023)","previouslyFormattedCitation":"(Nugroho &amp; Budiani, 2019; Ramayana, 2023)"},"properties":{"noteIndex":0},"schema":"https://github.com/citation-style-language/schema/raw/master/csl-citation.json"}</w:instrText>
      </w:r>
      <w:r w:rsidR="00365A4E">
        <w:rPr>
          <w:rStyle w:val="longtext"/>
          <w:rFonts w:ascii="Century" w:hAnsi="Century"/>
          <w:shd w:val="clear" w:color="auto" w:fill="FFFFFF"/>
        </w:rPr>
        <w:fldChar w:fldCharType="separate"/>
      </w:r>
      <w:r w:rsidR="00365A4E" w:rsidRPr="00365A4E">
        <w:rPr>
          <w:rStyle w:val="longtext"/>
          <w:rFonts w:ascii="Century" w:hAnsi="Century"/>
          <w:noProof/>
          <w:shd w:val="clear" w:color="auto" w:fill="FFFFFF"/>
        </w:rPr>
        <w:t>(Nugroho &amp; Budiani, 2019; Ramayana, 2023)</w:t>
      </w:r>
      <w:r w:rsidR="00365A4E">
        <w:rPr>
          <w:rStyle w:val="longtext"/>
          <w:rFonts w:ascii="Century" w:hAnsi="Century"/>
          <w:shd w:val="clear" w:color="auto" w:fill="FFFFFF"/>
        </w:rPr>
        <w:fldChar w:fldCharType="end"/>
      </w:r>
      <w:r w:rsidRPr="00192C4C">
        <w:rPr>
          <w:rStyle w:val="longtext"/>
          <w:rFonts w:ascii="Century" w:hAnsi="Century"/>
          <w:shd w:val="clear" w:color="auto" w:fill="FFFFFF"/>
        </w:rPr>
        <w:t xml:space="preserve">. Selain itu, penurunan curah hujan dan serangan hama juga turut menyulitkan produksi padi </w:t>
      </w:r>
      <w:r w:rsidR="00696868">
        <w:rPr>
          <w:rStyle w:val="longtext"/>
          <w:rFonts w:ascii="Century" w:hAnsi="Century"/>
          <w:shd w:val="clear" w:color="auto" w:fill="FFFFFF"/>
        </w:rPr>
        <w:fldChar w:fldCharType="begin" w:fldLock="1"/>
      </w:r>
      <w:r w:rsidR="00FA3A58">
        <w:rPr>
          <w:rStyle w:val="longtext"/>
          <w:rFonts w:ascii="Century" w:hAnsi="Century"/>
          <w:shd w:val="clear" w:color="auto" w:fill="FFFFFF"/>
        </w:rPr>
        <w:instrText>ADDIN CSL_CITATION {"citationItems":[{"id":"ITEM-1","itemData":{"ISSN":"2302-3708","author":[{"dropping-particle":"","family":"Alam","given":"Akhmad Rozami Syahru","non-dropping-particle":"","parse-names":false,"suffix":""},{"dropping-particle":"","family":"Aryadi","given":"Mahrus","non-dropping-particle":"","parse-names":false,"suffix":""},{"dropping-particle":"","family":"Biyatmoko","given":"Danang","non-dropping-particle":"","parse-names":false,"suffix":""},{"dropping-particle":"","family":"Satriadi","given":"Trisnu","non-dropping-particle":"","parse-names":false,"suffix":""}],"container-title":"EnviroScienteae","id":"ITEM-1","issue":"1","issued":{"date-parts":[["2012"]]},"page":"7-15","title":"Persepsi dan Makna Perubahan Iklim terhadap USAha Pertanian: Studi Kasus di Desa Sungai Rangas Tengah Kabupaten Banjar","type":"article-journal","volume":"8"},"uris":["http://www.mendeley.com/documents/?uuid=ee76fe58-6e79-4178-8d64-c605c090280e"]},{"id":"ITEM-2","itemData":{"ISSN":"2527-6239","author":[{"dropping-particle":"","family":"Khudori","given":"Khudori","non-dropping-particle":"","parse-names":false,"suffix":""}],"container-title":"JURNAL PANGAN","id":"ITEM-2","issue":"2","issued":{"date-parts":[["2011"]]},"page":"105-120","title":"Sistem Pertanian Pangan Adaptif Perubahan Iklim","type":"article-journal","volume":"20"},"uris":["http://www.mendeley.com/documents/?uuid=6e9c26c9-8534-44a3-b024-20ac667f196f"]}],"mendeley":{"formattedCitation":"(Alam et al., 2012; Khudori, 2011)","plainTextFormattedCitation":"(Alam et al., 2012; Khudori, 2011)","previouslyFormattedCitation":"(Alam et al., 2012; Khudori, 2011)"},"properties":{"noteIndex":0},"schema":"https://github.com/citation-style-language/schema/raw/master/csl-citation.json"}</w:instrText>
      </w:r>
      <w:r w:rsidR="00696868">
        <w:rPr>
          <w:rStyle w:val="longtext"/>
          <w:rFonts w:ascii="Century" w:hAnsi="Century"/>
          <w:shd w:val="clear" w:color="auto" w:fill="FFFFFF"/>
        </w:rPr>
        <w:fldChar w:fldCharType="separate"/>
      </w:r>
      <w:r w:rsidR="00696868" w:rsidRPr="00696868">
        <w:rPr>
          <w:rStyle w:val="longtext"/>
          <w:rFonts w:ascii="Century" w:hAnsi="Century"/>
          <w:noProof/>
          <w:shd w:val="clear" w:color="auto" w:fill="FFFFFF"/>
        </w:rPr>
        <w:t>(Alam et al., 2012; Khudori, 2011)</w:t>
      </w:r>
      <w:r w:rsidR="00696868">
        <w:rPr>
          <w:rStyle w:val="longtext"/>
          <w:rFonts w:ascii="Century" w:hAnsi="Century"/>
          <w:shd w:val="clear" w:color="auto" w:fill="FFFFFF"/>
        </w:rPr>
        <w:fldChar w:fldCharType="end"/>
      </w:r>
      <w:r w:rsidRPr="00192C4C">
        <w:rPr>
          <w:rStyle w:val="longtext"/>
          <w:rFonts w:ascii="Century" w:hAnsi="Century"/>
          <w:shd w:val="clear" w:color="auto" w:fill="FFFFFF"/>
        </w:rPr>
        <w:t xml:space="preserve">, terutama pada lahan yang tidak mendapatkan pengairan yang memadai </w:t>
      </w:r>
      <w:r w:rsidR="00FA3A58">
        <w:rPr>
          <w:rStyle w:val="longtext"/>
          <w:rFonts w:ascii="Century" w:hAnsi="Century"/>
          <w:shd w:val="clear" w:color="auto" w:fill="FFFFFF"/>
        </w:rPr>
        <w:fldChar w:fldCharType="begin" w:fldLock="1"/>
      </w:r>
      <w:r w:rsidR="00F70685">
        <w:rPr>
          <w:rStyle w:val="longtext"/>
          <w:rFonts w:ascii="Century" w:hAnsi="Century"/>
          <w:shd w:val="clear" w:color="auto" w:fill="FFFFFF"/>
        </w:rPr>
        <w:instrText>ADDIN CSL_CITATION {"citationItems":[{"id":"ITEM-1","itemData":{"ISSN":"2541-1527","author":[{"dropping-particle":"","family":"Siregar","given":"Masdjidin","non-dropping-particle":"","parse-names":false,"suffix":""}],"container-title":"Jurnal Agro Ekonomi","id":"ITEM-1","issue":"1","issued":{"date-parts":[["2016"]]},"page":"72-96","publisher":"Indonesian Agency for Agricultural Research and Development","title":"Determinan efisiensi teknis usahatani padi di lahan sawah irigasi","type":"article-journal","volume":"21"},"uris":["http://www.mendeley.com/documents/?uuid=d28f5cd3-1ea2-4a32-9ed1-45738bbf6d4b"]},{"id":"ITEM-2","itemData":{"author":[{"dropping-particle":"","family":"Isa","given":"Iwan","non-dropping-particle":"","parse-names":false,"suffix":""}],"container-title":"Prosiding Seminar Multifungsi dan Revitalisasi Pertanian. Badan Litbang Departemen Pertanian. Ministry of Agriculture, Forestry and Fisheries Japan dan ASEAN Secretariat. Jakarta","id":"ITEM-2","issued":{"date-parts":[["2006"]]},"title":"Strategi pengendalian alih fungsi lahan pertanian","type":"paper-conference"},"uris":["http://www.mendeley.com/documents/?uuid=854c7bf4-8c9e-4855-a3c5-789060fdc7f1"]}],"mendeley":{"formattedCitation":"(Isa, 2006; Siregar, 2016)","plainTextFormattedCitation":"(Isa, 2006; Siregar, 2016)","previouslyFormattedCitation":"(Isa, 2006; Siregar, 2016)"},"properties":{"noteIndex":0},"schema":"https://github.com/citation-style-language/schema/raw/master/csl-citation.json"}</w:instrText>
      </w:r>
      <w:r w:rsidR="00FA3A58">
        <w:rPr>
          <w:rStyle w:val="longtext"/>
          <w:rFonts w:ascii="Century" w:hAnsi="Century"/>
          <w:shd w:val="clear" w:color="auto" w:fill="FFFFFF"/>
        </w:rPr>
        <w:fldChar w:fldCharType="separate"/>
      </w:r>
      <w:r w:rsidR="00FA3A58" w:rsidRPr="00FA3A58">
        <w:rPr>
          <w:rStyle w:val="longtext"/>
          <w:rFonts w:ascii="Century" w:hAnsi="Century"/>
          <w:noProof/>
          <w:shd w:val="clear" w:color="auto" w:fill="FFFFFF"/>
        </w:rPr>
        <w:t>(Isa, 2006; Siregar, 2016)</w:t>
      </w:r>
      <w:r w:rsidR="00FA3A58">
        <w:rPr>
          <w:rStyle w:val="longtext"/>
          <w:rFonts w:ascii="Century" w:hAnsi="Century"/>
          <w:shd w:val="clear" w:color="auto" w:fill="FFFFFF"/>
        </w:rPr>
        <w:fldChar w:fldCharType="end"/>
      </w:r>
      <w:r w:rsidRPr="00192C4C">
        <w:rPr>
          <w:rStyle w:val="longtext"/>
          <w:rFonts w:ascii="Century" w:hAnsi="Century"/>
          <w:shd w:val="clear" w:color="auto" w:fill="FFFFFF"/>
        </w:rPr>
        <w:t>.</w:t>
      </w:r>
    </w:p>
    <w:p w14:paraId="787A8E32" w14:textId="5EDC996C" w:rsidR="00192C4C" w:rsidRPr="00192C4C" w:rsidRDefault="00192C4C" w:rsidP="00192C4C">
      <w:pPr>
        <w:pStyle w:val="IEEEParagraph"/>
        <w:spacing w:line="276" w:lineRule="auto"/>
        <w:ind w:firstLine="426"/>
        <w:rPr>
          <w:rStyle w:val="longtext"/>
          <w:rFonts w:ascii="Century" w:hAnsi="Century"/>
          <w:shd w:val="clear" w:color="auto" w:fill="FFFFFF"/>
        </w:rPr>
      </w:pPr>
      <w:r w:rsidRPr="00192C4C">
        <w:rPr>
          <w:rStyle w:val="longtext"/>
          <w:rFonts w:ascii="Century" w:hAnsi="Century"/>
          <w:shd w:val="clear" w:color="auto" w:fill="FFFFFF"/>
        </w:rPr>
        <w:t xml:space="preserve">Program pengabdian masyarakat ini bertujuan untuk menyelesaikan masalah-masalah tersebut dengan cara membangun talud sepanjang 50 meter guna meningkatkan distribusi air irigasi </w:t>
      </w:r>
      <w:r w:rsidR="00F70685">
        <w:rPr>
          <w:rStyle w:val="longtext"/>
          <w:rFonts w:ascii="Century" w:hAnsi="Century"/>
          <w:shd w:val="clear" w:color="auto" w:fill="FFFFFF"/>
        </w:rPr>
        <w:fldChar w:fldCharType="begin" w:fldLock="1"/>
      </w:r>
      <w:r w:rsidR="00146877">
        <w:rPr>
          <w:rStyle w:val="longtext"/>
          <w:rFonts w:ascii="Century" w:hAnsi="Century"/>
          <w:shd w:val="clear" w:color="auto" w:fill="FFFFFF"/>
        </w:rPr>
        <w:instrText>ADDIN CSL_CITATION {"citationItems":[{"id":"ITEM-1","itemData":{"author":[{"dropping-particle":"","family":"FIKRI","given":"MUHAMAD","non-dropping-particle":"","parse-names":false,"suffix":""}],"id":"ITEM-1","issued":{"date-parts":[["0"]]},"title":"PARTISIPASI MASYARAKAT DALAM PEMBANGUNAN INFRASTRUKTUR DESA","type":"article-journal"},"uris":["http://www.mendeley.com/documents/?uuid=65f06b7e-71b7-473f-aec0-ce740bda07d6"]},{"id":"ITEM-2","itemData":{"author":[{"dropping-particle":"","family":"Nurjanah","given":"Siti","non-dropping-particle":"","parse-names":false,"suffix":""}],"id":"ITEM-2","issued":{"date-parts":[["2009"]]},"publisher":"UNS (Sebelas Maret University)","title":"Peranan koran masuk desa Kandha raharja dalam menunjang pemberdayaan masyarakat desa Sidokarto, Godean, Sleman, Yogyakarta tahun 1980-1998","type":"article-journal"},"uris":["http://www.mendeley.com/documents/?uuid=dc6b3f11-07f5-4879-b877-4481a2f085ed"]}],"mendeley":{"formattedCitation":"(FIKRI, n.d.; Nurjanah, 2009)","plainTextFormattedCitation":"(FIKRI, n.d.; Nurjanah, 2009)","previouslyFormattedCitation":"(FIKRI, n.d.; Nurjanah, 2009)"},"properties":{"noteIndex":0},"schema":"https://github.com/citation-style-language/schema/raw/master/csl-citation.json"}</w:instrText>
      </w:r>
      <w:r w:rsidR="00F70685">
        <w:rPr>
          <w:rStyle w:val="longtext"/>
          <w:rFonts w:ascii="Century" w:hAnsi="Century"/>
          <w:shd w:val="clear" w:color="auto" w:fill="FFFFFF"/>
        </w:rPr>
        <w:fldChar w:fldCharType="separate"/>
      </w:r>
      <w:r w:rsidR="00F70685" w:rsidRPr="00F70685">
        <w:rPr>
          <w:rStyle w:val="longtext"/>
          <w:rFonts w:ascii="Century" w:hAnsi="Century"/>
          <w:noProof/>
          <w:shd w:val="clear" w:color="auto" w:fill="FFFFFF"/>
        </w:rPr>
        <w:t>(FIKRI, n.d.; Nurjanah, 2009)</w:t>
      </w:r>
      <w:r w:rsidR="00F70685">
        <w:rPr>
          <w:rStyle w:val="longtext"/>
          <w:rFonts w:ascii="Century" w:hAnsi="Century"/>
          <w:shd w:val="clear" w:color="auto" w:fill="FFFFFF"/>
        </w:rPr>
        <w:fldChar w:fldCharType="end"/>
      </w:r>
      <w:r w:rsidRPr="00192C4C">
        <w:rPr>
          <w:rStyle w:val="longtext"/>
          <w:rFonts w:ascii="Century" w:hAnsi="Century"/>
          <w:shd w:val="clear" w:color="auto" w:fill="FFFFFF"/>
        </w:rPr>
        <w:t>. Selain itu, akan diberikan pelatihan pembuatan pupuk organik dari limbah pertanian, yang bertujuan mengurangi ketergantungan pada pupuk kimia</w:t>
      </w:r>
      <w:r w:rsidR="00CE7BF6">
        <w:rPr>
          <w:rStyle w:val="longtext"/>
          <w:rFonts w:ascii="Century" w:hAnsi="Century"/>
          <w:shd w:val="clear" w:color="auto" w:fill="FFFFFF"/>
        </w:rPr>
        <w:t xml:space="preserve"> </w:t>
      </w:r>
      <w:r w:rsidR="00146877">
        <w:rPr>
          <w:rStyle w:val="longtext"/>
          <w:rFonts w:ascii="Century" w:hAnsi="Century"/>
          <w:shd w:val="clear" w:color="auto" w:fill="FFFFFF"/>
        </w:rPr>
        <w:fldChar w:fldCharType="begin" w:fldLock="1"/>
      </w:r>
      <w:r w:rsidR="0045462B">
        <w:rPr>
          <w:rStyle w:val="longtext"/>
          <w:rFonts w:ascii="Century" w:hAnsi="Century"/>
          <w:shd w:val="clear" w:color="auto" w:fill="FFFFFF"/>
        </w:rPr>
        <w:instrText>ADDIN CSL_CITATION {"citationItems":[{"id":"ITEM-1","itemData":{"ISSN":"2614-526X","author":[{"dropping-particle":"","family":"Sulistyo","given":"Anang","non-dropping-particle":"","parse-names":false,"suffix":""},{"dropping-particle":"","family":"Wahyuni","given":"Etty","non-dropping-particle":"","parse-names":false,"suffix":""},{"dropping-particle":"","family":"Santoso","given":"Dwi","non-dropping-particle":"","parse-names":false,"suffix":""},{"dropping-particle":"","family":"CCW","given":"Dewi Elviana","non-dropping-particle":"","parse-names":false,"suffix":""}],"container-title":"SELAPARANG: Jurnal Pengabdian Masyarakat Berkemajuan","id":"ITEM-1","issue":"3","issued":{"date-parts":[["2024"]]},"page":"2135-2142","title":"Kolaborasi LPPM UBT dan mahasiswa KKN melalui pelatihan pembuatan pupuk organik guna mendukung pertanian ramah lingkungan di desa Long Bia","type":"article-journal","volume":"8"},"uris":["http://www.mendeley.com/documents/?uuid=e8c11fb8-4277-410a-a7bf-f992ee065fd9"]}],"mendeley":{"formattedCitation":"(Sulistyo et al., 2024)","plainTextFormattedCitation":"(Sulistyo et al., 2024)","previouslyFormattedCitation":"(Sulistyo et al., 2024)"},"properties":{"noteIndex":0},"schema":"https://github.com/citation-style-language/schema/raw/master/csl-citation.json"}</w:instrText>
      </w:r>
      <w:r w:rsidR="00146877">
        <w:rPr>
          <w:rStyle w:val="longtext"/>
          <w:rFonts w:ascii="Century" w:hAnsi="Century"/>
          <w:shd w:val="clear" w:color="auto" w:fill="FFFFFF"/>
        </w:rPr>
        <w:fldChar w:fldCharType="separate"/>
      </w:r>
      <w:r w:rsidR="00146877" w:rsidRPr="00146877">
        <w:rPr>
          <w:rStyle w:val="longtext"/>
          <w:rFonts w:ascii="Century" w:hAnsi="Century"/>
          <w:noProof/>
          <w:shd w:val="clear" w:color="auto" w:fill="FFFFFF"/>
        </w:rPr>
        <w:t>(Sulistyo et al., 2024)</w:t>
      </w:r>
      <w:r w:rsidR="00146877">
        <w:rPr>
          <w:rStyle w:val="longtext"/>
          <w:rFonts w:ascii="Century" w:hAnsi="Century"/>
          <w:shd w:val="clear" w:color="auto" w:fill="FFFFFF"/>
        </w:rPr>
        <w:fldChar w:fldCharType="end"/>
      </w:r>
      <w:r w:rsidRPr="00192C4C">
        <w:rPr>
          <w:rStyle w:val="longtext"/>
          <w:rFonts w:ascii="Century" w:hAnsi="Century"/>
          <w:shd w:val="clear" w:color="auto" w:fill="FFFFFF"/>
        </w:rPr>
        <w:t xml:space="preserve">. Kebaruan dari program ini adalah penggunaan teknologi beton pracetak untuk talud yang lebih tahan lama dan efisien dalam mengatasi kebocoran air </w:t>
      </w:r>
      <w:r w:rsidR="0045462B">
        <w:rPr>
          <w:rStyle w:val="longtext"/>
          <w:rFonts w:ascii="Century" w:hAnsi="Century"/>
          <w:shd w:val="clear" w:color="auto" w:fill="FFFFFF"/>
        </w:rPr>
        <w:fldChar w:fldCharType="begin" w:fldLock="1"/>
      </w:r>
      <w:r w:rsidR="0003217C">
        <w:rPr>
          <w:rStyle w:val="longtext"/>
          <w:rFonts w:ascii="Century" w:hAnsi="Century"/>
          <w:shd w:val="clear" w:color="auto" w:fill="FFFFFF"/>
        </w:rPr>
        <w:instrText>ADDIN CSL_CITATION {"citationItems":[{"id":"ITEM-1","itemData":{"ISBN":"6024757913","author":[{"dropping-particle":"","family":"Sulaiman","given":"Dede M","non-dropping-particle":"","parse-names":false,"suffix":""}],"id":"ITEM-1","issued":{"date-parts":[["2018"]]},"publisher":"Deepublish","title":"Beton dan Teknologi Pracetak Pada Bangunan Pengamanan Pantai","type":"book"},"uris":["http://www.mendeley.com/documents/?uuid=9c5fba98-ac1d-4fe3-a3ca-3493b2961642"]}],"mendeley":{"formattedCitation":"(Sulaiman, 2018)","plainTextFormattedCitation":"(Sulaiman, 2018)","previouslyFormattedCitation":"(Sulaiman, 2018)"},"properties":{"noteIndex":0},"schema":"https://github.com/citation-style-language/schema/raw/master/csl-citation.json"}</w:instrText>
      </w:r>
      <w:r w:rsidR="0045462B">
        <w:rPr>
          <w:rStyle w:val="longtext"/>
          <w:rFonts w:ascii="Century" w:hAnsi="Century"/>
          <w:shd w:val="clear" w:color="auto" w:fill="FFFFFF"/>
        </w:rPr>
        <w:fldChar w:fldCharType="separate"/>
      </w:r>
      <w:r w:rsidR="0045462B" w:rsidRPr="0045462B">
        <w:rPr>
          <w:rStyle w:val="longtext"/>
          <w:rFonts w:ascii="Century" w:hAnsi="Century"/>
          <w:noProof/>
          <w:shd w:val="clear" w:color="auto" w:fill="FFFFFF"/>
        </w:rPr>
        <w:t>(Sulaiman, 2018)</w:t>
      </w:r>
      <w:r w:rsidR="0045462B">
        <w:rPr>
          <w:rStyle w:val="longtext"/>
          <w:rFonts w:ascii="Century" w:hAnsi="Century"/>
          <w:shd w:val="clear" w:color="auto" w:fill="FFFFFF"/>
        </w:rPr>
        <w:fldChar w:fldCharType="end"/>
      </w:r>
      <w:r w:rsidRPr="00192C4C">
        <w:rPr>
          <w:rStyle w:val="longtext"/>
          <w:rFonts w:ascii="Century" w:hAnsi="Century"/>
          <w:shd w:val="clear" w:color="auto" w:fill="FFFFFF"/>
        </w:rPr>
        <w:t xml:space="preserve">, serta penggunaan pupuk organik sebagai solusi pertanian berkelanjutan bagi petani di Madurejo </w:t>
      </w:r>
      <w:r w:rsidR="0003217C">
        <w:rPr>
          <w:rStyle w:val="longtext"/>
          <w:rFonts w:ascii="Century" w:hAnsi="Century"/>
          <w:shd w:val="clear" w:color="auto" w:fill="FFFFFF"/>
        </w:rPr>
        <w:fldChar w:fldCharType="begin" w:fldLock="1"/>
      </w:r>
      <w:r w:rsidR="00885178">
        <w:rPr>
          <w:rStyle w:val="longtext"/>
          <w:rFonts w:ascii="Century" w:hAnsi="Century"/>
          <w:shd w:val="clear" w:color="auto" w:fill="FFFFFF"/>
        </w:rPr>
        <w:instrText>ADDIN CSL_CITATION {"citationItems":[{"id":"ITEM-1","itemData":{"author":[{"dropping-particle":"","family":"KARUNDENG","given":"MICHAEL CENNY","non-dropping-particle":"","parse-names":false,"suffix":""},{"dropping-particle":"","family":"GOWA","given":"POLITEKNIK PEMBANGUNAN PERTANIAN","non-dropping-particle":"","parse-names":false,"suffix":""}],"id":"ITEM-1","issued":{"date-parts":[["0"]]},"title":"RESPONS PETANI TERHADAP PENERAPAN PERTANIAN ORGANIK, DESA KALUKUANG, KECAMATAN GALESONG, KABUPATEN TAKALAR, PROVINSI SULAWESI SELATAN","type":"article-journal"},"uris":["http://www.mendeley.com/documents/?uuid=8b4be8a1-9296-45f9-ae8b-6a303f24da78"]},{"id":"ITEM-2","itemData":{"ISBN":"9790062982","author":[{"dropping-particle":"","family":"Pranata","given":"Ayub S","non-dropping-particle":"","parse-names":false,"suffix":""}],"id":"ITEM-2","issued":{"date-parts":[["2010"]]},"publisher":"AgroMedia","title":"Meningkatkan hasil panen dengan pupuk organik","type":"book"},"uris":["http://www.mendeley.com/documents/?uuid=4fef872b-d6d6-403f-b4b8-b21d5b410d56"]}],"mendeley":{"formattedCitation":"(KARUNDENG &amp; GOWA, n.d.; Pranata, 2010)","manualFormatting":"(Karundeng &amp; GOWA, n.d.; Pranata, 2010)","plainTextFormattedCitation":"(KARUNDENG &amp; GOWA, n.d.; Pranata, 2010)","previouslyFormattedCitation":"(KARUNDENG &amp; GOWA, n.d.; Pranata, 2010)"},"properties":{"noteIndex":0},"schema":"https://github.com/citation-style-language/schema/raw/master/csl-citation.json"}</w:instrText>
      </w:r>
      <w:r w:rsidR="0003217C">
        <w:rPr>
          <w:rStyle w:val="longtext"/>
          <w:rFonts w:ascii="Century" w:hAnsi="Century"/>
          <w:shd w:val="clear" w:color="auto" w:fill="FFFFFF"/>
        </w:rPr>
        <w:fldChar w:fldCharType="separate"/>
      </w:r>
      <w:r w:rsidR="0003217C" w:rsidRPr="0003217C">
        <w:rPr>
          <w:rStyle w:val="longtext"/>
          <w:rFonts w:ascii="Century" w:hAnsi="Century"/>
          <w:noProof/>
          <w:shd w:val="clear" w:color="auto" w:fill="FFFFFF"/>
        </w:rPr>
        <w:t>(</w:t>
      </w:r>
      <w:r w:rsidR="00444C8A" w:rsidRPr="0003217C">
        <w:rPr>
          <w:rStyle w:val="longtext"/>
          <w:rFonts w:ascii="Century" w:hAnsi="Century"/>
          <w:noProof/>
          <w:shd w:val="clear" w:color="auto" w:fill="FFFFFF"/>
        </w:rPr>
        <w:t xml:space="preserve">Karundeng </w:t>
      </w:r>
      <w:r w:rsidR="0003217C" w:rsidRPr="0003217C">
        <w:rPr>
          <w:rStyle w:val="longtext"/>
          <w:rFonts w:ascii="Century" w:hAnsi="Century"/>
          <w:noProof/>
          <w:shd w:val="clear" w:color="auto" w:fill="FFFFFF"/>
        </w:rPr>
        <w:t>&amp; GOWA, n.d.; Pranata, 2010)</w:t>
      </w:r>
      <w:r w:rsidR="0003217C">
        <w:rPr>
          <w:rStyle w:val="longtext"/>
          <w:rFonts w:ascii="Century" w:hAnsi="Century"/>
          <w:shd w:val="clear" w:color="auto" w:fill="FFFFFF"/>
        </w:rPr>
        <w:fldChar w:fldCharType="end"/>
      </w:r>
      <w:r w:rsidR="00CC233E">
        <w:rPr>
          <w:rStyle w:val="longtext"/>
          <w:rFonts w:ascii="Century" w:hAnsi="Century"/>
          <w:shd w:val="clear" w:color="auto" w:fill="FFFFFF"/>
        </w:rPr>
        <w:t>.</w:t>
      </w:r>
    </w:p>
    <w:p w14:paraId="10AE0097" w14:textId="175170EF" w:rsidR="00192C4C" w:rsidRPr="00192C4C" w:rsidRDefault="00192C4C" w:rsidP="00192C4C">
      <w:pPr>
        <w:pStyle w:val="IEEEParagraph"/>
        <w:spacing w:line="276" w:lineRule="auto"/>
        <w:ind w:firstLine="426"/>
        <w:rPr>
          <w:rStyle w:val="longtext"/>
          <w:rFonts w:ascii="Century" w:hAnsi="Century"/>
          <w:shd w:val="clear" w:color="auto" w:fill="FFFFFF"/>
        </w:rPr>
      </w:pPr>
      <w:r w:rsidRPr="00192C4C">
        <w:rPr>
          <w:rStyle w:val="longtext"/>
          <w:rFonts w:ascii="Century" w:hAnsi="Century"/>
          <w:shd w:val="clear" w:color="auto" w:fill="FFFFFF"/>
        </w:rPr>
        <w:t xml:space="preserve">Kalurahan Madurejo memiliki luas lahan persawahan 406 hektar dengan sekitar 385 petani </w:t>
      </w:r>
      <w:r w:rsidR="00885178">
        <w:rPr>
          <w:rStyle w:val="longtext"/>
          <w:rFonts w:ascii="Century" w:hAnsi="Century"/>
          <w:shd w:val="clear" w:color="auto" w:fill="FFFFFF"/>
        </w:rPr>
        <w:fldChar w:fldCharType="begin" w:fldLock="1"/>
      </w:r>
      <w:r w:rsidR="00997BA3">
        <w:rPr>
          <w:rStyle w:val="longtext"/>
          <w:rFonts w:ascii="Century" w:hAnsi="Century"/>
          <w:shd w:val="clear" w:color="auto" w:fill="FFFFFF"/>
        </w:rPr>
        <w:instrText>ADDIN CSL_CITATION {"citationItems":[{"id":"ITEM-1","itemData":{"author":[{"dropping-particle":"","family":"Badan Pusat Statistik","given":"","non-dropping-particle":"","parse-names":false,"suffix":""}],"container-title":"Jakarta: BPS.","id":"ITEM-1","issued":{"date-parts":[["2021"]]},"title":"Statistik Pertanian Tahun 2021","type":"webpage"},"uris":["http://www.mendeley.com/documents/?uuid=6b158c9e-17af-4d77-a957-7d0fa0b79e30"]}],"mendeley":{"formattedCitation":"(Badan Pusat Statistik, 2021)","plainTextFormattedCitation":"(Badan Pusat Statistik, 2021)","previouslyFormattedCitation":"(Badan Pusat Statistik, 2021)"},"properties":{"noteIndex":0},"schema":"https://github.com/citation-style-language/schema/raw/master/csl-citation.json"}</w:instrText>
      </w:r>
      <w:r w:rsidR="00885178">
        <w:rPr>
          <w:rStyle w:val="longtext"/>
          <w:rFonts w:ascii="Century" w:hAnsi="Century"/>
          <w:shd w:val="clear" w:color="auto" w:fill="FFFFFF"/>
        </w:rPr>
        <w:fldChar w:fldCharType="separate"/>
      </w:r>
      <w:r w:rsidR="00885178" w:rsidRPr="00885178">
        <w:rPr>
          <w:rStyle w:val="longtext"/>
          <w:rFonts w:ascii="Century" w:hAnsi="Century"/>
          <w:noProof/>
          <w:shd w:val="clear" w:color="auto" w:fill="FFFFFF"/>
        </w:rPr>
        <w:t>(Badan Pusat Statistik, 2021)</w:t>
      </w:r>
      <w:r w:rsidR="00885178">
        <w:rPr>
          <w:rStyle w:val="longtext"/>
          <w:rFonts w:ascii="Century" w:hAnsi="Century"/>
          <w:shd w:val="clear" w:color="auto" w:fill="FFFFFF"/>
        </w:rPr>
        <w:fldChar w:fldCharType="end"/>
      </w:r>
      <w:r w:rsidRPr="00192C4C">
        <w:rPr>
          <w:rStyle w:val="longtext"/>
          <w:rFonts w:ascii="Century" w:hAnsi="Century"/>
          <w:shd w:val="clear" w:color="auto" w:fill="FFFFFF"/>
        </w:rPr>
        <w:t xml:space="preserve">. Kelompok tani "Eko Mulyo" mengelola 20 hektar lahan di Dusun Mutihan, namun kondisi irigasi yang buruk dan ketergantungan pada pupuk kimia menjadi kendala utama </w:t>
      </w:r>
      <w:r w:rsidR="00997BA3">
        <w:rPr>
          <w:rStyle w:val="longtext"/>
          <w:rFonts w:ascii="Century" w:hAnsi="Century"/>
          <w:shd w:val="clear" w:color="auto" w:fill="FFFFFF"/>
        </w:rPr>
        <w:fldChar w:fldCharType="begin" w:fldLock="1"/>
      </w:r>
      <w:r w:rsidR="00181384">
        <w:rPr>
          <w:rStyle w:val="longtext"/>
          <w:rFonts w:ascii="Century" w:hAnsi="Century"/>
          <w:shd w:val="clear" w:color="auto" w:fill="FFFFFF"/>
        </w:rPr>
        <w:instrText>ADDIN CSL_CITATION {"citationItems":[{"id":"ITEM-1","itemData":{"author":[{"dropping-particle":"","family":"Pemerintah Desa Madurejo","given":"","non-dropping-particle":"","parse-names":false,"suffix":""}],"container-title":"Sleman: Pemerintah Desa Madurejo.","id":"ITEM-1","issued":{"date-parts":[["2023"]]},"title":"Laporan Tahunan Desa Madurejo","type":"webpage"},"uris":["http://www.mendeley.com/documents/?uuid=7e1aeb44-8a7b-44dc-ab89-9558b08ee712"]}],"mendeley":{"formattedCitation":"(Pemerintah Desa Madurejo, 2023)","plainTextFormattedCitation":"(Pemerintah Desa Madurejo, 2023)","previouslyFormattedCitation":"(Pemerintah Desa Madurejo, 2023)"},"properties":{"noteIndex":0},"schema":"https://github.com/citation-style-language/schema/raw/master/csl-citation.json"}</w:instrText>
      </w:r>
      <w:r w:rsidR="00997BA3">
        <w:rPr>
          <w:rStyle w:val="longtext"/>
          <w:rFonts w:ascii="Century" w:hAnsi="Century"/>
          <w:shd w:val="clear" w:color="auto" w:fill="FFFFFF"/>
        </w:rPr>
        <w:fldChar w:fldCharType="separate"/>
      </w:r>
      <w:r w:rsidR="00997BA3" w:rsidRPr="00997BA3">
        <w:rPr>
          <w:rStyle w:val="longtext"/>
          <w:rFonts w:ascii="Century" w:hAnsi="Century"/>
          <w:noProof/>
          <w:shd w:val="clear" w:color="auto" w:fill="FFFFFF"/>
        </w:rPr>
        <w:t>(Pemerintah Desa Madurejo, 2023)</w:t>
      </w:r>
      <w:r w:rsidR="00997BA3">
        <w:rPr>
          <w:rStyle w:val="longtext"/>
          <w:rFonts w:ascii="Century" w:hAnsi="Century"/>
          <w:shd w:val="clear" w:color="auto" w:fill="FFFFFF"/>
        </w:rPr>
        <w:fldChar w:fldCharType="end"/>
      </w:r>
      <w:r w:rsidRPr="00192C4C">
        <w:rPr>
          <w:rStyle w:val="longtext"/>
          <w:rFonts w:ascii="Century" w:hAnsi="Century"/>
          <w:shd w:val="clear" w:color="auto" w:fill="FFFFFF"/>
        </w:rPr>
        <w:t>. Kondisi geografis yang berombak dan perbukitan menyebabkan sebagian besar wilayah mengalami kekeringan, terutama di musim kemarau</w:t>
      </w:r>
      <w:r w:rsidR="0011297A">
        <w:rPr>
          <w:rStyle w:val="longtext"/>
          <w:rFonts w:ascii="Century" w:hAnsi="Century"/>
          <w:shd w:val="clear" w:color="auto" w:fill="FFFFFF"/>
        </w:rPr>
        <w:t xml:space="preserve"> </w:t>
      </w:r>
      <w:r w:rsidR="0011297A">
        <w:rPr>
          <w:rStyle w:val="longtext"/>
          <w:rFonts w:ascii="Century" w:hAnsi="Century"/>
          <w:shd w:val="clear" w:color="auto" w:fill="FFFFFF"/>
        </w:rPr>
        <w:fldChar w:fldCharType="begin" w:fldLock="1"/>
      </w:r>
      <w:r w:rsidR="00C005E4">
        <w:rPr>
          <w:rStyle w:val="longtext"/>
          <w:rFonts w:ascii="Century" w:hAnsi="Century"/>
          <w:shd w:val="clear" w:color="auto" w:fill="FFFFFF"/>
        </w:rPr>
        <w:instrText>ADDIN CSL_CITATION {"citationItems":[{"id":"ITEM-1","itemData":{"author":[{"dropping-particle":"","family":"Aji","given":"Yogi Tri","non-dropping-particle":"","parse-names":false,"suffix":""},{"dropping-particle":"","family":"Hadibasyir","given":"Hamim Zaky","non-dropping-particle":"","parse-names":false,"suffix":""},{"dropping-particle":"","family":"GIS","given":"M","non-dropping-particle":"","parse-names":false,"suffix":""}],"id":"ITEM-1","issued":{"date-parts":[["2024"]]},"publisher":"Universitas Muhammadiyah Surakarta","title":"Analisis Indeks Potensi Lahan (IPL) Sawah Dengan Pemanfaatan Sistem Informasi Geograis Di Kecamatan Bayat Kabupaten Klaten","type":"article"},"uris":["http://www.mendeley.com/documents/?uuid=5227f378-7d7b-48b1-be06-1310b96b520a"]},{"id":"ITEM-2","itemData":{"author":[{"dropping-particle":"","family":"Rizandy","given":"Muhammad Nizam","non-dropping-particle":"","parse-names":false,"suffix":""}],"id":"ITEM-2","issued":{"date-parts":[["2024"]]},"publisher":"Universitas Islam Indonesia","title":"Analisis Pengaruh Perubahan Tata Guna Lahan Terhadap Debit Limpasan Drainase Kecamatan Depok, Sleman","type":"article"},"uris":["http://www.mendeley.com/documents/?uuid=bda8ebc7-638d-46c8-916e-912818df98a7"]}],"mendeley":{"formattedCitation":"(Aji et al., 2024; Rizandy, 2024)","plainTextFormattedCitation":"(Aji et al., 2024; Rizandy, 2024)","previouslyFormattedCitation":"(Aji et al., 2024; Rizandy, 2024)"},"properties":{"noteIndex":0},"schema":"https://github.com/citation-style-language/schema/raw/master/csl-citation.json"}</w:instrText>
      </w:r>
      <w:r w:rsidR="0011297A">
        <w:rPr>
          <w:rStyle w:val="longtext"/>
          <w:rFonts w:ascii="Century" w:hAnsi="Century"/>
          <w:shd w:val="clear" w:color="auto" w:fill="FFFFFF"/>
        </w:rPr>
        <w:fldChar w:fldCharType="separate"/>
      </w:r>
      <w:r w:rsidR="0011297A" w:rsidRPr="0011297A">
        <w:rPr>
          <w:rStyle w:val="longtext"/>
          <w:rFonts w:ascii="Century" w:hAnsi="Century"/>
          <w:noProof/>
          <w:shd w:val="clear" w:color="auto" w:fill="FFFFFF"/>
        </w:rPr>
        <w:t>(Aji et al., 2024; Rizandy, 2024)</w:t>
      </w:r>
      <w:r w:rsidR="0011297A">
        <w:rPr>
          <w:rStyle w:val="longtext"/>
          <w:rFonts w:ascii="Century" w:hAnsi="Century"/>
          <w:shd w:val="clear" w:color="auto" w:fill="FFFFFF"/>
        </w:rPr>
        <w:fldChar w:fldCharType="end"/>
      </w:r>
      <w:r w:rsidRPr="00192C4C">
        <w:rPr>
          <w:rStyle w:val="longtext"/>
          <w:rFonts w:ascii="Century" w:hAnsi="Century"/>
          <w:shd w:val="clear" w:color="auto" w:fill="FFFFFF"/>
        </w:rPr>
        <w:t xml:space="preserve">. Saluran irigasi yang ada saat ini sudah mengalami kerusakan parah, terutama di wilayah Grembyangan </w:t>
      </w:r>
      <w:r w:rsidR="00181384">
        <w:rPr>
          <w:rStyle w:val="longtext"/>
          <w:rFonts w:ascii="Century" w:hAnsi="Century"/>
          <w:shd w:val="clear" w:color="auto" w:fill="FFFFFF"/>
        </w:rPr>
        <w:fldChar w:fldCharType="begin" w:fldLock="1"/>
      </w:r>
      <w:r w:rsidR="00235920">
        <w:rPr>
          <w:rStyle w:val="longtext"/>
          <w:rFonts w:ascii="Century" w:hAnsi="Century"/>
          <w:shd w:val="clear" w:color="auto" w:fill="FFFFFF"/>
        </w:rPr>
        <w:instrText>ADDIN CSL_CITATION {"citationItems":[{"id":"ITEM-1","itemData":{"ISBN":"6230943026","author":[{"dropping-particle":"","family":"Ramayana","given":"Syamad","non-dropping-particle":"","parse-names":false,"suffix":""}],"id":"ITEM-1","issued":{"date-parts":[["2023"]]},"publisher":"Deepublish","title":"Pembangunan Pertanian Dan Peternakan Berkelanjutan","type":"book"},"uris":["http://www.mendeley.com/documents/?uuid=d08890ad-da70-4fa8-b117-90ae63f5a563"]}],"mendeley":{"formattedCitation":"(Ramayana, 2023)","plainTextFormattedCitation":"(Ramayana, 2023)","previouslyFormattedCitation":"(Ramayana, 2023)"},"properties":{"noteIndex":0},"schema":"https://github.com/citation-style-language/schema/raw/master/csl-citation.json"}</w:instrText>
      </w:r>
      <w:r w:rsidR="00181384">
        <w:rPr>
          <w:rStyle w:val="longtext"/>
          <w:rFonts w:ascii="Century" w:hAnsi="Century"/>
          <w:shd w:val="clear" w:color="auto" w:fill="FFFFFF"/>
        </w:rPr>
        <w:fldChar w:fldCharType="separate"/>
      </w:r>
      <w:r w:rsidR="00181384" w:rsidRPr="00181384">
        <w:rPr>
          <w:rStyle w:val="longtext"/>
          <w:rFonts w:ascii="Century" w:hAnsi="Century"/>
          <w:noProof/>
          <w:shd w:val="clear" w:color="auto" w:fill="FFFFFF"/>
        </w:rPr>
        <w:t>(Ramayana, 2023)</w:t>
      </w:r>
      <w:r w:rsidR="00181384">
        <w:rPr>
          <w:rStyle w:val="longtext"/>
          <w:rFonts w:ascii="Century" w:hAnsi="Century"/>
          <w:shd w:val="clear" w:color="auto" w:fill="FFFFFF"/>
        </w:rPr>
        <w:fldChar w:fldCharType="end"/>
      </w:r>
      <w:r w:rsidRPr="00192C4C">
        <w:rPr>
          <w:rStyle w:val="longtext"/>
          <w:rFonts w:ascii="Century" w:hAnsi="Century"/>
          <w:shd w:val="clear" w:color="auto" w:fill="FFFFFF"/>
        </w:rPr>
        <w:t xml:space="preserve">, di mana talud sepanjang 250 meter rusak </w:t>
      </w:r>
      <w:r w:rsidR="00235920">
        <w:rPr>
          <w:rStyle w:val="longtext"/>
          <w:rFonts w:ascii="Century" w:hAnsi="Century"/>
          <w:shd w:val="clear" w:color="auto" w:fill="FFFFFF"/>
        </w:rPr>
        <w:fldChar w:fldCharType="begin" w:fldLock="1"/>
      </w:r>
      <w:r w:rsidR="0011297A">
        <w:rPr>
          <w:rStyle w:val="longtext"/>
          <w:rFonts w:ascii="Century" w:hAnsi="Century"/>
          <w:shd w:val="clear" w:color="auto" w:fill="FFFFFF"/>
        </w:rPr>
        <w:instrText>ADDIN CSL_CITATION {"citationItems":[{"id":"ITEM-1","itemData":{"ISSN":"1907-2368","author":[{"dropping-particle":"","family":"Nurokhman","given":"Nurokhman","non-dropping-particle":"","parse-names":false,"suffix":""}],"container-title":"Jurnal Teknik Sipil","id":"ITEM-1","issue":"1","issued":{"date-parts":[["2017"]]},"page":"31-49","title":"KAJIAN TINGKAT KEKUMUHAN KAWASAN WARUNGBOTO YOGYAKARTA PERMEN PUPR NOMOR 02 TAHUN 2016","type":"article-journal","volume":"12"},"uris":["http://www.mendeley.com/documents/?uuid=3709ee27-fd12-4bfa-b498-9c8135f65cb6"]}],"mendeley":{"formattedCitation":"(Nurokhman, 2017)","plainTextFormattedCitation":"(Nurokhman, 2017)","previouslyFormattedCitation":"(Nurokhman, 2017)"},"properties":{"noteIndex":0},"schema":"https://github.com/citation-style-language/schema/raw/master/csl-citation.json"}</w:instrText>
      </w:r>
      <w:r w:rsidR="00235920">
        <w:rPr>
          <w:rStyle w:val="longtext"/>
          <w:rFonts w:ascii="Century" w:hAnsi="Century"/>
          <w:shd w:val="clear" w:color="auto" w:fill="FFFFFF"/>
        </w:rPr>
        <w:fldChar w:fldCharType="separate"/>
      </w:r>
      <w:r w:rsidR="00235920" w:rsidRPr="00235920">
        <w:rPr>
          <w:rStyle w:val="longtext"/>
          <w:rFonts w:ascii="Century" w:hAnsi="Century"/>
          <w:noProof/>
          <w:shd w:val="clear" w:color="auto" w:fill="FFFFFF"/>
        </w:rPr>
        <w:t>(Nurokhman, 2017)</w:t>
      </w:r>
      <w:r w:rsidR="00235920">
        <w:rPr>
          <w:rStyle w:val="longtext"/>
          <w:rFonts w:ascii="Century" w:hAnsi="Century"/>
          <w:shd w:val="clear" w:color="auto" w:fill="FFFFFF"/>
        </w:rPr>
        <w:fldChar w:fldCharType="end"/>
      </w:r>
      <w:r w:rsidRPr="00192C4C">
        <w:rPr>
          <w:rStyle w:val="longtext"/>
          <w:rFonts w:ascii="Century" w:hAnsi="Century"/>
          <w:shd w:val="clear" w:color="auto" w:fill="FFFFFF"/>
        </w:rPr>
        <w:t>.</w:t>
      </w:r>
    </w:p>
    <w:p w14:paraId="7E594E09" w14:textId="2AA16096" w:rsidR="00CC4E42" w:rsidRPr="00CC4E42" w:rsidRDefault="00192C4C" w:rsidP="00192C4C">
      <w:pPr>
        <w:pStyle w:val="IEEEParagraph"/>
        <w:spacing w:line="276" w:lineRule="auto"/>
        <w:ind w:firstLine="426"/>
        <w:rPr>
          <w:rStyle w:val="longtext"/>
          <w:rFonts w:ascii="Century" w:hAnsi="Century"/>
          <w:shd w:val="clear" w:color="auto" w:fill="FFFFFF"/>
        </w:rPr>
      </w:pPr>
      <w:r w:rsidRPr="00192C4C">
        <w:rPr>
          <w:rStyle w:val="longtext"/>
          <w:rFonts w:ascii="Century" w:hAnsi="Century"/>
          <w:shd w:val="clear" w:color="auto" w:fill="FFFFFF"/>
        </w:rPr>
        <w:lastRenderedPageBreak/>
        <w:t xml:space="preserve">Selain masalah irigasi, subsidi pupuk dari pemerintah yang berkurang sebesar 50% pada tahun 2023 telah mengurangi akses petani terhadap pupuk kimia </w:t>
      </w:r>
      <w:r w:rsidR="00C005E4">
        <w:rPr>
          <w:rStyle w:val="longtext"/>
          <w:rFonts w:ascii="Century" w:hAnsi="Century"/>
          <w:shd w:val="clear" w:color="auto" w:fill="FFFFFF"/>
        </w:rPr>
        <w:fldChar w:fldCharType="begin" w:fldLock="1"/>
      </w:r>
      <w:r w:rsidR="00455E57">
        <w:rPr>
          <w:rStyle w:val="longtext"/>
          <w:rFonts w:ascii="Century" w:hAnsi="Century"/>
          <w:shd w:val="clear" w:color="auto" w:fill="FFFFFF"/>
        </w:rPr>
        <w:instrText>ADDIN CSL_CITATION {"citationItems":[{"id":"ITEM-1","itemData":{"author":[{"dropping-particle":"","family":"Kementerian Pertanian","given":"","non-dropping-particle":"","parse-names":false,"suffix":""}],"container-title":"Jakarta: Kementerian Pertanian.","id":"ITEM-1","issued":{"date-parts":[["2023"]]},"title":"Panduan Subsidi Pupuk 2023","type":"webpage"},"uris":["http://www.mendeley.com/documents/?uuid=017f8426-b0a9-4381-bfc9-c303dc88d8b4"]}],"mendeley":{"formattedCitation":"(Kementerian Pertanian, 2023)","plainTextFormattedCitation":"(Kementerian Pertanian, 2023)","previouslyFormattedCitation":"(Kementerian Pertanian, 2023)"},"properties":{"noteIndex":0},"schema":"https://github.com/citation-style-language/schema/raw/master/csl-citation.json"}</w:instrText>
      </w:r>
      <w:r w:rsidR="00C005E4">
        <w:rPr>
          <w:rStyle w:val="longtext"/>
          <w:rFonts w:ascii="Century" w:hAnsi="Century"/>
          <w:shd w:val="clear" w:color="auto" w:fill="FFFFFF"/>
        </w:rPr>
        <w:fldChar w:fldCharType="separate"/>
      </w:r>
      <w:r w:rsidR="00C005E4" w:rsidRPr="00C005E4">
        <w:rPr>
          <w:rStyle w:val="longtext"/>
          <w:rFonts w:ascii="Century" w:hAnsi="Century"/>
          <w:noProof/>
          <w:shd w:val="clear" w:color="auto" w:fill="FFFFFF"/>
        </w:rPr>
        <w:t>(Kementerian Pertanian, 2023)</w:t>
      </w:r>
      <w:r w:rsidR="00C005E4">
        <w:rPr>
          <w:rStyle w:val="longtext"/>
          <w:rFonts w:ascii="Century" w:hAnsi="Century"/>
          <w:shd w:val="clear" w:color="auto" w:fill="FFFFFF"/>
        </w:rPr>
        <w:fldChar w:fldCharType="end"/>
      </w:r>
      <w:r w:rsidRPr="00192C4C">
        <w:rPr>
          <w:rStyle w:val="longtext"/>
          <w:rFonts w:ascii="Century" w:hAnsi="Century"/>
          <w:shd w:val="clear" w:color="auto" w:fill="FFFFFF"/>
        </w:rPr>
        <w:t xml:space="preserve">. Sebanyak 12 anggota kelompok tani bahkan tidak mendapatkan subsidi sama sekali karena masalah administrasi </w:t>
      </w:r>
      <w:r w:rsidR="00455E57">
        <w:rPr>
          <w:rStyle w:val="longtext"/>
          <w:rFonts w:ascii="Century" w:hAnsi="Century"/>
          <w:shd w:val="clear" w:color="auto" w:fill="FFFFFF"/>
        </w:rPr>
        <w:fldChar w:fldCharType="begin" w:fldLock="1"/>
      </w:r>
      <w:r w:rsidR="001A3C1F">
        <w:rPr>
          <w:rStyle w:val="longtext"/>
          <w:rFonts w:ascii="Century" w:hAnsi="Century"/>
          <w:shd w:val="clear" w:color="auto" w:fill="FFFFFF"/>
        </w:rPr>
        <w:instrText>ADDIN CSL_CITATION {"citationItems":[{"id":"ITEM-1","itemData":{"ISBN":"623497239X","author":[{"dropping-particle":"","family":"Halim","given":"Ir Abdul","non-dropping-particle":"","parse-names":false,"suffix":""},{"dropping-particle":"","family":"Adab","given":"M P Penerbit","non-dropping-particle":"","parse-names":false,"suffix":""}],"id":"ITEM-1","issued":{"date-parts":[["2023"]]},"publisher":"Penerbit Adab","title":"KARTU TANI DAN PUPUK BERSUBSIDI Kajian Pemanfaatan Pada Kelompok Tani di Kabupaten Maros","type":"book"},"uris":["http://www.mendeley.com/documents/?uuid=be82f5ca-5699-4f91-bf65-7226c25c6ebe"]}],"mendeley":{"formattedCitation":"(Halim &amp; Adab, 2023)","plainTextFormattedCitation":"(Halim &amp; Adab, 2023)","previouslyFormattedCitation":"(Halim &amp; Adab, 2023)"},"properties":{"noteIndex":0},"schema":"https://github.com/citation-style-language/schema/raw/master/csl-citation.json"}</w:instrText>
      </w:r>
      <w:r w:rsidR="00455E57">
        <w:rPr>
          <w:rStyle w:val="longtext"/>
          <w:rFonts w:ascii="Century" w:hAnsi="Century"/>
          <w:shd w:val="clear" w:color="auto" w:fill="FFFFFF"/>
        </w:rPr>
        <w:fldChar w:fldCharType="separate"/>
      </w:r>
      <w:r w:rsidR="00455E57" w:rsidRPr="00455E57">
        <w:rPr>
          <w:rStyle w:val="longtext"/>
          <w:rFonts w:ascii="Century" w:hAnsi="Century"/>
          <w:noProof/>
          <w:shd w:val="clear" w:color="auto" w:fill="FFFFFF"/>
        </w:rPr>
        <w:t>(Halim &amp; Adab, 2023)</w:t>
      </w:r>
      <w:r w:rsidR="00455E57">
        <w:rPr>
          <w:rStyle w:val="longtext"/>
          <w:rFonts w:ascii="Century" w:hAnsi="Century"/>
          <w:shd w:val="clear" w:color="auto" w:fill="FFFFFF"/>
        </w:rPr>
        <w:fldChar w:fldCharType="end"/>
      </w:r>
      <w:r w:rsidRPr="00192C4C">
        <w:rPr>
          <w:rStyle w:val="longtext"/>
          <w:rFonts w:ascii="Century" w:hAnsi="Century"/>
          <w:shd w:val="clear" w:color="auto" w:fill="FFFFFF"/>
        </w:rPr>
        <w:t xml:space="preserve">. Ketergantungan pada pupuk kimia membuat biaya produksi meningkat drastis </w:t>
      </w:r>
      <w:r w:rsidR="001A3C1F">
        <w:rPr>
          <w:rStyle w:val="longtext"/>
          <w:rFonts w:ascii="Century" w:hAnsi="Century"/>
          <w:shd w:val="clear" w:color="auto" w:fill="FFFFFF"/>
        </w:rPr>
        <w:fldChar w:fldCharType="begin" w:fldLock="1"/>
      </w:r>
      <w:r w:rsidR="00652BEE">
        <w:rPr>
          <w:rStyle w:val="longtext"/>
          <w:rFonts w:ascii="Century" w:hAnsi="Century"/>
          <w:shd w:val="clear" w:color="auto" w:fill="FFFFFF"/>
        </w:rPr>
        <w:instrText>ADDIN CSL_CITATION {"citationItems":[{"id":"ITEM-1","itemData":{"author":[{"dropping-particle":"","family":"Susanti","given":"Erni","non-dropping-particle":"","parse-names":false,"suffix":""},{"dropping-particle":"","family":"Surmaini","given":"Elza","non-dropping-particle":"","parse-names":false,"suffix":""},{"dropping-particle":"","family":"Estiningtyas","given":"Woro","non-dropping-particle":"","parse-names":false,"suffix":""}],"container-title":"Jurnal Sumberdaya Lahan","id":"ITEM-1","issue":"1","issued":{"date-parts":[["2018"]]},"page":"59-70","title":"Parameter iklim sebagai indikator peringatan dini serangan hama penyakit tanaman","type":"article-journal","volume":"12"},"uris":["http://www.mendeley.com/documents/?uuid=91aeb9f0-81d9-418e-a690-44e5595548d7"]}],"mendeley":{"formattedCitation":"(Susanti et al., 2018)","plainTextFormattedCitation":"(Susanti et al., 2018)","previouslyFormattedCitation":"(Susanti et al., 2018)"},"properties":{"noteIndex":0},"schema":"https://github.com/citation-style-language/schema/raw/master/csl-citation.json"}</w:instrText>
      </w:r>
      <w:r w:rsidR="001A3C1F">
        <w:rPr>
          <w:rStyle w:val="longtext"/>
          <w:rFonts w:ascii="Century" w:hAnsi="Century"/>
          <w:shd w:val="clear" w:color="auto" w:fill="FFFFFF"/>
        </w:rPr>
        <w:fldChar w:fldCharType="separate"/>
      </w:r>
      <w:r w:rsidR="001A3C1F" w:rsidRPr="001A3C1F">
        <w:rPr>
          <w:rStyle w:val="longtext"/>
          <w:rFonts w:ascii="Century" w:hAnsi="Century"/>
          <w:noProof/>
          <w:shd w:val="clear" w:color="auto" w:fill="FFFFFF"/>
        </w:rPr>
        <w:t>(Susanti et al., 2018)</w:t>
      </w:r>
      <w:r w:rsidR="001A3C1F">
        <w:rPr>
          <w:rStyle w:val="longtext"/>
          <w:rFonts w:ascii="Century" w:hAnsi="Century"/>
          <w:shd w:val="clear" w:color="auto" w:fill="FFFFFF"/>
        </w:rPr>
        <w:fldChar w:fldCharType="end"/>
      </w:r>
      <w:r w:rsidRPr="00192C4C">
        <w:rPr>
          <w:rStyle w:val="longtext"/>
          <w:rFonts w:ascii="Century" w:hAnsi="Century"/>
          <w:shd w:val="clear" w:color="auto" w:fill="FFFFFF"/>
        </w:rPr>
        <w:t xml:space="preserve">, sementara hasil panen menurun akibat kondisi iklim yang kurang menguntungkan dan serangan hama </w:t>
      </w:r>
      <w:r w:rsidR="00652BEE">
        <w:rPr>
          <w:rStyle w:val="longtext"/>
          <w:rFonts w:ascii="Century" w:hAnsi="Century"/>
          <w:shd w:val="clear" w:color="auto" w:fill="FFFFFF"/>
        </w:rPr>
        <w:fldChar w:fldCharType="begin" w:fldLock="1"/>
      </w:r>
      <w:r w:rsidR="0018669A">
        <w:rPr>
          <w:rStyle w:val="longtext"/>
          <w:rFonts w:ascii="Century" w:hAnsi="Century"/>
          <w:shd w:val="clear" w:color="auto" w:fill="FFFFFF"/>
        </w:rPr>
        <w:instrText>ADDIN CSL_CITATION {"citationItems":[{"id":"ITEM-1","itemData":{"ISSN":"2527-5372","author":[{"dropping-particle":"","family":"Estiningtyas","given":"Woro","non-dropping-particle":"","parse-names":false,"suffix":""},{"dropping-particle":"","family":"Syakir","given":"Muhammad","non-dropping-particle":"","parse-names":false,"suffix":""}],"container-title":"Jurnal Meteorologi dan Geofisika","id":"ITEM-1","issue":"2","issued":{"date-parts":[["2018"]]},"title":"Pengaruh perubahan iklim terhadap produksi padi di lahan tadah hujan","type":"article-journal","volume":"18"},"uris":["http://www.mendeley.com/documents/?uuid=ad7a2b48-34ee-4169-bcb1-ceae3d7dd983"]}],"mendeley":{"formattedCitation":"(Estiningtyas &amp; Syakir, 2018)","plainTextFormattedCitation":"(Estiningtyas &amp; Syakir, 2018)","previouslyFormattedCitation":"(Estiningtyas &amp; Syakir, 2018)"},"properties":{"noteIndex":0},"schema":"https://github.com/citation-style-language/schema/raw/master/csl-citation.json"}</w:instrText>
      </w:r>
      <w:r w:rsidR="00652BEE">
        <w:rPr>
          <w:rStyle w:val="longtext"/>
          <w:rFonts w:ascii="Century" w:hAnsi="Century"/>
          <w:shd w:val="clear" w:color="auto" w:fill="FFFFFF"/>
        </w:rPr>
        <w:fldChar w:fldCharType="separate"/>
      </w:r>
      <w:r w:rsidR="00652BEE" w:rsidRPr="00652BEE">
        <w:rPr>
          <w:rStyle w:val="longtext"/>
          <w:rFonts w:ascii="Century" w:hAnsi="Century"/>
          <w:noProof/>
          <w:shd w:val="clear" w:color="auto" w:fill="FFFFFF"/>
        </w:rPr>
        <w:t>(Estiningtyas &amp; Syakir, 2018)</w:t>
      </w:r>
      <w:r w:rsidR="00652BEE">
        <w:rPr>
          <w:rStyle w:val="longtext"/>
          <w:rFonts w:ascii="Century" w:hAnsi="Century"/>
          <w:shd w:val="clear" w:color="auto" w:fill="FFFFFF"/>
        </w:rPr>
        <w:fldChar w:fldCharType="end"/>
      </w:r>
      <w:r w:rsidRPr="00192C4C">
        <w:rPr>
          <w:rStyle w:val="longtext"/>
          <w:rFonts w:ascii="Century" w:hAnsi="Century"/>
          <w:shd w:val="clear" w:color="auto" w:fill="FFFFFF"/>
        </w:rPr>
        <w:t>.</w:t>
      </w:r>
    </w:p>
    <w:p w14:paraId="1BCE1FF7" w14:textId="77B94FC6" w:rsidR="00CC4E42" w:rsidRDefault="00CC4E42" w:rsidP="00E8657D">
      <w:pPr>
        <w:pStyle w:val="IEEEParagraph"/>
        <w:spacing w:line="276" w:lineRule="auto"/>
        <w:ind w:firstLine="426"/>
        <w:rPr>
          <w:rStyle w:val="longtext"/>
          <w:rFonts w:ascii="Century" w:hAnsi="Century"/>
          <w:shd w:val="clear" w:color="auto" w:fill="FFFFFF"/>
        </w:rPr>
      </w:pPr>
      <w:r w:rsidRPr="00CC4E42">
        <w:rPr>
          <w:rStyle w:val="longtext"/>
          <w:rFonts w:ascii="Century" w:hAnsi="Century"/>
          <w:shd w:val="clear" w:color="auto" w:fill="FFFFFF"/>
        </w:rPr>
        <w:t>Tujuan utama dari pelaksanaan kegiatan pengabdian masyarakat ini adalah sebagai berikut:</w:t>
      </w:r>
      <w:r w:rsidR="00CB6573">
        <w:rPr>
          <w:rStyle w:val="longtext"/>
          <w:rFonts w:ascii="Century" w:hAnsi="Century"/>
          <w:shd w:val="clear" w:color="auto" w:fill="FFFFFF"/>
        </w:rPr>
        <w:t xml:space="preserve"> </w:t>
      </w:r>
      <w:r w:rsidRPr="00CC4E42">
        <w:rPr>
          <w:rStyle w:val="longtext"/>
          <w:rFonts w:ascii="Century" w:hAnsi="Century"/>
          <w:shd w:val="clear" w:color="auto" w:fill="FFFFFF"/>
        </w:rPr>
        <w:t>1</w:t>
      </w:r>
      <w:r w:rsidR="00CB6573">
        <w:rPr>
          <w:rStyle w:val="longtext"/>
          <w:rFonts w:ascii="Century" w:hAnsi="Century"/>
          <w:shd w:val="clear" w:color="auto" w:fill="FFFFFF"/>
        </w:rPr>
        <w:t xml:space="preserve">) </w:t>
      </w:r>
      <w:r w:rsidRPr="00CC4E42">
        <w:rPr>
          <w:rStyle w:val="longtext"/>
          <w:rFonts w:ascii="Century" w:hAnsi="Century"/>
          <w:shd w:val="clear" w:color="auto" w:fill="FFFFFF"/>
        </w:rPr>
        <w:t>Pembangunan Talud Irigasi: Membangun talud sepanjang 50 meter di saluran irigasi untuk mengatasi kekurangan air di lahan persawahan kelompok tani "Eko Mulyo". Pembangunan talud ini diharapkan dapat meningkatkan aliran air yang lebih merata ke seluruh lahan, terutama selama musim kemarau.</w:t>
      </w:r>
      <w:r w:rsidR="006C6465">
        <w:rPr>
          <w:rStyle w:val="longtext"/>
          <w:rFonts w:ascii="Century" w:hAnsi="Century"/>
          <w:shd w:val="clear" w:color="auto" w:fill="FFFFFF"/>
        </w:rPr>
        <w:t xml:space="preserve"> 2) </w:t>
      </w:r>
      <w:r w:rsidRPr="00CC4E42">
        <w:rPr>
          <w:rStyle w:val="longtext"/>
          <w:rFonts w:ascii="Century" w:hAnsi="Century"/>
          <w:shd w:val="clear" w:color="auto" w:fill="FFFFFF"/>
        </w:rPr>
        <w:t>Pelatihan Pembuatan Pupuk Organik: Memberikan pelatihan pembuatan pupuk organik dengan memanfaatkan limbah pertanian yang tersedia di sekitar sawah. Pelatihan ini bertujuan untuk mengurangi ketergantungan petani pada pupuk kimia dan membantu menekan biaya produksi.</w:t>
      </w:r>
      <w:r w:rsidR="002F227C">
        <w:rPr>
          <w:rStyle w:val="longtext"/>
          <w:rFonts w:ascii="Century" w:hAnsi="Century"/>
          <w:shd w:val="clear" w:color="auto" w:fill="FFFFFF"/>
        </w:rPr>
        <w:t xml:space="preserve"> 3) </w:t>
      </w:r>
      <w:r w:rsidRPr="00CC4E42">
        <w:rPr>
          <w:rStyle w:val="longtext"/>
          <w:rFonts w:ascii="Century" w:hAnsi="Century"/>
          <w:shd w:val="clear" w:color="auto" w:fill="FFFFFF"/>
        </w:rPr>
        <w:t>Peningkatan Kapasitas Mahasiswa melalui MBKM: Melibatkan mahasiswa dalam pelaksanaan program sebagai bagian dari implementasi Merdeka Belajar Kampus Merdeka (MBKM). Mahasiswa akan mendapatkan pengalaman belajar di luar kampus dan diakui dengan konversi 6 SKS. Ini juga mendukung Indikator Kinerja Utama (IKU) dengan memberikan pengalaman mahasiswa dan dosen di luar kampus.</w:t>
      </w:r>
      <w:r w:rsidRPr="00CC4E42">
        <w:rPr>
          <w:rStyle w:val="longtext"/>
          <w:rFonts w:ascii="Century" w:hAnsi="Century"/>
          <w:shd w:val="clear" w:color="auto" w:fill="FFFFFF"/>
        </w:rPr>
        <w:tab/>
      </w:r>
      <w:r w:rsidR="00E8657D">
        <w:rPr>
          <w:rStyle w:val="longtext"/>
          <w:rFonts w:ascii="Century" w:hAnsi="Century"/>
          <w:shd w:val="clear" w:color="auto" w:fill="FFFFFF"/>
        </w:rPr>
        <w:t xml:space="preserve">Dan 4) </w:t>
      </w:r>
      <w:r w:rsidRPr="00CC4E42">
        <w:rPr>
          <w:rStyle w:val="longtext"/>
          <w:rFonts w:ascii="Century" w:hAnsi="Century"/>
          <w:shd w:val="clear" w:color="auto" w:fill="FFFFFF"/>
        </w:rPr>
        <w:t>Sustainable Development Goals (SDGs): Program ini mendukung pencapaian SDGs pada ketahanan pangan dan pengelolaan air bersih, serta mendorong pertumbuhan ekonomi berkelanjutan melalui inovasi di sektor pertanian dan infrastruktur irigasi.</w:t>
      </w:r>
    </w:p>
    <w:p w14:paraId="4DAD01D0" w14:textId="77777777" w:rsidR="003343DF" w:rsidRPr="003343DF" w:rsidRDefault="003343DF" w:rsidP="003343DF">
      <w:pPr>
        <w:pStyle w:val="IEEEParagraph"/>
        <w:ind w:firstLine="0"/>
        <w:rPr>
          <w:lang w:val="en-US"/>
        </w:rPr>
      </w:pPr>
    </w:p>
    <w:p w14:paraId="012B57CE" w14:textId="77777777" w:rsidR="001218D3" w:rsidRPr="00922A80" w:rsidRDefault="00E70EE3" w:rsidP="0056306F">
      <w:pPr>
        <w:pStyle w:val="IEEEHeading1"/>
        <w:numPr>
          <w:ilvl w:val="0"/>
          <w:numId w:val="11"/>
        </w:numPr>
        <w:spacing w:before="0" w:after="0" w:line="276" w:lineRule="auto"/>
        <w:ind w:left="426" w:hanging="426"/>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76D41D59" w14:textId="28D4B590" w:rsidR="00CC4E42" w:rsidRPr="00CC4E42" w:rsidRDefault="00CC4E42" w:rsidP="00CC4E42">
      <w:pPr>
        <w:pStyle w:val="IEEEParagraph"/>
        <w:spacing w:line="276" w:lineRule="auto"/>
        <w:ind w:firstLine="426"/>
        <w:rPr>
          <w:rStyle w:val="mediumtext"/>
          <w:rFonts w:ascii="Century" w:hAnsi="Century"/>
          <w:shd w:val="clear" w:color="auto" w:fill="FFFFFF"/>
        </w:rPr>
      </w:pPr>
      <w:r w:rsidRPr="00CC4E42">
        <w:rPr>
          <w:rStyle w:val="mediumtext"/>
          <w:rFonts w:ascii="Century" w:hAnsi="Century"/>
          <w:shd w:val="clear" w:color="auto" w:fill="FFFFFF"/>
        </w:rPr>
        <w:t>Program ini dilaksanakan dalam lima tahapan</w:t>
      </w:r>
      <w:r w:rsidR="00F70E82">
        <w:rPr>
          <w:rStyle w:val="mediumtext"/>
          <w:rFonts w:ascii="Century" w:hAnsi="Century"/>
          <w:shd w:val="clear" w:color="auto" w:fill="FFFFFF"/>
        </w:rPr>
        <w:t xml:space="preserve"> (gambar 1)</w:t>
      </w:r>
      <w:r w:rsidRPr="00CC4E42">
        <w:rPr>
          <w:rStyle w:val="mediumtext"/>
          <w:rFonts w:ascii="Century" w:hAnsi="Century"/>
          <w:shd w:val="clear" w:color="auto" w:fill="FFFFFF"/>
        </w:rPr>
        <w:t xml:space="preserve"> sebagai berikut</w:t>
      </w:r>
      <w:r w:rsidR="00EC39E6">
        <w:rPr>
          <w:rStyle w:val="mediumtext"/>
          <w:rFonts w:ascii="Century" w:hAnsi="Century"/>
          <w:shd w:val="clear" w:color="auto" w:fill="FFFFFF"/>
        </w:rPr>
        <w:t>.</w:t>
      </w:r>
    </w:p>
    <w:p w14:paraId="2E55BED2" w14:textId="77777777" w:rsidR="006F7760" w:rsidRPr="006F7760" w:rsidRDefault="00CC4E42" w:rsidP="00A20DB8">
      <w:pPr>
        <w:pStyle w:val="IEEEParagraph"/>
        <w:numPr>
          <w:ilvl w:val="0"/>
          <w:numId w:val="18"/>
        </w:numPr>
        <w:spacing w:line="276" w:lineRule="auto"/>
        <w:ind w:left="851" w:hanging="425"/>
        <w:rPr>
          <w:rStyle w:val="mediumtext"/>
          <w:rFonts w:ascii="Century" w:hAnsi="Century"/>
          <w:shd w:val="clear" w:color="auto" w:fill="FFFFFF"/>
        </w:rPr>
      </w:pPr>
      <w:r w:rsidRPr="00CC4E42">
        <w:rPr>
          <w:rStyle w:val="mediumtext"/>
          <w:rFonts w:ascii="Century" w:hAnsi="Century"/>
          <w:b/>
          <w:shd w:val="clear" w:color="auto" w:fill="FFFFFF"/>
        </w:rPr>
        <w:t>Persiapan dan Sosialisasi</w:t>
      </w:r>
    </w:p>
    <w:p w14:paraId="4276E348" w14:textId="22F50F39" w:rsidR="00CC4E42" w:rsidRPr="00CC4E42" w:rsidRDefault="00CC4E42" w:rsidP="00D6309E">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Diskusi dilakukan melalui Focus Group Discussion (FGD) bersama kelompok tani "Eko Mulyo" untuk menyosialisasikan program. Teknis pembangunan talud dan pelatihan pembuatan pupuk organik dibahas, termasuk identifikasi bahan lokal yang dapat digunakan untuk pembuatan pupuk organik.</w:t>
      </w:r>
    </w:p>
    <w:p w14:paraId="67734E8E" w14:textId="77777777" w:rsidR="005C5F50" w:rsidRPr="005C5F50" w:rsidRDefault="00CC4E42" w:rsidP="005C5F50">
      <w:pPr>
        <w:pStyle w:val="IEEEParagraph"/>
        <w:numPr>
          <w:ilvl w:val="0"/>
          <w:numId w:val="18"/>
        </w:numPr>
        <w:spacing w:line="276" w:lineRule="auto"/>
        <w:ind w:left="851" w:hanging="425"/>
        <w:rPr>
          <w:rStyle w:val="mediumtext"/>
          <w:rFonts w:ascii="Century" w:hAnsi="Century"/>
          <w:shd w:val="clear" w:color="auto" w:fill="FFFFFF"/>
        </w:rPr>
      </w:pPr>
      <w:r w:rsidRPr="00CC4E42">
        <w:rPr>
          <w:rStyle w:val="mediumtext"/>
          <w:rFonts w:ascii="Century" w:hAnsi="Century"/>
          <w:b/>
          <w:shd w:val="clear" w:color="auto" w:fill="FFFFFF"/>
        </w:rPr>
        <w:t>Pelatihan</w:t>
      </w:r>
    </w:p>
    <w:p w14:paraId="65FA2196" w14:textId="43532305" w:rsidR="00CC4E42" w:rsidRPr="00CC4E42" w:rsidRDefault="00CC4E42" w:rsidP="00971096">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 xml:space="preserve">Dilakukan tiga kali pelatihan: dua kali untuk pelatihan pembangunan talud dan satu kali pelatihan pembuatan pupuk organik. Sebelum pelatihan, disusun dua modul, yaitu modul pembuatan talud dan pupuk organik. Modul-modul ini diharapkan dapat membantu </w:t>
      </w:r>
      <w:r w:rsidRPr="00CC4E42">
        <w:rPr>
          <w:rStyle w:val="mediumtext"/>
          <w:rFonts w:ascii="Century" w:hAnsi="Century"/>
          <w:shd w:val="clear" w:color="auto" w:fill="FFFFFF"/>
        </w:rPr>
        <w:lastRenderedPageBreak/>
        <w:t>masyarakat dalam memahami dan menerapkan teknologi yang diperkenalkan.</w:t>
      </w:r>
    </w:p>
    <w:p w14:paraId="63AB8564" w14:textId="77777777" w:rsidR="00BB605C" w:rsidRPr="00BB605C" w:rsidRDefault="00CC4E42" w:rsidP="00BB605C">
      <w:pPr>
        <w:pStyle w:val="IEEEParagraph"/>
        <w:numPr>
          <w:ilvl w:val="0"/>
          <w:numId w:val="18"/>
        </w:numPr>
        <w:spacing w:line="276" w:lineRule="auto"/>
        <w:ind w:left="851" w:hanging="425"/>
        <w:rPr>
          <w:rStyle w:val="mediumtext"/>
          <w:rFonts w:ascii="Century" w:hAnsi="Century"/>
          <w:shd w:val="clear" w:color="auto" w:fill="FFFFFF"/>
        </w:rPr>
      </w:pPr>
      <w:r w:rsidRPr="00CC4E42">
        <w:rPr>
          <w:rStyle w:val="mediumtext"/>
          <w:rFonts w:ascii="Century" w:hAnsi="Century"/>
          <w:b/>
          <w:shd w:val="clear" w:color="auto" w:fill="FFFFFF"/>
        </w:rPr>
        <w:t>Penerapan Teknologi</w:t>
      </w:r>
    </w:p>
    <w:p w14:paraId="47E76EED" w14:textId="252C0E38" w:rsidR="00CC4E42" w:rsidRPr="00CC4E42" w:rsidRDefault="00CC4E42" w:rsidP="00971096">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Pembangunan talud sepanjang 50</w:t>
      </w:r>
      <w:r w:rsidR="00164CA9">
        <w:rPr>
          <w:rStyle w:val="mediumtext"/>
          <w:rFonts w:ascii="Century" w:hAnsi="Century"/>
          <w:shd w:val="clear" w:color="auto" w:fill="FFFFFF"/>
        </w:rPr>
        <w:t xml:space="preserve"> </w:t>
      </w:r>
      <w:r w:rsidRPr="00CC4E42">
        <w:rPr>
          <w:rStyle w:val="mediumtext"/>
          <w:rFonts w:ascii="Century" w:hAnsi="Century"/>
          <w:shd w:val="clear" w:color="auto" w:fill="FFFFFF"/>
        </w:rPr>
        <w:t>meter dilaksanakan dengan kolaborasi antara dosen Teknik Sipil dan kelompok tani. Selain itu, pelatihan pembuatan pupuk organik dilakukan menggunakan bahan lokal dengan alat sederhana. Diharapkan petani dapat menerapkan hasil pelatihan ini di lahan mereka.</w:t>
      </w:r>
    </w:p>
    <w:p w14:paraId="3AEC3A2B" w14:textId="77777777" w:rsidR="003A259A" w:rsidRPr="003A259A" w:rsidRDefault="00CC4E42" w:rsidP="000045CB">
      <w:pPr>
        <w:pStyle w:val="IEEEParagraph"/>
        <w:numPr>
          <w:ilvl w:val="0"/>
          <w:numId w:val="18"/>
        </w:numPr>
        <w:spacing w:line="276" w:lineRule="auto"/>
        <w:ind w:left="851" w:hanging="425"/>
        <w:rPr>
          <w:rStyle w:val="mediumtext"/>
          <w:rFonts w:ascii="Century" w:hAnsi="Century"/>
          <w:shd w:val="clear" w:color="auto" w:fill="FFFFFF"/>
        </w:rPr>
      </w:pPr>
      <w:r w:rsidRPr="00CC4E42">
        <w:rPr>
          <w:rStyle w:val="mediumtext"/>
          <w:rFonts w:ascii="Century" w:hAnsi="Century"/>
          <w:b/>
          <w:shd w:val="clear" w:color="auto" w:fill="FFFFFF"/>
        </w:rPr>
        <w:t>Pendampingan dan Evaluasi</w:t>
      </w:r>
    </w:p>
    <w:p w14:paraId="14976878" w14:textId="36E8227F" w:rsidR="00CC4E42" w:rsidRPr="00CC4E42" w:rsidRDefault="00CC4E42" w:rsidP="00971096">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Setelah pembangunan dan pelatihan, dilakukan pendampingan terhadap petani dalam mengelola irigasi dan pupuk organik. Pendampingan ini dilakukan secara berkala untuk memonitor hasil pembangunan talud dan penerapan pupuk organik. Evaluasi dilakukan untuk mengetahui seberapa jauh program ini telah mencapai tujuannya.</w:t>
      </w:r>
    </w:p>
    <w:p w14:paraId="68D68B28" w14:textId="77777777" w:rsidR="000A3748" w:rsidRPr="000A3748" w:rsidRDefault="00CC4E42" w:rsidP="005C56AC">
      <w:pPr>
        <w:pStyle w:val="IEEEParagraph"/>
        <w:numPr>
          <w:ilvl w:val="0"/>
          <w:numId w:val="18"/>
        </w:numPr>
        <w:spacing w:line="276" w:lineRule="auto"/>
        <w:ind w:left="851" w:hanging="425"/>
        <w:rPr>
          <w:rStyle w:val="mediumtext"/>
          <w:rFonts w:ascii="Century" w:hAnsi="Century"/>
          <w:shd w:val="clear" w:color="auto" w:fill="FFFFFF"/>
        </w:rPr>
      </w:pPr>
      <w:r w:rsidRPr="00CC4E42">
        <w:rPr>
          <w:rStyle w:val="mediumtext"/>
          <w:rFonts w:ascii="Century" w:hAnsi="Century"/>
          <w:b/>
          <w:shd w:val="clear" w:color="auto" w:fill="FFFFFF"/>
        </w:rPr>
        <w:t>Keberlanjutan Program</w:t>
      </w:r>
    </w:p>
    <w:p w14:paraId="110AFA5B" w14:textId="06D6C176" w:rsidR="00CC4E42" w:rsidRPr="00CC4E42" w:rsidRDefault="00CC4E42" w:rsidP="00FA5F10">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Modul pembuatan pupuk organik disebarluaskan kepada petani, dan tim pengabdian tetap menjalin komunikasi dengan kelompok tani untuk memberikan pendampingan lanjutan. Tim juga menghadiri pertemuan kelompok tani untuk mendengarkan umpan balik dan menyempurnakan program</w:t>
      </w:r>
      <w:r w:rsidR="00FA5F10">
        <w:rPr>
          <w:rStyle w:val="mediumtext"/>
          <w:rFonts w:ascii="Century" w:hAnsi="Century"/>
          <w:shd w:val="clear" w:color="auto" w:fill="FFFFFF"/>
        </w:rPr>
        <w:t>.</w:t>
      </w:r>
    </w:p>
    <w:p w14:paraId="6D3336D8" w14:textId="77777777" w:rsidR="008B3D14" w:rsidRPr="00CC4E42" w:rsidRDefault="008B3D14" w:rsidP="00CC4E42">
      <w:pPr>
        <w:pStyle w:val="IEEEParagraph"/>
        <w:spacing w:line="276" w:lineRule="auto"/>
        <w:ind w:firstLine="426"/>
        <w:jc w:val="center"/>
        <w:rPr>
          <w:rStyle w:val="mediumtext"/>
          <w:rFonts w:ascii="Century" w:hAnsi="Century"/>
          <w:shd w:val="clear" w:color="auto" w:fill="FFFFFF"/>
        </w:rPr>
      </w:pPr>
      <w:r>
        <w:rPr>
          <w:rFonts w:ascii="Century" w:hAnsi="Century"/>
          <w:noProof/>
          <w:shd w:val="clear" w:color="auto" w:fill="FFFFFF"/>
          <w:lang w:val="en-US" w:eastAsia="en-US"/>
        </w:rPr>
        <w:drawing>
          <wp:inline distT="0" distB="0" distL="0" distR="0" wp14:anchorId="04428B38" wp14:editId="07E39733">
            <wp:extent cx="3912042" cy="22893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2689" cy="2289727"/>
                    </a:xfrm>
                    <a:prstGeom prst="rect">
                      <a:avLst/>
                    </a:prstGeom>
                    <a:noFill/>
                  </pic:spPr>
                </pic:pic>
              </a:graphicData>
            </a:graphic>
          </wp:inline>
        </w:drawing>
      </w:r>
    </w:p>
    <w:p w14:paraId="60CBE8BD" w14:textId="7518D884" w:rsidR="00CC4E42" w:rsidRDefault="00CC4E42" w:rsidP="00CC4E42">
      <w:pPr>
        <w:pStyle w:val="IEEEParagraph"/>
        <w:spacing w:line="276" w:lineRule="auto"/>
        <w:ind w:firstLine="426"/>
        <w:jc w:val="center"/>
        <w:rPr>
          <w:rStyle w:val="mediumtext"/>
          <w:rFonts w:ascii="Century" w:hAnsi="Century"/>
          <w:shd w:val="clear" w:color="auto" w:fill="FFFFFF"/>
        </w:rPr>
      </w:pPr>
      <w:r w:rsidRPr="00CC4E42">
        <w:rPr>
          <w:rStyle w:val="mediumtext"/>
          <w:rFonts w:ascii="Century" w:hAnsi="Century"/>
          <w:shd w:val="clear" w:color="auto" w:fill="FFFFFF"/>
        </w:rPr>
        <w:t>Gambar 1</w:t>
      </w:r>
      <w:r w:rsidR="00767E06">
        <w:rPr>
          <w:rStyle w:val="mediumtext"/>
          <w:rFonts w:ascii="Century" w:hAnsi="Century"/>
          <w:shd w:val="clear" w:color="auto" w:fill="FFFFFF"/>
        </w:rPr>
        <w:t>.</w:t>
      </w:r>
      <w:r w:rsidRPr="00CC4E42">
        <w:rPr>
          <w:rStyle w:val="mediumtext"/>
          <w:rFonts w:ascii="Century" w:hAnsi="Century"/>
          <w:shd w:val="clear" w:color="auto" w:fill="FFFFFF"/>
        </w:rPr>
        <w:t xml:space="preserve"> Alur pelaksanaan PKM</w:t>
      </w:r>
      <w:r w:rsidR="000C7220">
        <w:rPr>
          <w:rStyle w:val="mediumtext"/>
          <w:rFonts w:ascii="Century" w:hAnsi="Century"/>
          <w:shd w:val="clear" w:color="auto" w:fill="FFFFFF"/>
        </w:rPr>
        <w:t>.</w:t>
      </w:r>
    </w:p>
    <w:p w14:paraId="6A4E9EE9" w14:textId="77777777" w:rsidR="008B3D14" w:rsidRPr="00922A80" w:rsidRDefault="008B3D14" w:rsidP="000377FA">
      <w:pPr>
        <w:pStyle w:val="IEEEParagraph"/>
        <w:spacing w:line="276" w:lineRule="auto"/>
        <w:ind w:firstLine="0"/>
        <w:rPr>
          <w:rFonts w:ascii="Century" w:hAnsi="Century"/>
          <w:lang w:val="sv-SE"/>
        </w:rPr>
      </w:pPr>
    </w:p>
    <w:p w14:paraId="6533532B" w14:textId="77777777" w:rsidR="00E70EE3" w:rsidRPr="00E01DF5" w:rsidRDefault="00E70EE3" w:rsidP="0056306F">
      <w:pPr>
        <w:pStyle w:val="IEEEHeading1"/>
        <w:numPr>
          <w:ilvl w:val="0"/>
          <w:numId w:val="11"/>
        </w:numPr>
        <w:spacing w:before="0" w:after="0" w:line="276" w:lineRule="auto"/>
        <w:ind w:left="426" w:hanging="426"/>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645B9CC7" w14:textId="77777777" w:rsidR="00F935BA" w:rsidRDefault="00CC4E42" w:rsidP="00F935BA">
      <w:pPr>
        <w:pStyle w:val="IEEEParagraph"/>
        <w:spacing w:line="276" w:lineRule="auto"/>
        <w:ind w:firstLine="426"/>
      </w:pPr>
      <w:r w:rsidRPr="00CC4E42">
        <w:rPr>
          <w:rStyle w:val="mediumtext"/>
          <w:rFonts w:ascii="Century" w:hAnsi="Century"/>
          <w:shd w:val="clear" w:color="auto" w:fill="FFFFFF"/>
        </w:rPr>
        <w:t>Pelaksanaan program pengabdian masyarakat ini berhasil mencapai tujuan utamanya, yaitu memperbaiki sistem irigasi melalui pembangunan talud irigasi sepanjang 50 meter dan memberikan pelatihan pembuatan pupuk organik untuk petani kelompok tani "Eko Mulyo." Beberapa hasil signifikan yang dicapai dalam kegiatan ini dapat dirinci sebagai berikut</w:t>
      </w:r>
      <w:r w:rsidR="008833C0">
        <w:t>.</w:t>
      </w:r>
    </w:p>
    <w:p w14:paraId="173D0EDE" w14:textId="6D800C0F" w:rsidR="00CC4E42" w:rsidRPr="008F7A45" w:rsidRDefault="00CC4E42" w:rsidP="00544E66">
      <w:pPr>
        <w:pStyle w:val="IEEEParagraph"/>
        <w:numPr>
          <w:ilvl w:val="0"/>
          <w:numId w:val="19"/>
        </w:numPr>
        <w:spacing w:line="276" w:lineRule="auto"/>
        <w:ind w:left="851" w:hanging="425"/>
        <w:rPr>
          <w:rStyle w:val="mediumtext"/>
          <w:rFonts w:ascii="Century" w:hAnsi="Century"/>
          <w:b/>
          <w:bCs/>
          <w:shd w:val="clear" w:color="auto" w:fill="FFFFFF"/>
        </w:rPr>
      </w:pPr>
      <w:r w:rsidRPr="008F7A45">
        <w:rPr>
          <w:rStyle w:val="mediumtext"/>
          <w:rFonts w:ascii="Century" w:hAnsi="Century"/>
          <w:b/>
          <w:bCs/>
          <w:shd w:val="clear" w:color="auto" w:fill="FFFFFF"/>
        </w:rPr>
        <w:t>Pembangunan Talud Irigasi</w:t>
      </w:r>
    </w:p>
    <w:p w14:paraId="1C700E20"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 xml:space="preserve">Talud irigasi sepanjang 50 meter dibangun dengan menggunakan teknologi beton pracetak berbentuk U. Talud ini dibangun untuk </w:t>
      </w:r>
      <w:r w:rsidRPr="00CC4E42">
        <w:rPr>
          <w:rStyle w:val="mediumtext"/>
          <w:rFonts w:ascii="Century" w:hAnsi="Century"/>
          <w:shd w:val="clear" w:color="auto" w:fill="FFFFFF"/>
        </w:rPr>
        <w:lastRenderedPageBreak/>
        <w:t>menggantikan talud lama yang rusak di saluran irigasi utama, yang sebelumnya menyebabkan kebocoran air sehingga tidak dapat mencapai seluruh lahan sawah secara merata. Berdasarkan hasil monitoring setelah pembangunan, tidak ada lagi kebocoran air yang terdeteksi di sepanjang saluran talud yang baru dibangun. Hasil ini menunjukkan peningkatan efisiensi dalam distribusi air irigasi, yang kini mampu mencukupi kebutuhan pengairan bagi sekitar 12 hektar sawah di wilayah Dusun Mutihan, Madurejo, terutama selama musim kemarau.</w:t>
      </w:r>
    </w:p>
    <w:p w14:paraId="11DAB34D"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Pembangunan talud ini juga berdampak langsung pada peningkatan produktivitas padi, di mana sawah yang sebelumnya hanya bisa ditanami dua kali per tahun kini dapat kembali ditanami hingga tiga kali, mengingat kebutuhan air irigasi telah terpenuhi. Selain itu, kelompok tani juga diberikan pelatihan mengenai pemeliharaan dan optimasi penggunaan talud untuk memastikan keberlanjutan fungsinya di masa depan.</w:t>
      </w:r>
    </w:p>
    <w:p w14:paraId="0E1D4401" w14:textId="77777777" w:rsidR="00CC4E42" w:rsidRPr="00CC4E42" w:rsidRDefault="00CC4E42" w:rsidP="00CC4E42">
      <w:pPr>
        <w:pStyle w:val="IEEEParagraph"/>
        <w:spacing w:line="276" w:lineRule="auto"/>
        <w:ind w:left="426" w:firstLine="425"/>
        <w:jc w:val="center"/>
        <w:rPr>
          <w:rFonts w:eastAsia="Times New Roman"/>
        </w:rPr>
      </w:pPr>
      <w:r>
        <w:rPr>
          <w:noProof/>
          <w:lang w:val="en-US" w:eastAsia="en-US"/>
        </w:rPr>
        <w:drawing>
          <wp:inline distT="0" distB="0" distL="0" distR="0" wp14:anchorId="412C2751" wp14:editId="2936BA42">
            <wp:extent cx="2333767" cy="1750326"/>
            <wp:effectExtent l="0" t="0" r="0" b="2540"/>
            <wp:docPr id="1819767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67078"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349341" cy="1762007"/>
                    </a:xfrm>
                    <a:prstGeom prst="rect">
                      <a:avLst/>
                    </a:prstGeom>
                    <a:noFill/>
                  </pic:spPr>
                </pic:pic>
              </a:graphicData>
            </a:graphic>
          </wp:inline>
        </w:drawing>
      </w:r>
    </w:p>
    <w:p w14:paraId="13C6823A" w14:textId="595ECDB5" w:rsidR="00CC4E42" w:rsidRPr="00CC4E42" w:rsidRDefault="00CC4E42" w:rsidP="00CC4E42">
      <w:pPr>
        <w:pStyle w:val="IEEEParagraph"/>
        <w:spacing w:line="276" w:lineRule="auto"/>
        <w:ind w:left="426" w:firstLine="425"/>
        <w:jc w:val="center"/>
        <w:rPr>
          <w:rFonts w:ascii="Century" w:eastAsia="Times New Roman" w:hAnsi="Century"/>
        </w:rPr>
      </w:pPr>
      <w:r w:rsidRPr="00CC4E42">
        <w:rPr>
          <w:rFonts w:ascii="Century" w:eastAsia="Times New Roman" w:hAnsi="Century"/>
          <w:b/>
          <w:bCs/>
        </w:rPr>
        <w:t>Gambar 2:</w:t>
      </w:r>
      <w:r w:rsidRPr="00CC4E42">
        <w:rPr>
          <w:rFonts w:ascii="Century" w:eastAsia="Times New Roman" w:hAnsi="Century"/>
        </w:rPr>
        <w:t xml:space="preserve"> Proses </w:t>
      </w:r>
      <w:r w:rsidR="00621F95" w:rsidRPr="00CC4E42">
        <w:rPr>
          <w:rFonts w:ascii="Century" w:eastAsia="Times New Roman" w:hAnsi="Century"/>
        </w:rPr>
        <w:t xml:space="preserve">Pembangunan </w:t>
      </w:r>
      <w:r w:rsidRPr="00CC4E42">
        <w:rPr>
          <w:rFonts w:ascii="Century" w:eastAsia="Times New Roman" w:hAnsi="Century"/>
        </w:rPr>
        <w:t>talud.</w:t>
      </w:r>
    </w:p>
    <w:p w14:paraId="417EB6D3" w14:textId="77777777" w:rsidR="00CC4E42" w:rsidRPr="00CC4E42" w:rsidRDefault="00CC4E42" w:rsidP="00763DC4">
      <w:pPr>
        <w:pStyle w:val="IEEEParagraph"/>
        <w:spacing w:line="276" w:lineRule="auto"/>
        <w:ind w:left="426" w:firstLine="425"/>
        <w:jc w:val="center"/>
        <w:rPr>
          <w:rFonts w:ascii="Century" w:eastAsia="Times New Roman" w:hAnsi="Century"/>
        </w:rPr>
      </w:pPr>
      <w:r w:rsidRPr="00CC4E42">
        <w:rPr>
          <w:rFonts w:ascii="Century" w:hAnsi="Century"/>
          <w:noProof/>
          <w:lang w:val="en-US" w:eastAsia="en-US"/>
        </w:rPr>
        <w:drawing>
          <wp:inline distT="0" distB="0" distL="0" distR="0" wp14:anchorId="0306CEB8" wp14:editId="4C3DB15B">
            <wp:extent cx="1760561" cy="2347415"/>
            <wp:effectExtent l="0" t="0" r="0" b="0"/>
            <wp:docPr id="665772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72306"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68074" cy="2357433"/>
                    </a:xfrm>
                    <a:prstGeom prst="rect">
                      <a:avLst/>
                    </a:prstGeom>
                    <a:noFill/>
                    <a:ln>
                      <a:noFill/>
                    </a:ln>
                  </pic:spPr>
                </pic:pic>
              </a:graphicData>
            </a:graphic>
          </wp:inline>
        </w:drawing>
      </w:r>
    </w:p>
    <w:p w14:paraId="353888A1" w14:textId="00A7F077" w:rsidR="00CC4E42" w:rsidRPr="00CC4E42" w:rsidRDefault="00CC4E42" w:rsidP="00880078">
      <w:pPr>
        <w:pStyle w:val="IEEEParagraph"/>
        <w:spacing w:line="276" w:lineRule="auto"/>
        <w:ind w:left="426" w:firstLine="0"/>
        <w:jc w:val="center"/>
        <w:rPr>
          <w:rFonts w:ascii="Century" w:eastAsia="Times New Roman" w:hAnsi="Century"/>
        </w:rPr>
      </w:pPr>
      <w:r w:rsidRPr="00CC4E42">
        <w:rPr>
          <w:rFonts w:ascii="Century" w:eastAsia="Times New Roman" w:hAnsi="Century"/>
          <w:b/>
          <w:bCs/>
        </w:rPr>
        <w:t>Gambar 3:</w:t>
      </w:r>
      <w:r w:rsidRPr="00CC4E42">
        <w:rPr>
          <w:rFonts w:ascii="Century" w:eastAsia="Times New Roman" w:hAnsi="Century"/>
        </w:rPr>
        <w:t xml:space="preserve"> </w:t>
      </w:r>
      <w:r w:rsidR="00C859A6" w:rsidRPr="00CC4E42">
        <w:rPr>
          <w:rFonts w:ascii="Century" w:eastAsia="Times New Roman" w:hAnsi="Century"/>
        </w:rPr>
        <w:t xml:space="preserve">Talud Irigasi </w:t>
      </w:r>
      <w:r w:rsidR="00B7357F" w:rsidRPr="00CC4E42">
        <w:rPr>
          <w:rFonts w:ascii="Century" w:eastAsia="Times New Roman" w:hAnsi="Century"/>
        </w:rPr>
        <w:t xml:space="preserve">yang </w:t>
      </w:r>
      <w:r w:rsidR="00C859A6" w:rsidRPr="00CC4E42">
        <w:rPr>
          <w:rFonts w:ascii="Century" w:eastAsia="Times New Roman" w:hAnsi="Century"/>
        </w:rPr>
        <w:t>Telah Selesai Dibangun, Siap</w:t>
      </w:r>
      <w:r w:rsidR="00DA5C8B">
        <w:rPr>
          <w:rFonts w:ascii="Century" w:eastAsia="Times New Roman" w:hAnsi="Century"/>
        </w:rPr>
        <w:t xml:space="preserve"> </w:t>
      </w:r>
      <w:r w:rsidR="00DF0D7C" w:rsidRPr="00CC4E42">
        <w:rPr>
          <w:rFonts w:ascii="Century" w:eastAsia="Times New Roman" w:hAnsi="Century"/>
        </w:rPr>
        <w:t xml:space="preserve">Digunakan </w:t>
      </w:r>
      <w:r w:rsidR="00F41FD8" w:rsidRPr="00CC4E42">
        <w:rPr>
          <w:rFonts w:ascii="Century" w:eastAsia="Times New Roman" w:hAnsi="Century"/>
        </w:rPr>
        <w:t xml:space="preserve">untuk </w:t>
      </w:r>
      <w:r w:rsidR="003D6632" w:rsidRPr="00CC4E42">
        <w:rPr>
          <w:rFonts w:ascii="Century" w:eastAsia="Times New Roman" w:hAnsi="Century"/>
        </w:rPr>
        <w:t xml:space="preserve">Mengalirkan Air </w:t>
      </w:r>
      <w:r w:rsidR="001C4991" w:rsidRPr="00CC4E42">
        <w:rPr>
          <w:rFonts w:ascii="Century" w:eastAsia="Times New Roman" w:hAnsi="Century"/>
        </w:rPr>
        <w:t xml:space="preserve">ke </w:t>
      </w:r>
      <w:r w:rsidR="003D6632" w:rsidRPr="00CC4E42">
        <w:rPr>
          <w:rFonts w:ascii="Century" w:eastAsia="Times New Roman" w:hAnsi="Century"/>
        </w:rPr>
        <w:t>Sawah.</w:t>
      </w:r>
    </w:p>
    <w:p w14:paraId="54DE695F" w14:textId="77777777" w:rsidR="00CC4E42" w:rsidRPr="00CC4E42" w:rsidRDefault="00CC4E42" w:rsidP="00621F95">
      <w:pPr>
        <w:pStyle w:val="IEEEParagraph"/>
        <w:numPr>
          <w:ilvl w:val="0"/>
          <w:numId w:val="19"/>
        </w:numPr>
        <w:spacing w:line="276" w:lineRule="auto"/>
        <w:ind w:left="851" w:hanging="425"/>
        <w:rPr>
          <w:rFonts w:ascii="Century" w:eastAsia="Times New Roman" w:hAnsi="Century"/>
          <w:b/>
          <w:bCs/>
        </w:rPr>
      </w:pPr>
      <w:r w:rsidRPr="00CC4E42">
        <w:rPr>
          <w:rFonts w:ascii="Century" w:eastAsia="Times New Roman" w:hAnsi="Century"/>
          <w:b/>
          <w:bCs/>
        </w:rPr>
        <w:t>Pelatihan Pembuatan Pupuk Organik</w:t>
      </w:r>
    </w:p>
    <w:p w14:paraId="737D3607"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 xml:space="preserve">Pelatihan pembuatan pupuk organik yang diberikan kepada kelompok tani mendapat sambutan positif. Selama pelatihan, petani diajarkan cara memanfaatkan limbah pertanian seperti jerami yang biasanya dibakar atau dibuang. Dengan memanfaatkan jerami sebagai </w:t>
      </w:r>
      <w:r w:rsidRPr="00CC4E42">
        <w:rPr>
          <w:rStyle w:val="mediumtext"/>
          <w:rFonts w:ascii="Century" w:hAnsi="Century"/>
          <w:shd w:val="clear" w:color="auto" w:fill="FFFFFF"/>
        </w:rPr>
        <w:lastRenderedPageBreak/>
        <w:t>bahan dasar pupuk organik, petani dapat mengurangi biaya yang dihabiskan untuk membeli pupuk kimia, yang selama ini sangat mereka andalkan.</w:t>
      </w:r>
    </w:p>
    <w:p w14:paraId="258EA68D"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Petani kini memiliki keterampilan baru dalam membuat pupuk organik yang ramah lingkungan dan berkelanjutan. Selain itu, pupuk organik yang dihasilkan juga terbukti meningkatkan kualitas tanah dengan menambah kandungan bahan organik, yang sebelumnya terkikis akibat penggunaan pupuk kimia secara berlebihan. Dalam beberapa percobaan yang dilakukan di lahan sawah, kombinasi penggunaan pupuk organik dengan pupuk kimia secara seimbang memberikan hasil yang hampir sama dengan penggunaan pupuk kimia secara penuh, namun dengan biaya yang lebih rendah dan dampak lingkungan yang lebih baik.</w:t>
      </w:r>
    </w:p>
    <w:p w14:paraId="6C983A60"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Dampak jangka panjang dari pelatihan ini adalah peningkatan keberlanjutan pertanian, di mana petani dapat terus memproduksi pupuk organik secara mandiri tanpa tergantung pada subsidi pemerintah yang semakin berkurang. Hal ini juga diharapkan dapat mendorong lebih banyak petani untuk beralih ke praktik pertanian yang lebih ramah lingkungan, sejalan dengan tujuan pembangunan berkelanjutan (</w:t>
      </w:r>
      <w:r w:rsidRPr="00CC0CE3">
        <w:rPr>
          <w:rStyle w:val="mediumtext"/>
          <w:rFonts w:ascii="Century" w:hAnsi="Century"/>
          <w:i/>
          <w:iCs/>
          <w:shd w:val="clear" w:color="auto" w:fill="FFFFFF"/>
        </w:rPr>
        <w:t>Sustainable Development Goals</w:t>
      </w:r>
      <w:r w:rsidRPr="00CC4E42">
        <w:rPr>
          <w:rStyle w:val="mediumtext"/>
          <w:rFonts w:ascii="Century" w:hAnsi="Century"/>
          <w:shd w:val="clear" w:color="auto" w:fill="FFFFFF"/>
        </w:rPr>
        <w:t>).</w:t>
      </w:r>
    </w:p>
    <w:p w14:paraId="270455D6" w14:textId="77777777" w:rsidR="00CC4E42" w:rsidRPr="00CC4E42" w:rsidRDefault="00CC4E42" w:rsidP="00621F95">
      <w:pPr>
        <w:pStyle w:val="IEEEParagraph"/>
        <w:numPr>
          <w:ilvl w:val="0"/>
          <w:numId w:val="19"/>
        </w:numPr>
        <w:spacing w:line="276" w:lineRule="auto"/>
        <w:ind w:left="851" w:hanging="425"/>
        <w:rPr>
          <w:rFonts w:ascii="Century" w:eastAsia="Times New Roman" w:hAnsi="Century"/>
          <w:b/>
          <w:bCs/>
        </w:rPr>
      </w:pPr>
      <w:r w:rsidRPr="00CC4E42">
        <w:rPr>
          <w:rFonts w:ascii="Century" w:eastAsia="Times New Roman" w:hAnsi="Century"/>
          <w:b/>
          <w:bCs/>
        </w:rPr>
        <w:t>Manfaat Tambahan dari Program Pengabdian</w:t>
      </w:r>
    </w:p>
    <w:p w14:paraId="6C5DA804"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Selain mencapai tujuan utama, program ini juga memberikan manfaat tambahan, terutama bagi mahasiswa yang terlibat dalam kegiatan pengabdian masyarakat. Mahasiswa yang ikut dalam program ini mendapatkan pengalaman langsung di lapangan, mulai dari proses perencanaan hingga implementasi pembangunan talud dan pelatihan pembuatan pupuk organik. Keterlibatan mahasiswa ini menjadi bagian dari program Merdeka Belajar Kampus Merdeka (MBKM), yang memungkinkan mereka mendapatkan pengakuan kredit (SKS) dari pengalaman belajar di luar kampus. Selain itu, dosen yang terlibat dalam kegiatan ini juga mendapatkan kesempatan untuk berkegiatan di luar kampus, sesuai dengan Indikator Kinerja Utama (IKU) yang ditetapkan.</w:t>
      </w:r>
    </w:p>
    <w:p w14:paraId="600380E9" w14:textId="77777777" w:rsidR="00CC4E42" w:rsidRPr="00CC4E42" w:rsidRDefault="00CC4E42" w:rsidP="00CC4E42">
      <w:pPr>
        <w:pStyle w:val="IEEEParagraph"/>
        <w:spacing w:line="276" w:lineRule="auto"/>
        <w:ind w:left="426" w:firstLine="425"/>
        <w:rPr>
          <w:rStyle w:val="mediumtext"/>
          <w:rFonts w:ascii="Century" w:hAnsi="Century"/>
          <w:shd w:val="clear" w:color="auto" w:fill="FFFFFF"/>
        </w:rPr>
      </w:pPr>
      <w:r w:rsidRPr="00CC4E42">
        <w:rPr>
          <w:rStyle w:val="mediumtext"/>
          <w:rFonts w:ascii="Century" w:hAnsi="Century"/>
          <w:shd w:val="clear" w:color="auto" w:fill="FFFFFF"/>
        </w:rPr>
        <w:t>Penerapan teknologi irigasi modern dan inovasi pertanian berkelanjutan ini diharapkan dapat menjadi contoh bagi daerah-daerah lain di sekitar Sleman dan bahkan di tingkat nasional. Keberhasilan program ini memperkuat posisi teknologi talud pracetak dan pupuk organik sebagai solusi berkelanjutan untuk masalah irigasi dan ketergantungan pada pupuk kimia di sektor pertanian.</w:t>
      </w:r>
    </w:p>
    <w:p w14:paraId="0175545F" w14:textId="45AAC506" w:rsidR="00E70EE3" w:rsidRDefault="00E70EE3" w:rsidP="00FD691A">
      <w:pPr>
        <w:pStyle w:val="IEEEParagraph"/>
        <w:spacing w:line="276" w:lineRule="auto"/>
        <w:ind w:firstLine="0"/>
        <w:rPr>
          <w:rFonts w:ascii="Century" w:hAnsi="Century"/>
          <w:lang w:val="en-US"/>
        </w:rPr>
      </w:pPr>
    </w:p>
    <w:p w14:paraId="4355493A" w14:textId="39E70BF0" w:rsidR="00BC60EA" w:rsidRDefault="00BC60EA" w:rsidP="00FD691A">
      <w:pPr>
        <w:pStyle w:val="IEEEParagraph"/>
        <w:spacing w:line="276" w:lineRule="auto"/>
        <w:ind w:firstLine="0"/>
        <w:rPr>
          <w:rFonts w:ascii="Century" w:hAnsi="Century"/>
          <w:lang w:val="en-US"/>
        </w:rPr>
      </w:pPr>
    </w:p>
    <w:p w14:paraId="6FC1D62B" w14:textId="77777777" w:rsidR="00BC60EA" w:rsidRPr="00FD691A" w:rsidRDefault="00BC60EA" w:rsidP="00FD691A">
      <w:pPr>
        <w:pStyle w:val="IEEEParagraph"/>
        <w:spacing w:line="276" w:lineRule="auto"/>
        <w:ind w:firstLine="0"/>
        <w:rPr>
          <w:rFonts w:ascii="Century" w:hAnsi="Century"/>
          <w:lang w:val="en-US"/>
        </w:rPr>
      </w:pPr>
    </w:p>
    <w:p w14:paraId="0D327F4E" w14:textId="77777777" w:rsidR="0062033E" w:rsidRPr="000F73AC" w:rsidRDefault="009D2660" w:rsidP="000F73AC">
      <w:pPr>
        <w:pStyle w:val="IEEEHeading2"/>
        <w:numPr>
          <w:ilvl w:val="0"/>
          <w:numId w:val="11"/>
        </w:numPr>
        <w:spacing w:before="0" w:after="0" w:line="276" w:lineRule="auto"/>
        <w:ind w:left="426" w:hanging="426"/>
        <w:rPr>
          <w:rFonts w:ascii="Century" w:hAnsi="Century"/>
          <w:b/>
          <w:i w:val="0"/>
          <w:sz w:val="25"/>
          <w:szCs w:val="25"/>
          <w:lang w:val="en-US"/>
        </w:rPr>
      </w:pPr>
      <w:r w:rsidRPr="000F73AC">
        <w:rPr>
          <w:rFonts w:ascii="Century" w:hAnsi="Century"/>
          <w:b/>
          <w:i w:val="0"/>
          <w:sz w:val="25"/>
          <w:szCs w:val="25"/>
          <w:lang w:val="id-ID"/>
        </w:rPr>
        <w:lastRenderedPageBreak/>
        <w:t xml:space="preserve">SIMPULAN </w:t>
      </w:r>
      <w:r w:rsidR="00F870D3" w:rsidRPr="000F73AC">
        <w:rPr>
          <w:rFonts w:ascii="Century" w:hAnsi="Century"/>
          <w:b/>
          <w:i w:val="0"/>
          <w:sz w:val="25"/>
          <w:szCs w:val="25"/>
          <w:lang w:val="id-ID"/>
        </w:rPr>
        <w:t>DAN</w:t>
      </w:r>
      <w:r w:rsidR="00633178" w:rsidRPr="000F73AC">
        <w:rPr>
          <w:rFonts w:ascii="Century" w:hAnsi="Century"/>
          <w:b/>
          <w:i w:val="0"/>
          <w:sz w:val="25"/>
          <w:szCs w:val="25"/>
          <w:lang w:val="id-ID"/>
        </w:rPr>
        <w:t xml:space="preserve"> SARAN</w:t>
      </w:r>
    </w:p>
    <w:p w14:paraId="654A8F0E" w14:textId="77777777" w:rsidR="008C2E45" w:rsidRPr="008C2E45" w:rsidRDefault="008C2E45" w:rsidP="008C2E45">
      <w:pPr>
        <w:pStyle w:val="IEEEParagraph"/>
        <w:spacing w:line="276" w:lineRule="auto"/>
        <w:ind w:firstLine="426"/>
        <w:rPr>
          <w:rStyle w:val="longtext"/>
          <w:rFonts w:ascii="Century" w:hAnsi="Century"/>
          <w:shd w:val="clear" w:color="auto" w:fill="FFFFFF"/>
          <w:lang w:val="sv-SE"/>
        </w:rPr>
      </w:pPr>
      <w:r w:rsidRPr="008C2E45">
        <w:rPr>
          <w:rStyle w:val="longtext"/>
          <w:rFonts w:ascii="Century" w:hAnsi="Century"/>
          <w:shd w:val="clear" w:color="auto" w:fill="FFFFFF"/>
          <w:lang w:val="sv-SE"/>
        </w:rPr>
        <w:t>Program pengabdian ini berhasil memberikan solusi atas permasalahan irigasi dan ketergantungan pupuk di kelompok tani "Eko Mulyo". Pembangunan talud sepanjang 50 meter meningkatkan ketersediaan air untuk irigasi, sementara pelatihan pembuatan pupuk organik membantu petani mengurangi biaya produksi dan ketergantungan pada pupuk kimia. Keberlanjutan program ini dapat didorong melalui pendampingan lanjutan dan penyempurnaan modul pelatihan yang dapat diakses secara luas oleh petani.</w:t>
      </w:r>
    </w:p>
    <w:p w14:paraId="785EE882" w14:textId="77777777" w:rsidR="00633178" w:rsidRPr="00922A80" w:rsidRDefault="008C2E45" w:rsidP="008C2E45">
      <w:pPr>
        <w:pStyle w:val="IEEEParagraph"/>
        <w:spacing w:line="276" w:lineRule="auto"/>
        <w:ind w:firstLine="426"/>
        <w:rPr>
          <w:rStyle w:val="longtext"/>
          <w:rFonts w:ascii="Century" w:hAnsi="Century"/>
          <w:shd w:val="clear" w:color="auto" w:fill="FFFFFF"/>
          <w:lang w:val="id-ID"/>
        </w:rPr>
      </w:pPr>
      <w:r w:rsidRPr="008C2E45">
        <w:rPr>
          <w:rStyle w:val="longtext"/>
          <w:rFonts w:ascii="Century" w:hAnsi="Century"/>
          <w:shd w:val="clear" w:color="auto" w:fill="FFFFFF"/>
          <w:lang w:val="sv-SE"/>
        </w:rPr>
        <w:t>Dianjurkan kepada pemerintah desa dan instansi terkait untuk melanjutkan pembangunan talud sepanjang 200 meter yang tersisa guna meningkatkan kapasitas irigasi secara keseluruhan. Selain itu, perlu adanya dukungan lebih lanjut dalam bentuk subsidi bahan untuk pembuatan pupuk organik agar petani dapat terus berproduksi secara berkelanjutan.</w:t>
      </w:r>
      <w:r w:rsidR="00DB383B" w:rsidRPr="00922A80">
        <w:rPr>
          <w:rStyle w:val="longtext"/>
          <w:rFonts w:ascii="Century" w:hAnsi="Century"/>
          <w:shd w:val="clear" w:color="auto" w:fill="FFFFFF"/>
          <w:lang w:val="sv-SE"/>
        </w:rPr>
        <w:t>.</w:t>
      </w:r>
    </w:p>
    <w:p w14:paraId="6C0AB245" w14:textId="77777777" w:rsidR="007157B0" w:rsidRPr="005E6E07" w:rsidRDefault="007157B0" w:rsidP="005E6E07">
      <w:pPr>
        <w:pStyle w:val="IEEEParagraph"/>
        <w:spacing w:line="276" w:lineRule="auto"/>
        <w:ind w:firstLine="0"/>
        <w:rPr>
          <w:rFonts w:ascii="Century" w:hAnsi="Century"/>
          <w:lang w:val="en-US"/>
        </w:rPr>
      </w:pPr>
    </w:p>
    <w:p w14:paraId="7165E265"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6CAB3B18" w14:textId="77777777" w:rsidR="00E01DF5" w:rsidRPr="00922A80" w:rsidRDefault="008C2E45" w:rsidP="00BB64E7">
      <w:pPr>
        <w:pStyle w:val="IEEEParagraph"/>
        <w:spacing w:line="276" w:lineRule="auto"/>
        <w:ind w:firstLine="0"/>
        <w:rPr>
          <w:rStyle w:val="longtext"/>
          <w:rFonts w:ascii="Century" w:hAnsi="Century"/>
          <w:shd w:val="clear" w:color="auto" w:fill="FFFFFF"/>
          <w:lang w:val="sv-SE"/>
        </w:rPr>
      </w:pPr>
      <w:r w:rsidRPr="008C2E45">
        <w:rPr>
          <w:rStyle w:val="longtext"/>
          <w:rFonts w:ascii="Century" w:hAnsi="Century"/>
          <w:shd w:val="clear" w:color="auto" w:fill="FFFFFF"/>
          <w:lang w:val="sv-SE"/>
        </w:rPr>
        <w:t>Kami mengucapkan terima kasih kepada Kementerian Pendidikan, Kebudayaan, Riset, dan Teknologi yang telah memberikan dana PKM sehingga kegiatan ini dapat terlaksana, kelompok tani "Eko Mulyo", serta seluruh pihak yang telah mendukung pelaksanaan program ini, baik secara teknis maupun material, sehingga kegiatan</w:t>
      </w:r>
      <w:r>
        <w:rPr>
          <w:rStyle w:val="longtext"/>
          <w:rFonts w:ascii="Century" w:hAnsi="Century"/>
          <w:shd w:val="clear" w:color="auto" w:fill="FFFFFF"/>
          <w:lang w:val="sv-SE"/>
        </w:rPr>
        <w:t xml:space="preserve"> ini dapat berjalan dengan baik</w:t>
      </w:r>
      <w:r w:rsidR="00E01DF5">
        <w:rPr>
          <w:rStyle w:val="longtext"/>
          <w:rFonts w:ascii="Century" w:hAnsi="Century"/>
          <w:shd w:val="clear" w:color="auto" w:fill="FFFFFF"/>
          <w:lang w:val="sv-SE"/>
        </w:rPr>
        <w:t>.</w:t>
      </w:r>
    </w:p>
    <w:p w14:paraId="0006F20C" w14:textId="77777777" w:rsidR="005D79BF" w:rsidRDefault="005D79BF" w:rsidP="00937874">
      <w:pPr>
        <w:pStyle w:val="IEEEParagraph"/>
        <w:spacing w:line="276" w:lineRule="auto"/>
        <w:ind w:firstLine="0"/>
        <w:rPr>
          <w:rFonts w:ascii="Century" w:hAnsi="Century"/>
          <w:lang w:val="sv-SE"/>
        </w:rPr>
      </w:pPr>
    </w:p>
    <w:p w14:paraId="2580603F" w14:textId="77777777"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6410371A" w14:textId="5A12305A" w:rsidR="0018669A" w:rsidRPr="0018669A" w:rsidRDefault="0018669A" w:rsidP="0018669A">
      <w:pPr>
        <w:widowControl w:val="0"/>
        <w:autoSpaceDE w:val="0"/>
        <w:autoSpaceDN w:val="0"/>
        <w:adjustRightInd w:val="0"/>
        <w:ind w:left="480" w:hanging="480"/>
        <w:jc w:val="both"/>
        <w:rPr>
          <w:rFonts w:ascii="Century" w:hAnsi="Century"/>
          <w:noProof/>
          <w:sz w:val="22"/>
        </w:rPr>
      </w:pPr>
      <w:r>
        <w:rPr>
          <w:rFonts w:ascii="Century" w:hAnsi="Century"/>
          <w:noProof/>
          <w:sz w:val="22"/>
        </w:rPr>
        <w:fldChar w:fldCharType="begin" w:fldLock="1"/>
      </w:r>
      <w:r>
        <w:rPr>
          <w:rFonts w:ascii="Century" w:hAnsi="Century"/>
          <w:noProof/>
          <w:sz w:val="22"/>
        </w:rPr>
        <w:instrText xml:space="preserve">ADDIN Mendeley Bibliography CSL_BIBLIOGRAPHY </w:instrText>
      </w:r>
      <w:r>
        <w:rPr>
          <w:rFonts w:ascii="Century" w:hAnsi="Century"/>
          <w:noProof/>
          <w:sz w:val="22"/>
        </w:rPr>
        <w:fldChar w:fldCharType="separate"/>
      </w:r>
      <w:r w:rsidRPr="0018669A">
        <w:rPr>
          <w:rFonts w:ascii="Century" w:hAnsi="Century"/>
          <w:noProof/>
          <w:sz w:val="22"/>
        </w:rPr>
        <w:t xml:space="preserve">Aji, Y. T., Hadibasyir, H. Z., &amp; GIS, M. (2024). </w:t>
      </w:r>
      <w:r w:rsidRPr="0018669A">
        <w:rPr>
          <w:rFonts w:ascii="Century" w:hAnsi="Century"/>
          <w:i/>
          <w:iCs/>
          <w:noProof/>
          <w:sz w:val="22"/>
        </w:rPr>
        <w:t>Analisis Indeks Potensi Lahan (IPL) Sawah Dengan Pemanfaatan Sistem Informasi Geograis Di Kecamatan Bayat Kabupaten Klaten</w:t>
      </w:r>
      <w:r w:rsidRPr="0018669A">
        <w:rPr>
          <w:rFonts w:ascii="Century" w:hAnsi="Century"/>
          <w:noProof/>
          <w:sz w:val="22"/>
        </w:rPr>
        <w:t>. Universitas Muhammadiyah Surakarta.</w:t>
      </w:r>
    </w:p>
    <w:p w14:paraId="5D1ECB11"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Alam, A. R. S., Aryadi, M., Biyatmoko, D., &amp; Satriadi, T. (2012). Persepsi dan Makna Perubahan Iklim terhadap USAha Pertanian: Studi Kasus di Desa Sungai Rangas Tengah Kabupaten Banjar. </w:t>
      </w:r>
      <w:r w:rsidRPr="0018669A">
        <w:rPr>
          <w:rFonts w:ascii="Century" w:hAnsi="Century"/>
          <w:i/>
          <w:iCs/>
          <w:noProof/>
          <w:sz w:val="22"/>
        </w:rPr>
        <w:t>EnviroScienteae</w:t>
      </w:r>
      <w:r w:rsidRPr="0018669A">
        <w:rPr>
          <w:rFonts w:ascii="Century" w:hAnsi="Century"/>
          <w:noProof/>
          <w:sz w:val="22"/>
        </w:rPr>
        <w:t xml:space="preserve">, </w:t>
      </w:r>
      <w:r w:rsidRPr="0018669A">
        <w:rPr>
          <w:rFonts w:ascii="Century" w:hAnsi="Century"/>
          <w:i/>
          <w:iCs/>
          <w:noProof/>
          <w:sz w:val="22"/>
        </w:rPr>
        <w:t>8</w:t>
      </w:r>
      <w:r w:rsidRPr="0018669A">
        <w:rPr>
          <w:rFonts w:ascii="Century" w:hAnsi="Century"/>
          <w:noProof/>
          <w:sz w:val="22"/>
        </w:rPr>
        <w:t>(1), 7–15.</w:t>
      </w:r>
    </w:p>
    <w:p w14:paraId="0161373A"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Badan Pusat Statistik. (2021). </w:t>
      </w:r>
      <w:r w:rsidRPr="0018669A">
        <w:rPr>
          <w:rFonts w:ascii="Century" w:hAnsi="Century"/>
          <w:i/>
          <w:iCs/>
          <w:noProof/>
          <w:sz w:val="22"/>
        </w:rPr>
        <w:t>Statistik Pertanian Tahun 2021</w:t>
      </w:r>
      <w:r w:rsidRPr="0018669A">
        <w:rPr>
          <w:rFonts w:ascii="Century" w:hAnsi="Century"/>
          <w:noProof/>
          <w:sz w:val="22"/>
        </w:rPr>
        <w:t>. Jakarta: BPS.</w:t>
      </w:r>
    </w:p>
    <w:p w14:paraId="09905CB4"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Butomo, K. I., Waluyowati, L. R., &amp; Astuti, A. (2020). Laju Pertumbuhan Lahan Sawah di Kabupaten Sleman. </w:t>
      </w:r>
      <w:r w:rsidRPr="0018669A">
        <w:rPr>
          <w:rFonts w:ascii="Century" w:hAnsi="Century"/>
          <w:i/>
          <w:iCs/>
          <w:noProof/>
          <w:sz w:val="22"/>
        </w:rPr>
        <w:t>Jurnal Ilmiah Agritas</w:t>
      </w:r>
      <w:r w:rsidRPr="0018669A">
        <w:rPr>
          <w:rFonts w:ascii="Century" w:hAnsi="Century"/>
          <w:noProof/>
          <w:sz w:val="22"/>
        </w:rPr>
        <w:t xml:space="preserve">, </w:t>
      </w:r>
      <w:r w:rsidRPr="0018669A">
        <w:rPr>
          <w:rFonts w:ascii="Century" w:hAnsi="Century"/>
          <w:i/>
          <w:iCs/>
          <w:noProof/>
          <w:sz w:val="22"/>
        </w:rPr>
        <w:t>4</w:t>
      </w:r>
      <w:r w:rsidRPr="0018669A">
        <w:rPr>
          <w:rFonts w:ascii="Century" w:hAnsi="Century"/>
          <w:noProof/>
          <w:sz w:val="22"/>
        </w:rPr>
        <w:t>(1), 30–38.</w:t>
      </w:r>
    </w:p>
    <w:p w14:paraId="02411473"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Estiningtyas, W., &amp; Syakir, M. (2018). Pengaruh perubahan iklim terhadap produksi padi di lahan tadah hujan. </w:t>
      </w:r>
      <w:r w:rsidRPr="0018669A">
        <w:rPr>
          <w:rFonts w:ascii="Century" w:hAnsi="Century"/>
          <w:i/>
          <w:iCs/>
          <w:noProof/>
          <w:sz w:val="22"/>
        </w:rPr>
        <w:t>Jurnal Meteorologi Dan Geofisika</w:t>
      </w:r>
      <w:r w:rsidRPr="0018669A">
        <w:rPr>
          <w:rFonts w:ascii="Century" w:hAnsi="Century"/>
          <w:noProof/>
          <w:sz w:val="22"/>
        </w:rPr>
        <w:t xml:space="preserve">, </w:t>
      </w:r>
      <w:r w:rsidRPr="0018669A">
        <w:rPr>
          <w:rFonts w:ascii="Century" w:hAnsi="Century"/>
          <w:i/>
          <w:iCs/>
          <w:noProof/>
          <w:sz w:val="22"/>
        </w:rPr>
        <w:t>18</w:t>
      </w:r>
      <w:r w:rsidRPr="0018669A">
        <w:rPr>
          <w:rFonts w:ascii="Century" w:hAnsi="Century"/>
          <w:noProof/>
          <w:sz w:val="22"/>
        </w:rPr>
        <w:t>(2).</w:t>
      </w:r>
    </w:p>
    <w:p w14:paraId="15BA4174" w14:textId="78ECB7F5"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FIKRI, M. (n.d.). </w:t>
      </w:r>
      <w:r w:rsidR="002C0232" w:rsidRPr="0018669A">
        <w:rPr>
          <w:rFonts w:ascii="Century" w:hAnsi="Century"/>
          <w:i/>
          <w:iCs/>
          <w:noProof/>
          <w:sz w:val="22"/>
        </w:rPr>
        <w:t>Partisipasi Masyarakat dalam Pembangunan Infrastruktur Desa</w:t>
      </w:r>
      <w:r w:rsidR="002C0232" w:rsidRPr="0018669A">
        <w:rPr>
          <w:rFonts w:ascii="Century" w:hAnsi="Century"/>
          <w:noProof/>
          <w:sz w:val="22"/>
        </w:rPr>
        <w:t>.</w:t>
      </w:r>
    </w:p>
    <w:p w14:paraId="256DCDC8" w14:textId="515D711A"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Halim, I. A., &amp; Adab, M. P. P. (2023). </w:t>
      </w:r>
      <w:r w:rsidR="008B300C" w:rsidRPr="0018669A">
        <w:rPr>
          <w:rFonts w:ascii="Century" w:hAnsi="Century"/>
          <w:i/>
          <w:iCs/>
          <w:noProof/>
          <w:sz w:val="22"/>
        </w:rPr>
        <w:t xml:space="preserve">Kartu Tani </w:t>
      </w:r>
      <w:r w:rsidR="00A3311D" w:rsidRPr="0018669A">
        <w:rPr>
          <w:rFonts w:ascii="Century" w:hAnsi="Century"/>
          <w:i/>
          <w:iCs/>
          <w:noProof/>
          <w:sz w:val="22"/>
        </w:rPr>
        <w:t xml:space="preserve">dan </w:t>
      </w:r>
      <w:r w:rsidR="008B300C" w:rsidRPr="0018669A">
        <w:rPr>
          <w:rFonts w:ascii="Century" w:hAnsi="Century"/>
          <w:i/>
          <w:iCs/>
          <w:noProof/>
          <w:sz w:val="22"/>
        </w:rPr>
        <w:t>Pupuk Bersubsidi</w:t>
      </w:r>
      <w:r w:rsidRPr="0018669A">
        <w:rPr>
          <w:rFonts w:ascii="Century" w:hAnsi="Century"/>
          <w:i/>
          <w:iCs/>
          <w:noProof/>
          <w:sz w:val="22"/>
        </w:rPr>
        <w:t xml:space="preserve"> Kajian Pemanfaatan Pada Kelompok Tani di Kabupaten Maros</w:t>
      </w:r>
      <w:r w:rsidRPr="0018669A">
        <w:rPr>
          <w:rFonts w:ascii="Century" w:hAnsi="Century"/>
          <w:noProof/>
          <w:sz w:val="22"/>
        </w:rPr>
        <w:t>. Penerbit Adab.</w:t>
      </w:r>
    </w:p>
    <w:p w14:paraId="007C4132"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Isa, I. (2006). Strategi pengendalian alih fungsi lahan pertanian. </w:t>
      </w:r>
      <w:r w:rsidRPr="0018669A">
        <w:rPr>
          <w:rFonts w:ascii="Century" w:hAnsi="Century"/>
          <w:i/>
          <w:iCs/>
          <w:noProof/>
          <w:sz w:val="22"/>
        </w:rPr>
        <w:t>Prosiding Seminar Multifungsi Dan Revitalisasi Pertanian. Badan Litbang Departemen Pertanian. Ministry of Agriculture, Forestry and Fisheries Japan Dan ASEAN Secretariat. Jakarta</w:t>
      </w:r>
      <w:r w:rsidRPr="0018669A">
        <w:rPr>
          <w:rFonts w:ascii="Century" w:hAnsi="Century"/>
          <w:noProof/>
          <w:sz w:val="22"/>
        </w:rPr>
        <w:t>.</w:t>
      </w:r>
    </w:p>
    <w:p w14:paraId="39DDDA97" w14:textId="1A1BDDBD"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KARUNDENG, M. C., &amp; GOWA, P. P. P. (n.d.). </w:t>
      </w:r>
      <w:r w:rsidR="00247078" w:rsidRPr="0018669A">
        <w:rPr>
          <w:rFonts w:ascii="Century" w:hAnsi="Century"/>
          <w:i/>
          <w:iCs/>
          <w:noProof/>
          <w:sz w:val="22"/>
        </w:rPr>
        <w:t>Respons Petani Terhadap Penerapan Pertanian Organik, Desa Kalukuang, Kecamatan Galesong, Kabupaten Takalar, Provinsi Sulawesi Selatan</w:t>
      </w:r>
      <w:r w:rsidRPr="0018669A">
        <w:rPr>
          <w:rFonts w:ascii="Century" w:hAnsi="Century"/>
          <w:noProof/>
          <w:sz w:val="22"/>
        </w:rPr>
        <w:t>.</w:t>
      </w:r>
    </w:p>
    <w:p w14:paraId="0F17B6A1"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Kementerian Pertanian. (2020). </w:t>
      </w:r>
      <w:r w:rsidRPr="0018669A">
        <w:rPr>
          <w:rFonts w:ascii="Century" w:hAnsi="Century"/>
          <w:i/>
          <w:iCs/>
          <w:noProof/>
          <w:sz w:val="22"/>
        </w:rPr>
        <w:t>Laporan Tahunan Kementerian Pertanian 2020</w:t>
      </w:r>
      <w:r w:rsidRPr="0018669A">
        <w:rPr>
          <w:rFonts w:ascii="Century" w:hAnsi="Century"/>
          <w:noProof/>
          <w:sz w:val="22"/>
        </w:rPr>
        <w:t>. Jakarta: Kementerian Pertanian.</w:t>
      </w:r>
    </w:p>
    <w:p w14:paraId="1BC5E4B4"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lastRenderedPageBreak/>
        <w:t xml:space="preserve">Kementerian Pertanian. (2023). </w:t>
      </w:r>
      <w:r w:rsidRPr="0018669A">
        <w:rPr>
          <w:rFonts w:ascii="Century" w:hAnsi="Century"/>
          <w:i/>
          <w:iCs/>
          <w:noProof/>
          <w:sz w:val="22"/>
        </w:rPr>
        <w:t>Panduan Subsidi Pupuk 2023</w:t>
      </w:r>
      <w:r w:rsidRPr="0018669A">
        <w:rPr>
          <w:rFonts w:ascii="Century" w:hAnsi="Century"/>
          <w:noProof/>
          <w:sz w:val="22"/>
        </w:rPr>
        <w:t>. Jakarta: Kementerian Pertanian.</w:t>
      </w:r>
    </w:p>
    <w:p w14:paraId="11E3994C"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Khudori, K. (2011). Sistem Pertanian Pangan Adaptif Perubahan Iklim. </w:t>
      </w:r>
      <w:r w:rsidRPr="0018669A">
        <w:rPr>
          <w:rFonts w:ascii="Century" w:hAnsi="Century"/>
          <w:i/>
          <w:iCs/>
          <w:noProof/>
          <w:sz w:val="22"/>
        </w:rPr>
        <w:t>JURNAL PANGAN</w:t>
      </w:r>
      <w:r w:rsidRPr="0018669A">
        <w:rPr>
          <w:rFonts w:ascii="Century" w:hAnsi="Century"/>
          <w:noProof/>
          <w:sz w:val="22"/>
        </w:rPr>
        <w:t xml:space="preserve">, </w:t>
      </w:r>
      <w:r w:rsidRPr="0018669A">
        <w:rPr>
          <w:rFonts w:ascii="Century" w:hAnsi="Century"/>
          <w:i/>
          <w:iCs/>
          <w:noProof/>
          <w:sz w:val="22"/>
        </w:rPr>
        <w:t>20</w:t>
      </w:r>
      <w:r w:rsidRPr="0018669A">
        <w:rPr>
          <w:rFonts w:ascii="Century" w:hAnsi="Century"/>
          <w:noProof/>
          <w:sz w:val="22"/>
        </w:rPr>
        <w:t>(2), 105–120.</w:t>
      </w:r>
    </w:p>
    <w:p w14:paraId="637CAC29"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Nugroho, E. W., &amp; Budiani, S. R. (2019). Analisis Keberlanjutan Usahatani Tanaman Mendong Di Kecamatan Minggir Kabupaten Sleman. </w:t>
      </w:r>
      <w:r w:rsidRPr="0018669A">
        <w:rPr>
          <w:rFonts w:ascii="Century" w:hAnsi="Century"/>
          <w:i/>
          <w:iCs/>
          <w:noProof/>
          <w:sz w:val="22"/>
        </w:rPr>
        <w:t>Jurnal Bumi Indonesia</w:t>
      </w:r>
      <w:r w:rsidRPr="0018669A">
        <w:rPr>
          <w:rFonts w:ascii="Century" w:hAnsi="Century"/>
          <w:noProof/>
          <w:sz w:val="22"/>
        </w:rPr>
        <w:t xml:space="preserve">, </w:t>
      </w:r>
      <w:r w:rsidRPr="0018669A">
        <w:rPr>
          <w:rFonts w:ascii="Century" w:hAnsi="Century"/>
          <w:i/>
          <w:iCs/>
          <w:noProof/>
          <w:sz w:val="22"/>
        </w:rPr>
        <w:t>8</w:t>
      </w:r>
      <w:r w:rsidRPr="0018669A">
        <w:rPr>
          <w:rFonts w:ascii="Century" w:hAnsi="Century"/>
          <w:noProof/>
          <w:sz w:val="22"/>
        </w:rPr>
        <w:t>(2).</w:t>
      </w:r>
    </w:p>
    <w:p w14:paraId="40E57989"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Nurjanah, S. (2009). </w:t>
      </w:r>
      <w:r w:rsidRPr="0018669A">
        <w:rPr>
          <w:rFonts w:ascii="Century" w:hAnsi="Century"/>
          <w:i/>
          <w:iCs/>
          <w:noProof/>
          <w:sz w:val="22"/>
        </w:rPr>
        <w:t>Peranan koran masuk desa Kandha raharja dalam menunjang pemberdayaan masyarakat desa Sidokarto, Godean, Sleman, Yogyakarta tahun 1980-1998</w:t>
      </w:r>
      <w:r w:rsidRPr="0018669A">
        <w:rPr>
          <w:rFonts w:ascii="Century" w:hAnsi="Century"/>
          <w:noProof/>
          <w:sz w:val="22"/>
        </w:rPr>
        <w:t>.</w:t>
      </w:r>
    </w:p>
    <w:p w14:paraId="3E74520A" w14:textId="5F5BC9C5"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Nurokhman, N. (2017). </w:t>
      </w:r>
      <w:r w:rsidR="00B67197" w:rsidRPr="0018669A">
        <w:rPr>
          <w:rFonts w:ascii="Century" w:hAnsi="Century"/>
          <w:noProof/>
          <w:sz w:val="22"/>
        </w:rPr>
        <w:t xml:space="preserve">Kajian Tingkat Kekumuhan Kawasan Warungboto Yogyakarta Permen </w:t>
      </w:r>
      <w:r w:rsidR="00F7522F" w:rsidRPr="0018669A">
        <w:rPr>
          <w:rFonts w:ascii="Century" w:hAnsi="Century"/>
          <w:noProof/>
          <w:sz w:val="22"/>
        </w:rPr>
        <w:t xml:space="preserve">PUPR </w:t>
      </w:r>
      <w:r w:rsidR="00B67197" w:rsidRPr="0018669A">
        <w:rPr>
          <w:rFonts w:ascii="Century" w:hAnsi="Century"/>
          <w:noProof/>
          <w:sz w:val="22"/>
        </w:rPr>
        <w:t xml:space="preserve">Nomor 02 </w:t>
      </w:r>
      <w:r w:rsidR="008D0C8A" w:rsidRPr="0018669A">
        <w:rPr>
          <w:rFonts w:ascii="Century" w:hAnsi="Century"/>
          <w:noProof/>
          <w:sz w:val="22"/>
        </w:rPr>
        <w:t xml:space="preserve">tahun </w:t>
      </w:r>
      <w:r w:rsidR="00B67197" w:rsidRPr="0018669A">
        <w:rPr>
          <w:rFonts w:ascii="Century" w:hAnsi="Century"/>
          <w:noProof/>
          <w:sz w:val="22"/>
        </w:rPr>
        <w:t>2016</w:t>
      </w:r>
      <w:r w:rsidRPr="0018669A">
        <w:rPr>
          <w:rFonts w:ascii="Century" w:hAnsi="Century"/>
          <w:noProof/>
          <w:sz w:val="22"/>
        </w:rPr>
        <w:t xml:space="preserve">. </w:t>
      </w:r>
      <w:r w:rsidRPr="0018669A">
        <w:rPr>
          <w:rFonts w:ascii="Century" w:hAnsi="Century"/>
          <w:i/>
          <w:iCs/>
          <w:noProof/>
          <w:sz w:val="22"/>
        </w:rPr>
        <w:t>Jurnal Teknik Sipil</w:t>
      </w:r>
      <w:r w:rsidRPr="0018669A">
        <w:rPr>
          <w:rFonts w:ascii="Century" w:hAnsi="Century"/>
          <w:noProof/>
          <w:sz w:val="22"/>
        </w:rPr>
        <w:t xml:space="preserve">, </w:t>
      </w:r>
      <w:r w:rsidRPr="0018669A">
        <w:rPr>
          <w:rFonts w:ascii="Century" w:hAnsi="Century"/>
          <w:i/>
          <w:iCs/>
          <w:noProof/>
          <w:sz w:val="22"/>
        </w:rPr>
        <w:t>12</w:t>
      </w:r>
      <w:r w:rsidRPr="0018669A">
        <w:rPr>
          <w:rFonts w:ascii="Century" w:hAnsi="Century"/>
          <w:noProof/>
          <w:sz w:val="22"/>
        </w:rPr>
        <w:t>(1), 31–49.</w:t>
      </w:r>
    </w:p>
    <w:p w14:paraId="0F7C183C"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Pemerintah Desa Madurejo. (2023). </w:t>
      </w:r>
      <w:r w:rsidRPr="0018669A">
        <w:rPr>
          <w:rFonts w:ascii="Century" w:hAnsi="Century"/>
          <w:i/>
          <w:iCs/>
          <w:noProof/>
          <w:sz w:val="22"/>
        </w:rPr>
        <w:t>Laporan Tahunan Desa Madurejo</w:t>
      </w:r>
      <w:r w:rsidRPr="0018669A">
        <w:rPr>
          <w:rFonts w:ascii="Century" w:hAnsi="Century"/>
          <w:noProof/>
          <w:sz w:val="22"/>
        </w:rPr>
        <w:t>. Sleman: Pemerintah Desa Madurejo.</w:t>
      </w:r>
    </w:p>
    <w:p w14:paraId="26BA7E08"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Pranata, A. S. (2010). </w:t>
      </w:r>
      <w:r w:rsidRPr="0018669A">
        <w:rPr>
          <w:rFonts w:ascii="Century" w:hAnsi="Century"/>
          <w:i/>
          <w:iCs/>
          <w:noProof/>
          <w:sz w:val="22"/>
        </w:rPr>
        <w:t>Meningkatkan hasil panen dengan pupuk organik</w:t>
      </w:r>
      <w:r w:rsidRPr="0018669A">
        <w:rPr>
          <w:rFonts w:ascii="Century" w:hAnsi="Century"/>
          <w:noProof/>
          <w:sz w:val="22"/>
        </w:rPr>
        <w:t>. AgroMedia.</w:t>
      </w:r>
    </w:p>
    <w:p w14:paraId="5B81B047"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Ramayana, S. (2023). </w:t>
      </w:r>
      <w:r w:rsidRPr="0018669A">
        <w:rPr>
          <w:rFonts w:ascii="Century" w:hAnsi="Century"/>
          <w:i/>
          <w:iCs/>
          <w:noProof/>
          <w:sz w:val="22"/>
        </w:rPr>
        <w:t>Pembangunan Pertanian Dan Peternakan Berkelanjutan</w:t>
      </w:r>
      <w:r w:rsidRPr="0018669A">
        <w:rPr>
          <w:rFonts w:ascii="Century" w:hAnsi="Century"/>
          <w:noProof/>
          <w:sz w:val="22"/>
        </w:rPr>
        <w:t>. Deepublish.</w:t>
      </w:r>
    </w:p>
    <w:p w14:paraId="1954768D"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Rizandy, M. N. (2024). </w:t>
      </w:r>
      <w:r w:rsidRPr="0018669A">
        <w:rPr>
          <w:rFonts w:ascii="Century" w:hAnsi="Century"/>
          <w:i/>
          <w:iCs/>
          <w:noProof/>
          <w:sz w:val="22"/>
        </w:rPr>
        <w:t>Analisis Pengaruh Perubahan Tata Guna Lahan Terhadap Debit Limpasan Drainase Kecamatan Depok, Sleman</w:t>
      </w:r>
      <w:r w:rsidRPr="0018669A">
        <w:rPr>
          <w:rFonts w:ascii="Century" w:hAnsi="Century"/>
          <w:noProof/>
          <w:sz w:val="22"/>
        </w:rPr>
        <w:t>. Universitas Islam Indonesia.</w:t>
      </w:r>
    </w:p>
    <w:p w14:paraId="5854C222"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Siregar, M. (2016). Determinan efisiensi teknis usahatani padi di lahan sawah irigasi. </w:t>
      </w:r>
      <w:r w:rsidRPr="0018669A">
        <w:rPr>
          <w:rFonts w:ascii="Century" w:hAnsi="Century"/>
          <w:i/>
          <w:iCs/>
          <w:noProof/>
          <w:sz w:val="22"/>
        </w:rPr>
        <w:t>Jurnal Agro Ekonomi</w:t>
      </w:r>
      <w:r w:rsidRPr="0018669A">
        <w:rPr>
          <w:rFonts w:ascii="Century" w:hAnsi="Century"/>
          <w:noProof/>
          <w:sz w:val="22"/>
        </w:rPr>
        <w:t xml:space="preserve">, </w:t>
      </w:r>
      <w:r w:rsidRPr="0018669A">
        <w:rPr>
          <w:rFonts w:ascii="Century" w:hAnsi="Century"/>
          <w:i/>
          <w:iCs/>
          <w:noProof/>
          <w:sz w:val="22"/>
        </w:rPr>
        <w:t>21</w:t>
      </w:r>
      <w:r w:rsidRPr="0018669A">
        <w:rPr>
          <w:rFonts w:ascii="Century" w:hAnsi="Century"/>
          <w:noProof/>
          <w:sz w:val="22"/>
        </w:rPr>
        <w:t>(1), 72–96.</w:t>
      </w:r>
    </w:p>
    <w:p w14:paraId="46A8740F"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Sulaiman, D. M. (2018). </w:t>
      </w:r>
      <w:r w:rsidRPr="0018669A">
        <w:rPr>
          <w:rFonts w:ascii="Century" w:hAnsi="Century"/>
          <w:i/>
          <w:iCs/>
          <w:noProof/>
          <w:sz w:val="22"/>
        </w:rPr>
        <w:t>Beton dan Teknologi Pracetak Pada Bangunan Pengamanan Pantai</w:t>
      </w:r>
      <w:r w:rsidRPr="0018669A">
        <w:rPr>
          <w:rFonts w:ascii="Century" w:hAnsi="Century"/>
          <w:noProof/>
          <w:sz w:val="22"/>
        </w:rPr>
        <w:t>. Deepublish.</w:t>
      </w:r>
    </w:p>
    <w:p w14:paraId="477937E5"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Sulistyo, A., Wahyuni, E., Santoso, D., &amp; CCW, D. E. (2024). Kolaborasi LPPM UBT dan mahasiswa KKN melalui pelatihan pembuatan pupuk organik guna mendukung pertanian ramah lingkungan di desa Long Bia. </w:t>
      </w:r>
      <w:r w:rsidRPr="0018669A">
        <w:rPr>
          <w:rFonts w:ascii="Century" w:hAnsi="Century"/>
          <w:i/>
          <w:iCs/>
          <w:noProof/>
          <w:sz w:val="22"/>
        </w:rPr>
        <w:t>SELAPARANG: Jurnal Pengabdian Masyarakat Berkemajuan</w:t>
      </w:r>
      <w:r w:rsidRPr="0018669A">
        <w:rPr>
          <w:rFonts w:ascii="Century" w:hAnsi="Century"/>
          <w:noProof/>
          <w:sz w:val="22"/>
        </w:rPr>
        <w:t xml:space="preserve">, </w:t>
      </w:r>
      <w:r w:rsidRPr="0018669A">
        <w:rPr>
          <w:rFonts w:ascii="Century" w:hAnsi="Century"/>
          <w:i/>
          <w:iCs/>
          <w:noProof/>
          <w:sz w:val="22"/>
        </w:rPr>
        <w:t>8</w:t>
      </w:r>
      <w:r w:rsidRPr="0018669A">
        <w:rPr>
          <w:rFonts w:ascii="Century" w:hAnsi="Century"/>
          <w:noProof/>
          <w:sz w:val="22"/>
        </w:rPr>
        <w:t>(3), 2135–2142.</w:t>
      </w:r>
    </w:p>
    <w:p w14:paraId="10621ADF"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Susanti, E., Surmaini, E., &amp; Estiningtyas, W. (2018). Parameter iklim sebagai indikator peringatan dini serangan hama penyakit tanaman. </w:t>
      </w:r>
      <w:r w:rsidRPr="0018669A">
        <w:rPr>
          <w:rFonts w:ascii="Century" w:hAnsi="Century"/>
          <w:i/>
          <w:iCs/>
          <w:noProof/>
          <w:sz w:val="22"/>
        </w:rPr>
        <w:t>Jurnal Sumberdaya Lahan</w:t>
      </w:r>
      <w:r w:rsidRPr="0018669A">
        <w:rPr>
          <w:rFonts w:ascii="Century" w:hAnsi="Century"/>
          <w:noProof/>
          <w:sz w:val="22"/>
        </w:rPr>
        <w:t xml:space="preserve">, </w:t>
      </w:r>
      <w:r w:rsidRPr="0018669A">
        <w:rPr>
          <w:rFonts w:ascii="Century" w:hAnsi="Century"/>
          <w:i/>
          <w:iCs/>
          <w:noProof/>
          <w:sz w:val="22"/>
        </w:rPr>
        <w:t>12</w:t>
      </w:r>
      <w:r w:rsidRPr="0018669A">
        <w:rPr>
          <w:rFonts w:ascii="Century" w:hAnsi="Century"/>
          <w:noProof/>
          <w:sz w:val="22"/>
        </w:rPr>
        <w:t>(1), 59–70.</w:t>
      </w:r>
    </w:p>
    <w:p w14:paraId="1EAD85DA" w14:textId="77777777" w:rsidR="0018669A" w:rsidRPr="0018669A" w:rsidRDefault="0018669A" w:rsidP="0018669A">
      <w:pPr>
        <w:widowControl w:val="0"/>
        <w:autoSpaceDE w:val="0"/>
        <w:autoSpaceDN w:val="0"/>
        <w:adjustRightInd w:val="0"/>
        <w:ind w:left="480" w:hanging="480"/>
        <w:jc w:val="both"/>
        <w:rPr>
          <w:rFonts w:ascii="Century" w:hAnsi="Century"/>
          <w:noProof/>
          <w:sz w:val="22"/>
        </w:rPr>
      </w:pPr>
      <w:r w:rsidRPr="0018669A">
        <w:rPr>
          <w:rFonts w:ascii="Century" w:hAnsi="Century"/>
          <w:noProof/>
          <w:sz w:val="22"/>
        </w:rPr>
        <w:t xml:space="preserve">Triyono, T., Mulyo, J. H., Masyhuri, M., &amp; Jamhari, J. (2016). Pengaruh Karakteristik Struktural dan Manajerial Terhadap Efisiensi Usahatani Padi di Kabupaten Sleman. </w:t>
      </w:r>
      <w:r w:rsidRPr="0018669A">
        <w:rPr>
          <w:rFonts w:ascii="Century" w:hAnsi="Century"/>
          <w:i/>
          <w:iCs/>
          <w:noProof/>
          <w:sz w:val="22"/>
        </w:rPr>
        <w:t>AGRARIS: Journal of Agribusiness and Rural Development Research</w:t>
      </w:r>
      <w:r w:rsidRPr="0018669A">
        <w:rPr>
          <w:rFonts w:ascii="Century" w:hAnsi="Century"/>
          <w:noProof/>
          <w:sz w:val="22"/>
        </w:rPr>
        <w:t xml:space="preserve">, </w:t>
      </w:r>
      <w:r w:rsidRPr="0018669A">
        <w:rPr>
          <w:rFonts w:ascii="Century" w:hAnsi="Century"/>
          <w:i/>
          <w:iCs/>
          <w:noProof/>
          <w:sz w:val="22"/>
        </w:rPr>
        <w:t>2</w:t>
      </w:r>
      <w:r w:rsidRPr="0018669A">
        <w:rPr>
          <w:rFonts w:ascii="Century" w:hAnsi="Century"/>
          <w:noProof/>
          <w:sz w:val="22"/>
        </w:rPr>
        <w:t>(1), 1–8.</w:t>
      </w:r>
    </w:p>
    <w:p w14:paraId="024D61D4" w14:textId="27253941" w:rsidR="00192C4C" w:rsidRDefault="0018669A" w:rsidP="00C30FE7">
      <w:pPr>
        <w:widowControl w:val="0"/>
        <w:autoSpaceDE w:val="0"/>
        <w:autoSpaceDN w:val="0"/>
        <w:adjustRightInd w:val="0"/>
        <w:ind w:left="480" w:hanging="480"/>
        <w:jc w:val="both"/>
        <w:rPr>
          <w:rFonts w:ascii="Century" w:hAnsi="Century"/>
          <w:noProof/>
          <w:sz w:val="22"/>
        </w:rPr>
      </w:pPr>
      <w:r>
        <w:rPr>
          <w:rFonts w:ascii="Century" w:hAnsi="Century"/>
          <w:noProof/>
          <w:sz w:val="22"/>
        </w:rPr>
        <w:fldChar w:fldCharType="end"/>
      </w:r>
    </w:p>
    <w:p w14:paraId="6DAEA6A7" w14:textId="77777777" w:rsidR="005F45B1" w:rsidRDefault="005F45B1" w:rsidP="005F45B1">
      <w:pPr>
        <w:pStyle w:val="References"/>
        <w:spacing w:line="276" w:lineRule="auto"/>
        <w:rPr>
          <w:rFonts w:ascii="Century" w:hAnsi="Century"/>
          <w:b/>
          <w:sz w:val="25"/>
          <w:szCs w:val="25"/>
          <w:lang w:val="id-ID"/>
        </w:rPr>
      </w:pPr>
      <w:r>
        <w:rPr>
          <w:rFonts w:ascii="Century" w:hAnsi="Century"/>
          <w:b/>
          <w:sz w:val="25"/>
          <w:szCs w:val="25"/>
          <w:lang w:val="id-ID"/>
        </w:rPr>
        <w:t>DOKUMENTASI KEGIATAN</w:t>
      </w:r>
    </w:p>
    <w:p w14:paraId="603C4E0D" w14:textId="77777777" w:rsidR="00066899" w:rsidRDefault="00066899" w:rsidP="005F45B1">
      <w:pPr>
        <w:pStyle w:val="References"/>
        <w:spacing w:line="276" w:lineRule="auto"/>
        <w:rPr>
          <w:rFonts w:ascii="Century" w:hAnsi="Century"/>
          <w:sz w:val="25"/>
          <w:szCs w:val="25"/>
        </w:r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005"/>
      </w:tblGrid>
      <w:tr w:rsidR="00CB4701" w:rsidRPr="00CB4701" w14:paraId="420CFFD4" w14:textId="77777777" w:rsidTr="007157B0">
        <w:tc>
          <w:tcPr>
            <w:tcW w:w="4360" w:type="dxa"/>
          </w:tcPr>
          <w:p w14:paraId="048B4389" w14:textId="77777777" w:rsidR="00CB4701" w:rsidRPr="00B72B19" w:rsidRDefault="00066899" w:rsidP="00CB4701">
            <w:pPr>
              <w:pStyle w:val="References"/>
              <w:spacing w:line="276" w:lineRule="auto"/>
              <w:jc w:val="center"/>
              <w:rPr>
                <w:rFonts w:ascii="Century" w:hAnsi="Century"/>
                <w:b/>
                <w:sz w:val="20"/>
                <w:szCs w:val="20"/>
              </w:rPr>
            </w:pPr>
            <w:r>
              <w:rPr>
                <w:rFonts w:ascii="Calibri" w:eastAsia="Calibri" w:hAnsi="Calibri" w:cs="Calibri"/>
                <w:noProof/>
                <w:sz w:val="21"/>
                <w:szCs w:val="21"/>
              </w:rPr>
              <w:drawing>
                <wp:inline distT="0" distB="0" distL="0" distR="0" wp14:anchorId="0C8C1BF5" wp14:editId="76193A87">
                  <wp:extent cx="2344810" cy="1304014"/>
                  <wp:effectExtent l="0" t="0" r="0" b="0"/>
                  <wp:docPr id="9" name="Picture 9" descr="C:\Users\user\Downloads\WhatsApp Image 2024-09-24 at 11.3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9-24 at 11.30.0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0455" cy="1307153"/>
                          </a:xfrm>
                          <a:prstGeom prst="rect">
                            <a:avLst/>
                          </a:prstGeom>
                          <a:noFill/>
                          <a:ln>
                            <a:noFill/>
                          </a:ln>
                        </pic:spPr>
                      </pic:pic>
                    </a:graphicData>
                  </a:graphic>
                </wp:inline>
              </w:drawing>
            </w:r>
          </w:p>
        </w:tc>
        <w:tc>
          <w:tcPr>
            <w:tcW w:w="4145" w:type="dxa"/>
          </w:tcPr>
          <w:p w14:paraId="6DAA8714" w14:textId="77777777" w:rsidR="00CB4701" w:rsidRPr="00CB4701" w:rsidRDefault="00066899" w:rsidP="00CB4701">
            <w:pPr>
              <w:pStyle w:val="References"/>
              <w:spacing w:line="276" w:lineRule="auto"/>
              <w:jc w:val="center"/>
              <w:rPr>
                <w:rFonts w:ascii="Century" w:hAnsi="Century"/>
                <w:b/>
                <w:sz w:val="20"/>
                <w:szCs w:val="20"/>
              </w:rPr>
            </w:pPr>
            <w:r>
              <w:rPr>
                <w:rFonts w:ascii="Calibri" w:eastAsia="Calibri" w:hAnsi="Calibri" w:cs="Calibri"/>
                <w:noProof/>
                <w:sz w:val="21"/>
                <w:szCs w:val="21"/>
              </w:rPr>
              <w:drawing>
                <wp:inline distT="0" distB="0" distL="0" distR="0" wp14:anchorId="40E7338C" wp14:editId="00B147EC">
                  <wp:extent cx="2406306" cy="1380144"/>
                  <wp:effectExtent l="0" t="0" r="0" b="0"/>
                  <wp:docPr id="8" name="Picture 8" descr="C:\Users\user\Downloads\WhatsApp Image 2024-09-24 at 11.30.0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9-24 at 11.30.01 (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6306" cy="1380144"/>
                          </a:xfrm>
                          <a:prstGeom prst="rect">
                            <a:avLst/>
                          </a:prstGeom>
                          <a:noFill/>
                          <a:ln>
                            <a:noFill/>
                          </a:ln>
                        </pic:spPr>
                      </pic:pic>
                    </a:graphicData>
                  </a:graphic>
                </wp:inline>
              </w:drawing>
            </w:r>
          </w:p>
        </w:tc>
      </w:tr>
      <w:tr w:rsidR="00CB4701" w:rsidRPr="00CB4701" w14:paraId="2B761D0B" w14:textId="77777777" w:rsidTr="007157B0">
        <w:tc>
          <w:tcPr>
            <w:tcW w:w="4360" w:type="dxa"/>
          </w:tcPr>
          <w:p w14:paraId="07BF41B5" w14:textId="1A71BB25" w:rsidR="00CB4701" w:rsidRPr="00B72B19" w:rsidRDefault="00037551" w:rsidP="00CB4701">
            <w:pPr>
              <w:pStyle w:val="References"/>
              <w:spacing w:line="276" w:lineRule="auto"/>
              <w:jc w:val="center"/>
              <w:rPr>
                <w:rFonts w:ascii="Century" w:hAnsi="Century"/>
                <w:sz w:val="20"/>
                <w:szCs w:val="20"/>
              </w:rPr>
            </w:pPr>
            <w:r w:rsidRPr="00E47304">
              <w:rPr>
                <w:rFonts w:ascii="Century" w:hAnsi="Century"/>
                <w:b/>
                <w:bCs/>
                <w:sz w:val="20"/>
                <w:szCs w:val="20"/>
              </w:rPr>
              <w:t>Gamb</w:t>
            </w:r>
            <w:r w:rsidR="00E47304" w:rsidRPr="00E47304">
              <w:rPr>
                <w:rFonts w:ascii="Century" w:hAnsi="Century"/>
                <w:b/>
                <w:bCs/>
                <w:sz w:val="20"/>
                <w:szCs w:val="20"/>
              </w:rPr>
              <w:t>a</w:t>
            </w:r>
            <w:r w:rsidRPr="00E47304">
              <w:rPr>
                <w:rFonts w:ascii="Century" w:hAnsi="Century"/>
                <w:b/>
                <w:bCs/>
                <w:sz w:val="20"/>
                <w:szCs w:val="20"/>
              </w:rPr>
              <w:t>r 2.</w:t>
            </w:r>
            <w:r>
              <w:rPr>
                <w:rFonts w:ascii="Century" w:hAnsi="Century"/>
                <w:sz w:val="20"/>
                <w:szCs w:val="20"/>
              </w:rPr>
              <w:t xml:space="preserve"> </w:t>
            </w:r>
            <w:r w:rsidR="008406AE">
              <w:rPr>
                <w:rFonts w:ascii="Century" w:hAnsi="Century"/>
                <w:sz w:val="20"/>
                <w:szCs w:val="20"/>
              </w:rPr>
              <w:t>Sosialisasi dengan KT di Mutihan, Madurejo</w:t>
            </w:r>
            <w:r w:rsidR="00202DB3">
              <w:rPr>
                <w:rFonts w:ascii="Century" w:hAnsi="Century"/>
                <w:sz w:val="20"/>
                <w:szCs w:val="20"/>
              </w:rPr>
              <w:t>.</w:t>
            </w:r>
          </w:p>
        </w:tc>
        <w:tc>
          <w:tcPr>
            <w:tcW w:w="4145" w:type="dxa"/>
          </w:tcPr>
          <w:p w14:paraId="4F48807D" w14:textId="38529186" w:rsidR="00CB4701" w:rsidRPr="00CB4701" w:rsidRDefault="002D398E" w:rsidP="00CB4701">
            <w:pPr>
              <w:pStyle w:val="References"/>
              <w:spacing w:line="276" w:lineRule="auto"/>
              <w:jc w:val="center"/>
              <w:rPr>
                <w:rFonts w:ascii="Century" w:hAnsi="Century"/>
                <w:sz w:val="20"/>
                <w:szCs w:val="20"/>
              </w:rPr>
            </w:pPr>
            <w:r w:rsidRPr="006B1266">
              <w:rPr>
                <w:rFonts w:ascii="Century" w:hAnsi="Century"/>
                <w:b/>
                <w:bCs/>
                <w:sz w:val="20"/>
                <w:szCs w:val="20"/>
              </w:rPr>
              <w:t>Gambar 3.</w:t>
            </w:r>
            <w:r>
              <w:rPr>
                <w:rFonts w:ascii="Century" w:hAnsi="Century"/>
                <w:sz w:val="20"/>
                <w:szCs w:val="20"/>
              </w:rPr>
              <w:t xml:space="preserve"> </w:t>
            </w:r>
            <w:r w:rsidR="008406AE">
              <w:rPr>
                <w:rFonts w:ascii="Century" w:hAnsi="Century"/>
                <w:sz w:val="20"/>
                <w:szCs w:val="20"/>
              </w:rPr>
              <w:t>Proses Pembangunan Talud</w:t>
            </w:r>
            <w:r w:rsidR="00533E8F">
              <w:rPr>
                <w:rFonts w:ascii="Century" w:hAnsi="Century"/>
                <w:sz w:val="20"/>
                <w:szCs w:val="20"/>
              </w:rPr>
              <w:t>.</w:t>
            </w:r>
          </w:p>
        </w:tc>
      </w:tr>
      <w:tr w:rsidR="00CB4701" w:rsidRPr="00CB4701" w14:paraId="4AD63B03" w14:textId="77777777" w:rsidTr="007157B0">
        <w:tc>
          <w:tcPr>
            <w:tcW w:w="4360" w:type="dxa"/>
          </w:tcPr>
          <w:p w14:paraId="6D44FC78" w14:textId="77777777" w:rsidR="00CB4701" w:rsidRPr="00B72B19" w:rsidRDefault="00763DC4" w:rsidP="00763DC4">
            <w:pPr>
              <w:pStyle w:val="References"/>
              <w:tabs>
                <w:tab w:val="left" w:pos="3168"/>
              </w:tabs>
              <w:spacing w:line="276" w:lineRule="auto"/>
              <w:rPr>
                <w:rFonts w:ascii="Century" w:hAnsi="Century"/>
                <w:sz w:val="20"/>
                <w:szCs w:val="20"/>
              </w:rPr>
            </w:pPr>
            <w:r>
              <w:rPr>
                <w:rFonts w:ascii="Century" w:hAnsi="Century"/>
                <w:sz w:val="20"/>
                <w:szCs w:val="20"/>
              </w:rPr>
              <w:tab/>
            </w:r>
          </w:p>
        </w:tc>
        <w:tc>
          <w:tcPr>
            <w:tcW w:w="4145" w:type="dxa"/>
          </w:tcPr>
          <w:p w14:paraId="0A9680C2" w14:textId="77777777" w:rsidR="00CB4701" w:rsidRPr="00CB4701" w:rsidRDefault="00CB4701" w:rsidP="005F45B1">
            <w:pPr>
              <w:pStyle w:val="References"/>
              <w:spacing w:line="276" w:lineRule="auto"/>
              <w:rPr>
                <w:rFonts w:ascii="Century" w:hAnsi="Century"/>
                <w:sz w:val="20"/>
                <w:szCs w:val="20"/>
              </w:rPr>
            </w:pPr>
          </w:p>
        </w:tc>
      </w:tr>
      <w:tr w:rsidR="001A1124" w:rsidRPr="00CB4701" w14:paraId="69997BC2" w14:textId="77777777" w:rsidTr="007157B0">
        <w:tc>
          <w:tcPr>
            <w:tcW w:w="4360" w:type="dxa"/>
          </w:tcPr>
          <w:p w14:paraId="17A2C632" w14:textId="77777777" w:rsidR="001A1124" w:rsidRPr="00B72B19" w:rsidRDefault="008406AE" w:rsidP="001A1124">
            <w:pPr>
              <w:pStyle w:val="References"/>
              <w:spacing w:line="276" w:lineRule="auto"/>
              <w:jc w:val="center"/>
              <w:rPr>
                <w:rFonts w:ascii="Century" w:hAnsi="Century"/>
                <w:b/>
                <w:sz w:val="20"/>
                <w:szCs w:val="20"/>
              </w:rPr>
            </w:pPr>
            <w:r>
              <w:rPr>
                <w:rFonts w:ascii="Century" w:hAnsi="Century"/>
                <w:b/>
                <w:noProof/>
                <w:sz w:val="20"/>
                <w:szCs w:val="20"/>
              </w:rPr>
              <w:lastRenderedPageBreak/>
              <w:drawing>
                <wp:inline distT="0" distB="0" distL="0" distR="0" wp14:anchorId="2C20D5D8" wp14:editId="02B88049">
                  <wp:extent cx="2759102" cy="1585365"/>
                  <wp:effectExtent l="0" t="0" r="0" b="0"/>
                  <wp:docPr id="7" name="Picture 7" descr="C:\Users\user\Downloads\WhatsApp Image 2024-09-24 at 11.30.0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9-24 at 11.30.01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0540" cy="1586191"/>
                          </a:xfrm>
                          <a:prstGeom prst="rect">
                            <a:avLst/>
                          </a:prstGeom>
                          <a:noFill/>
                          <a:ln>
                            <a:noFill/>
                          </a:ln>
                        </pic:spPr>
                      </pic:pic>
                    </a:graphicData>
                  </a:graphic>
                </wp:inline>
              </w:drawing>
            </w:r>
          </w:p>
        </w:tc>
        <w:tc>
          <w:tcPr>
            <w:tcW w:w="4145" w:type="dxa"/>
          </w:tcPr>
          <w:p w14:paraId="5A9A396A" w14:textId="77777777" w:rsidR="001A1124" w:rsidRPr="00CB4701" w:rsidRDefault="008406AE" w:rsidP="001A1124">
            <w:pPr>
              <w:pStyle w:val="References"/>
              <w:spacing w:line="276" w:lineRule="auto"/>
              <w:jc w:val="center"/>
              <w:rPr>
                <w:rFonts w:ascii="Century" w:hAnsi="Century"/>
                <w:b/>
                <w:sz w:val="20"/>
                <w:szCs w:val="20"/>
              </w:rPr>
            </w:pPr>
            <w:r w:rsidRPr="00CC4E42">
              <w:rPr>
                <w:rFonts w:ascii="Century" w:hAnsi="Century"/>
                <w:noProof/>
              </w:rPr>
              <w:drawing>
                <wp:inline distT="0" distB="0" distL="0" distR="0" wp14:anchorId="7B1E3410" wp14:editId="50C05392">
                  <wp:extent cx="2406594" cy="1598212"/>
                  <wp:effectExtent l="0" t="0" r="0" b="0"/>
                  <wp:docPr id="13845250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25050" name="Picture 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1454"/>
                          <a:stretch/>
                        </pic:blipFill>
                        <pic:spPr bwMode="auto">
                          <a:xfrm>
                            <a:off x="0" y="0"/>
                            <a:ext cx="2409243" cy="15999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A1124" w:rsidRPr="00CB4701" w14:paraId="29848686" w14:textId="77777777" w:rsidTr="007157B0">
        <w:tc>
          <w:tcPr>
            <w:tcW w:w="4360" w:type="dxa"/>
          </w:tcPr>
          <w:p w14:paraId="402DC307" w14:textId="47CB3FCB" w:rsidR="001A1124" w:rsidRPr="00B72B19" w:rsidRDefault="000A6B6B" w:rsidP="001A1124">
            <w:pPr>
              <w:pStyle w:val="References"/>
              <w:spacing w:line="276" w:lineRule="auto"/>
              <w:jc w:val="center"/>
              <w:rPr>
                <w:rFonts w:ascii="Century" w:hAnsi="Century"/>
                <w:sz w:val="20"/>
                <w:szCs w:val="20"/>
              </w:rPr>
            </w:pPr>
            <w:r w:rsidRPr="00155BDF">
              <w:rPr>
                <w:rFonts w:ascii="Century" w:hAnsi="Century"/>
                <w:b/>
                <w:bCs/>
                <w:sz w:val="20"/>
                <w:szCs w:val="20"/>
              </w:rPr>
              <w:t>Gambar 4.</w:t>
            </w:r>
            <w:r>
              <w:rPr>
                <w:rFonts w:ascii="Century" w:hAnsi="Century"/>
                <w:sz w:val="20"/>
                <w:szCs w:val="20"/>
              </w:rPr>
              <w:t xml:space="preserve"> </w:t>
            </w:r>
            <w:r w:rsidR="008406AE">
              <w:rPr>
                <w:rFonts w:ascii="Century" w:hAnsi="Century"/>
                <w:sz w:val="20"/>
                <w:szCs w:val="20"/>
              </w:rPr>
              <w:t>Proses Pembangunan Talud</w:t>
            </w:r>
          </w:p>
        </w:tc>
        <w:tc>
          <w:tcPr>
            <w:tcW w:w="4145" w:type="dxa"/>
          </w:tcPr>
          <w:p w14:paraId="369FBF8E" w14:textId="2D8CF0EB" w:rsidR="001A1124" w:rsidRPr="00CB4701" w:rsidRDefault="003143EA" w:rsidP="001A1124">
            <w:pPr>
              <w:pStyle w:val="References"/>
              <w:spacing w:line="276" w:lineRule="auto"/>
              <w:jc w:val="center"/>
              <w:rPr>
                <w:rFonts w:ascii="Century" w:hAnsi="Century"/>
                <w:sz w:val="20"/>
                <w:szCs w:val="20"/>
              </w:rPr>
            </w:pPr>
            <w:r w:rsidRPr="00155BDF">
              <w:rPr>
                <w:rFonts w:ascii="Century" w:hAnsi="Century"/>
                <w:b/>
                <w:bCs/>
                <w:sz w:val="20"/>
                <w:szCs w:val="20"/>
              </w:rPr>
              <w:t>Gambar 5.</w:t>
            </w:r>
            <w:r>
              <w:rPr>
                <w:rFonts w:ascii="Century" w:hAnsi="Century"/>
                <w:sz w:val="20"/>
                <w:szCs w:val="20"/>
              </w:rPr>
              <w:t xml:space="preserve"> </w:t>
            </w:r>
            <w:r w:rsidR="008406AE" w:rsidRPr="008406AE">
              <w:rPr>
                <w:rFonts w:ascii="Century" w:hAnsi="Century"/>
                <w:sz w:val="20"/>
                <w:szCs w:val="20"/>
              </w:rPr>
              <w:t>Penyerahan hasil pembangunan kepada kelompok tani</w:t>
            </w:r>
          </w:p>
        </w:tc>
      </w:tr>
    </w:tbl>
    <w:p w14:paraId="5C2997A6" w14:textId="77777777" w:rsidR="005F45B1" w:rsidRPr="005F45B1" w:rsidRDefault="005F45B1" w:rsidP="005F45B1">
      <w:pPr>
        <w:pStyle w:val="References"/>
        <w:spacing w:line="276" w:lineRule="auto"/>
        <w:rPr>
          <w:rFonts w:ascii="Century" w:hAnsi="Century"/>
          <w:color w:val="FF0000"/>
          <w:sz w:val="22"/>
          <w:szCs w:val="22"/>
        </w:rPr>
      </w:pPr>
    </w:p>
    <w:sectPr w:rsidR="005F45B1" w:rsidRPr="005F45B1"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3228" w14:textId="77777777" w:rsidR="003A3232" w:rsidRDefault="003A3232" w:rsidP="00A1414F">
      <w:r>
        <w:separator/>
      </w:r>
    </w:p>
  </w:endnote>
  <w:endnote w:type="continuationSeparator" w:id="0">
    <w:p w14:paraId="24F49043" w14:textId="77777777" w:rsidR="003A3232" w:rsidRDefault="003A3232"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altName w:val="Arial"/>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547F" w14:textId="77777777" w:rsidR="006A086C" w:rsidRDefault="006A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02DC" w14:textId="77777777" w:rsidR="006A086C" w:rsidRDefault="006A0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633" w14:textId="77777777" w:rsidR="00F22C0B" w:rsidRDefault="003A3232"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E95F2E">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0322" w14:textId="77777777" w:rsidR="003A3232" w:rsidRDefault="003A3232" w:rsidP="00A1414F">
      <w:r>
        <w:separator/>
      </w:r>
    </w:p>
  </w:footnote>
  <w:footnote w:type="continuationSeparator" w:id="0">
    <w:p w14:paraId="55936010" w14:textId="77777777" w:rsidR="003A3232" w:rsidRDefault="003A3232"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F94A" w14:textId="04F846AA"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9B47FE">
      <w:rPr>
        <w:rFonts w:ascii="Trebuchet MS" w:hAnsi="Trebuchet MS"/>
        <w:smallCaps/>
        <w:noProof/>
        <w:sz w:val="22"/>
        <w:szCs w:val="22"/>
        <w:lang w:val="id-ID"/>
      </w:rPr>
      <w:t>8</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w:t>
    </w:r>
    <w:r w:rsidR="00B96FB2">
      <w:rPr>
        <w:rFonts w:ascii="Kokila" w:hAnsi="Kokila" w:cs="Kokila"/>
        <w:sz w:val="26"/>
        <w:szCs w:val="26"/>
        <w:lang w:val="en-US"/>
      </w:rPr>
      <w:t>7</w:t>
    </w:r>
    <w:r w:rsidR="00E20C19" w:rsidRPr="0013470D">
      <w:rPr>
        <w:rFonts w:ascii="Kokila" w:hAnsi="Kokila" w:cs="Kokila"/>
        <w:sz w:val="26"/>
        <w:szCs w:val="26"/>
        <w:lang w:val="id-ID"/>
      </w:rPr>
      <w:t>, No.</w:t>
    </w:r>
    <w:r w:rsidR="00EF66F0">
      <w:rPr>
        <w:rFonts w:ascii="Kokila" w:hAnsi="Kokila" w:cs="Kokila"/>
        <w:sz w:val="26"/>
        <w:szCs w:val="26"/>
        <w:lang w:val="en-US"/>
      </w:rPr>
      <w:t xml:space="preserve"> </w:t>
    </w:r>
    <w:r w:rsidR="00B96FB2">
      <w:rPr>
        <w:rFonts w:ascii="Kokila" w:hAnsi="Kokila" w:cs="Kokila"/>
        <w:sz w:val="26"/>
        <w:szCs w:val="26"/>
        <w:lang w:val="en-US"/>
      </w:rPr>
      <w:t>4</w:t>
    </w:r>
    <w:r w:rsidR="00E20C19" w:rsidRPr="0013470D">
      <w:rPr>
        <w:rFonts w:ascii="Kokila" w:hAnsi="Kokila" w:cs="Kokila"/>
        <w:sz w:val="26"/>
        <w:szCs w:val="26"/>
        <w:lang w:val="id-ID"/>
      </w:rPr>
      <w:t xml:space="preserve">, </w:t>
    </w:r>
    <w:r w:rsidR="00B96FB2">
      <w:rPr>
        <w:rFonts w:ascii="Kokila" w:hAnsi="Kokila" w:cs="Kokila"/>
        <w:sz w:val="26"/>
        <w:szCs w:val="26"/>
        <w:lang w:val="en-US"/>
      </w:rPr>
      <w:t>Oktober</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B96FB2">
      <w:rPr>
        <w:rFonts w:ascii="Kokila" w:hAnsi="Kokila" w:cs="Kokila"/>
        <w:sz w:val="26"/>
        <w:szCs w:val="26"/>
        <w:lang w:val="en-US"/>
      </w:rPr>
      <w:t>24</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5C440C">
      <w:rPr>
        <w:rFonts w:ascii="Kokila" w:hAnsi="Kokila" w:cs="Kokila"/>
        <w:sz w:val="26"/>
        <w:szCs w:val="26"/>
        <w:lang w:val="en-US"/>
      </w:rPr>
      <w:t>368</w:t>
    </w:r>
    <w:r w:rsidR="00E20C19" w:rsidRPr="0013470D">
      <w:rPr>
        <w:rFonts w:ascii="Kokila" w:hAnsi="Kokila" w:cs="Kokila"/>
        <w:sz w:val="26"/>
        <w:szCs w:val="26"/>
        <w:lang w:val="id-ID"/>
      </w:rPr>
      <w:t>-</w:t>
    </w:r>
    <w:r w:rsidR="004E160B">
      <w:rPr>
        <w:rFonts w:ascii="Kokila" w:hAnsi="Kokila" w:cs="Kokila"/>
        <w:sz w:val="26"/>
        <w:szCs w:val="26"/>
        <w:lang w:val="en-US"/>
      </w:rPr>
      <w:t>3</w:t>
    </w:r>
    <w:r w:rsidR="00CB4B90">
      <w:rPr>
        <w:rFonts w:ascii="Kokila" w:hAnsi="Kokila" w:cs="Kokila"/>
        <w:sz w:val="26"/>
        <w:szCs w:val="26"/>
        <w:lang w:val="en-US"/>
      </w:rPr>
      <w:t>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2027"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9B47FE">
      <w:rPr>
        <w:noProof/>
        <w:sz w:val="22"/>
        <w:szCs w:val="22"/>
      </w:rPr>
      <w:t>7</w:t>
    </w:r>
    <w:r w:rsidRPr="005F45B1">
      <w:rPr>
        <w:noProof/>
        <w:sz w:val="22"/>
        <w:szCs w:val="22"/>
      </w:rPr>
      <w:fldChar w:fldCharType="end"/>
    </w:r>
  </w:p>
  <w:p w14:paraId="4682433F" w14:textId="6E253800" w:rsidR="00613D89" w:rsidRPr="001A1D29" w:rsidRDefault="0033417D" w:rsidP="00613D89">
    <w:pPr>
      <w:pStyle w:val="Header"/>
      <w:jc w:val="right"/>
      <w:rPr>
        <w:sz w:val="20"/>
        <w:szCs w:val="20"/>
      </w:rPr>
    </w:pPr>
    <w:r w:rsidRPr="0033417D">
      <w:rPr>
        <w:rFonts w:ascii="Arial Narrow" w:hAnsi="Arial Narrow"/>
        <w:i/>
        <w:sz w:val="22"/>
        <w:szCs w:val="22"/>
        <w:lang w:val="id-ID"/>
      </w:rPr>
      <w:t>Liefson Jacobus, Optimasi Talud Irigasi</w:t>
    </w:r>
    <w:r w:rsidR="00FF4C22">
      <w:rPr>
        <w:rFonts w:ascii="Arial Narrow" w:hAnsi="Arial Narrow"/>
        <w:i/>
        <w:sz w:val="22"/>
        <w:szCs w:val="22"/>
        <w:lang w:val="en-US"/>
      </w:rPr>
      <w:t xml:space="preserve"> </w:t>
    </w:r>
    <w:r w:rsidR="00613D89" w:rsidRPr="00E01DF5">
      <w:rPr>
        <w:rFonts w:ascii="Arial Narrow" w:hAnsi="Arial Narrow"/>
        <w:i/>
        <w:sz w:val="22"/>
        <w:szCs w:val="22"/>
        <w:lang w:val="id-ID"/>
      </w:rPr>
      <w:t>.</w:t>
    </w:r>
    <w:r w:rsidR="00FF4C22">
      <w:rPr>
        <w:rFonts w:ascii="Arial Narrow" w:hAnsi="Arial Narrow"/>
        <w:i/>
        <w:sz w:val="22"/>
        <w:szCs w:val="22"/>
        <w:lang w:val="en-US"/>
      </w:rPr>
      <w:t>.</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C16" w14:textId="77777777" w:rsidR="00BF4618" w:rsidRDefault="009B47FE">
    <w:pPr>
      <w:pStyle w:val="Header"/>
      <w:rPr>
        <w:rFonts w:eastAsia="Times New Roman"/>
        <w:snapToGrid w:val="0"/>
        <w:color w:val="000000"/>
        <w:w w:val="0"/>
        <w:sz w:val="0"/>
        <w:szCs w:val="0"/>
        <w:u w:color="000000"/>
        <w:bdr w:val="none" w:sz="0" w:space="0" w:color="000000"/>
        <w:shd w:val="clear" w:color="000000" w:fill="000000"/>
        <w:lang w:val="en-US"/>
      </w:rPr>
    </w:pPr>
    <w:r>
      <w:rPr>
        <w:noProof/>
        <w:lang w:val="en-US" w:eastAsia="en-US"/>
      </w:rPr>
      <mc:AlternateContent>
        <mc:Choice Requires="wps">
          <w:drawing>
            <wp:anchor distT="0" distB="0" distL="114300" distR="114300" simplePos="0" relativeHeight="251658752" behindDoc="0" locked="0" layoutInCell="1" allowOverlap="1" wp14:anchorId="669D4405" wp14:editId="3A476AA7">
              <wp:simplePos x="0" y="0"/>
              <wp:positionH relativeFrom="column">
                <wp:posOffset>706120</wp:posOffset>
              </wp:positionH>
              <wp:positionV relativeFrom="paragraph">
                <wp:posOffset>-71755</wp:posOffset>
              </wp:positionV>
              <wp:extent cx="3812540" cy="835025"/>
              <wp:effectExtent l="1270" t="444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835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112D5E55"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1488996E" w14:textId="77777777" w:rsidR="009D6B65" w:rsidRPr="00941ACE" w:rsidRDefault="003A3232"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14:paraId="5772CD6D" w14:textId="29E59206"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6075C6">
                            <w:rPr>
                              <w:rFonts w:ascii="Century Gothic" w:hAnsi="Century Gothic"/>
                              <w:sz w:val="20"/>
                              <w:szCs w:val="20"/>
                            </w:rPr>
                            <w:t>7</w:t>
                          </w:r>
                          <w:r w:rsidRPr="00941ACE">
                            <w:rPr>
                              <w:rFonts w:ascii="Century Gothic" w:hAnsi="Century Gothic"/>
                              <w:sz w:val="20"/>
                              <w:szCs w:val="20"/>
                            </w:rPr>
                            <w:t xml:space="preserve">, No. </w:t>
                          </w:r>
                          <w:r w:rsidR="006075C6">
                            <w:rPr>
                              <w:rFonts w:ascii="Century Gothic" w:hAnsi="Century Gothic"/>
                              <w:sz w:val="20"/>
                              <w:szCs w:val="20"/>
                            </w:rPr>
                            <w:t>4</w:t>
                          </w:r>
                          <w:r w:rsidRPr="00941ACE">
                            <w:rPr>
                              <w:rFonts w:ascii="Century Gothic" w:hAnsi="Century Gothic"/>
                              <w:sz w:val="20"/>
                              <w:szCs w:val="20"/>
                            </w:rPr>
                            <w:t xml:space="preserve">, </w:t>
                          </w:r>
                          <w:r w:rsidR="006075C6">
                            <w:rPr>
                              <w:rFonts w:ascii="Century Gothic" w:hAnsi="Century Gothic"/>
                              <w:sz w:val="20"/>
                              <w:szCs w:val="20"/>
                            </w:rPr>
                            <w:t>Oktober</w:t>
                          </w:r>
                          <w:r w:rsidRPr="00941ACE">
                            <w:rPr>
                              <w:rFonts w:ascii="Century Gothic" w:hAnsi="Century Gothic"/>
                              <w:sz w:val="20"/>
                              <w:szCs w:val="20"/>
                            </w:rPr>
                            <w:t xml:space="preserve"> 20</w:t>
                          </w:r>
                          <w:r w:rsidR="006075C6">
                            <w:rPr>
                              <w:rFonts w:ascii="Century Gothic" w:hAnsi="Century Gothic"/>
                              <w:sz w:val="20"/>
                              <w:szCs w:val="20"/>
                            </w:rPr>
                            <w:t>24</w:t>
                          </w:r>
                          <w:r w:rsidR="00534A48">
                            <w:rPr>
                              <w:rFonts w:ascii="Century Gothic" w:hAnsi="Century Gothic"/>
                              <w:sz w:val="20"/>
                              <w:szCs w:val="20"/>
                            </w:rPr>
                            <w:t xml:space="preserve">, hal. </w:t>
                          </w:r>
                          <w:r w:rsidR="009128F7" w:rsidRPr="00221D43">
                            <w:rPr>
                              <w:rFonts w:ascii="Century Gothic" w:hAnsi="Century Gothic"/>
                              <w:sz w:val="20"/>
                              <w:szCs w:val="20"/>
                            </w:rPr>
                            <w:t>368-3</w:t>
                          </w:r>
                          <w:r w:rsidR="006A086C">
                            <w:rPr>
                              <w:rFonts w:ascii="Century Gothic" w:hAnsi="Century Gothic"/>
                              <w:sz w:val="20"/>
                              <w:szCs w:val="20"/>
                            </w:rPr>
                            <w:t>76</w:t>
                          </w:r>
                          <w:r w:rsidRPr="00941ACE">
                            <w:rPr>
                              <w:rFonts w:ascii="Century Gothic" w:hAnsi="Century Gothic"/>
                              <w:sz w:val="20"/>
                              <w:szCs w:val="20"/>
                            </w:rPr>
                            <w:t xml:space="preserve"> </w:t>
                          </w:r>
                        </w:p>
                        <w:p w14:paraId="6A3FBED7" w14:textId="77777777"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 xml:space="preserve"> |</w:t>
                          </w:r>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2A891BB1" w14:textId="05409180"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9F5697" w:rsidRPr="00114112">
                              <w:rPr>
                                <w:rStyle w:val="Hyperlink"/>
                                <w:rFonts w:ascii="Tahoma" w:hAnsi="Tahoma" w:cs="Tahoma"/>
                                <w:sz w:val="16"/>
                                <w:szCs w:val="16"/>
                                <w:shd w:val="clear" w:color="auto" w:fill="FFFFFF"/>
                              </w:rPr>
                              <w:t>https://doi.org/10.31764/jces.v3i1.26818</w:t>
                            </w:r>
                          </w:hyperlink>
                          <w:r w:rsidR="00A936DD">
                            <w:rPr>
                              <w:rFonts w:ascii="Tahoma" w:hAnsi="Tahoma" w:cs="Tahoma"/>
                              <w:sz w:val="16"/>
                              <w:szCs w:val="16"/>
                              <w:shd w:val="clear" w:color="auto" w:fill="FFFFFF"/>
                            </w:rPr>
                            <w:t xml:space="preserve"> </w:t>
                          </w:r>
                        </w:p>
                        <w:p w14:paraId="68F82A1E" w14:textId="77777777"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1374B26B" w14:textId="77777777" w:rsidR="00927A77" w:rsidRPr="00941ACE" w:rsidRDefault="00927A77" w:rsidP="00927A77">
                          <w:pPr>
                            <w:rPr>
                              <w:rFonts w:ascii="Arial Narrow" w:hAnsi="Arial Narrow"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D4405" id="_x0000_t202" coordsize="21600,21600" o:spt="202" path="m,l,21600r21600,l21600,xe">
              <v:stroke joinstyle="miter"/>
              <v:path gradientshapeok="t" o:connecttype="rect"/>
            </v:shapetype>
            <v:shape id="Text Box 7" o:spid="_x0000_s1026" type="#_x0000_t202" style="position:absolute;margin-left:55.6pt;margin-top:-5.65pt;width:300.2pt;height:6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" filled="f" stroked="f" strokecolor="white [3212]" strokeweight="0">
              <v:fill opacity="0"/>
              <v:textbox>
                <w:txbxContent>
                  <w:p w14:paraId="112D5E55"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1488996E" w14:textId="77777777" w:rsidR="009D6B65" w:rsidRPr="00941ACE" w:rsidRDefault="003A3232" w:rsidP="00927A77">
                    <w:pPr>
                      <w:rPr>
                        <w:rFonts w:ascii="Arial Narrow" w:hAnsi="Arial Narrow"/>
                        <w:b/>
                        <w:sz w:val="22"/>
                        <w:szCs w:val="20"/>
                      </w:rPr>
                    </w:pPr>
                    <w:hyperlink r:id="rId4" w:history="1">
                      <w:r w:rsidR="009D6B65" w:rsidRPr="00941ACE">
                        <w:rPr>
                          <w:rStyle w:val="Hyperlink"/>
                          <w:rFonts w:ascii="Arial Narrow" w:hAnsi="Arial Narrow"/>
                          <w:sz w:val="22"/>
                          <w:szCs w:val="20"/>
                        </w:rPr>
                        <w:t>http://journal.ummat.ac.id/index.php/JCES</w:t>
                      </w:r>
                    </w:hyperlink>
                  </w:p>
                  <w:p w14:paraId="5772CD6D" w14:textId="29E59206"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6075C6">
                      <w:rPr>
                        <w:rFonts w:ascii="Century Gothic" w:hAnsi="Century Gothic"/>
                        <w:sz w:val="20"/>
                        <w:szCs w:val="20"/>
                      </w:rPr>
                      <w:t>7</w:t>
                    </w:r>
                    <w:r w:rsidRPr="00941ACE">
                      <w:rPr>
                        <w:rFonts w:ascii="Century Gothic" w:hAnsi="Century Gothic"/>
                        <w:sz w:val="20"/>
                        <w:szCs w:val="20"/>
                      </w:rPr>
                      <w:t xml:space="preserve">, No. </w:t>
                    </w:r>
                    <w:r w:rsidR="006075C6">
                      <w:rPr>
                        <w:rFonts w:ascii="Century Gothic" w:hAnsi="Century Gothic"/>
                        <w:sz w:val="20"/>
                        <w:szCs w:val="20"/>
                      </w:rPr>
                      <w:t>4</w:t>
                    </w:r>
                    <w:r w:rsidRPr="00941ACE">
                      <w:rPr>
                        <w:rFonts w:ascii="Century Gothic" w:hAnsi="Century Gothic"/>
                        <w:sz w:val="20"/>
                        <w:szCs w:val="20"/>
                      </w:rPr>
                      <w:t xml:space="preserve">, </w:t>
                    </w:r>
                    <w:r w:rsidR="006075C6">
                      <w:rPr>
                        <w:rFonts w:ascii="Century Gothic" w:hAnsi="Century Gothic"/>
                        <w:sz w:val="20"/>
                        <w:szCs w:val="20"/>
                      </w:rPr>
                      <w:t>Oktober</w:t>
                    </w:r>
                    <w:r w:rsidRPr="00941ACE">
                      <w:rPr>
                        <w:rFonts w:ascii="Century Gothic" w:hAnsi="Century Gothic"/>
                        <w:sz w:val="20"/>
                        <w:szCs w:val="20"/>
                      </w:rPr>
                      <w:t xml:space="preserve"> 20</w:t>
                    </w:r>
                    <w:r w:rsidR="006075C6">
                      <w:rPr>
                        <w:rFonts w:ascii="Century Gothic" w:hAnsi="Century Gothic"/>
                        <w:sz w:val="20"/>
                        <w:szCs w:val="20"/>
                      </w:rPr>
                      <w:t>24</w:t>
                    </w:r>
                    <w:r w:rsidR="00534A48">
                      <w:rPr>
                        <w:rFonts w:ascii="Century Gothic" w:hAnsi="Century Gothic"/>
                        <w:sz w:val="20"/>
                        <w:szCs w:val="20"/>
                      </w:rPr>
                      <w:t xml:space="preserve">, hal. </w:t>
                    </w:r>
                    <w:r w:rsidR="009128F7" w:rsidRPr="00221D43">
                      <w:rPr>
                        <w:rFonts w:ascii="Century Gothic" w:hAnsi="Century Gothic"/>
                        <w:sz w:val="20"/>
                        <w:szCs w:val="20"/>
                      </w:rPr>
                      <w:t>368-3</w:t>
                    </w:r>
                    <w:r w:rsidR="006A086C">
                      <w:rPr>
                        <w:rFonts w:ascii="Century Gothic" w:hAnsi="Century Gothic"/>
                        <w:sz w:val="20"/>
                        <w:szCs w:val="20"/>
                      </w:rPr>
                      <w:t>76</w:t>
                    </w:r>
                    <w:r w:rsidRPr="00941ACE">
                      <w:rPr>
                        <w:rFonts w:ascii="Century Gothic" w:hAnsi="Century Gothic"/>
                        <w:sz w:val="20"/>
                        <w:szCs w:val="20"/>
                      </w:rPr>
                      <w:t xml:space="preserve"> </w:t>
                    </w:r>
                  </w:p>
                  <w:p w14:paraId="6A3FBED7" w14:textId="77777777"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 xml:space="preserve"> |</w:t>
                    </w:r>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2A891BB1" w14:textId="05409180"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5" w:history="1">
                      <w:r w:rsidR="009F5697" w:rsidRPr="00114112">
                        <w:rPr>
                          <w:rStyle w:val="Hyperlink"/>
                          <w:rFonts w:ascii="Tahoma" w:hAnsi="Tahoma" w:cs="Tahoma"/>
                          <w:sz w:val="16"/>
                          <w:szCs w:val="16"/>
                          <w:shd w:val="clear" w:color="auto" w:fill="FFFFFF"/>
                        </w:rPr>
                        <w:t>https://doi.org/10.31764/jces.v3i1.26818</w:t>
                      </w:r>
                    </w:hyperlink>
                    <w:r w:rsidR="00A936DD">
                      <w:rPr>
                        <w:rFonts w:ascii="Tahoma" w:hAnsi="Tahoma" w:cs="Tahoma"/>
                        <w:sz w:val="16"/>
                        <w:szCs w:val="16"/>
                        <w:shd w:val="clear" w:color="auto" w:fill="FFFFFF"/>
                      </w:rPr>
                      <w:t xml:space="preserve"> </w:t>
                    </w:r>
                  </w:p>
                  <w:p w14:paraId="68F82A1E" w14:textId="77777777" w:rsidR="004546AF" w:rsidRPr="00057D42" w:rsidRDefault="00057D42" w:rsidP="00057D42">
                    <w:pPr>
                      <w:ind w:firstLine="567"/>
                      <w:rPr>
                        <w:rFonts w:ascii="Century Gothic" w:hAnsi="Century Gothic" w:cs="Arial"/>
                        <w:sz w:val="16"/>
                        <w:szCs w:val="16"/>
                      </w:rPr>
                    </w:pPr>
                    <w:r>
                      <w:t xml:space="preserve"> </w:t>
                    </w:r>
                    <w:hyperlink r:id="rId6"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1374B26B" w14:textId="77777777" w:rsidR="00927A77" w:rsidRPr="00941ACE" w:rsidRDefault="00927A77" w:rsidP="00927A77">
                    <w:pPr>
                      <w:rPr>
                        <w:rFonts w:ascii="Arial Narrow" w:hAnsi="Arial Narrow" w:cs="Arial"/>
                        <w:b/>
                        <w:sz w:val="20"/>
                        <w:szCs w:val="20"/>
                      </w:rPr>
                    </w:pPr>
                  </w:p>
                </w:txbxContent>
              </v:textbox>
            </v:shape>
          </w:pict>
        </mc:Fallback>
      </mc:AlternateContent>
    </w:r>
    <w:r w:rsidR="00927A77" w:rsidRPr="00927A77">
      <w:rPr>
        <w:rFonts w:eastAsia="Times New Roman"/>
        <w:snapToGrid w:val="0"/>
        <w:color w:val="000000"/>
        <w:w w:val="0"/>
        <w:sz w:val="0"/>
        <w:szCs w:val="0"/>
        <w:u w:color="000000"/>
        <w:bdr w:val="none" w:sz="0" w:space="0" w:color="000000"/>
        <w:shd w:val="clear" w:color="000000" w:fill="000000"/>
      </w:rPr>
      <w:t xml:space="preserve"> </w:t>
    </w:r>
    <w:r w:rsidR="00927A77" w:rsidRPr="00927A77">
      <w:rPr>
        <w:noProof/>
        <w:lang w:val="en-US" w:eastAsia="en-US"/>
      </w:rPr>
      <w:drawing>
        <wp:inline distT="0" distB="0" distL="0" distR="0" wp14:anchorId="60D365A7" wp14:editId="28EFA178">
          <wp:extent cx="763479" cy="715618"/>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0C123E5B" wp14:editId="32EEE0A8">
          <wp:extent cx="421419" cy="127863"/>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14:paraId="69E25396" w14:textId="77777777"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45E14C2"/>
    <w:multiLevelType w:val="hybridMultilevel"/>
    <w:tmpl w:val="3548700C"/>
    <w:lvl w:ilvl="0" w:tplc="01E4EB30">
      <w:start w:val="1"/>
      <w:numFmt w:val="decimal"/>
      <w:lvlText w:val="%1)"/>
      <w:lvlJc w:val="left"/>
      <w:pPr>
        <w:ind w:left="1146" w:hanging="360"/>
      </w:pPr>
      <w:rPr>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61E9C"/>
    <w:multiLevelType w:val="hybridMultilevel"/>
    <w:tmpl w:val="FDDC803A"/>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3"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2"/>
  </w:num>
  <w:num w:numId="10">
    <w:abstractNumId w:val="3"/>
  </w:num>
  <w:num w:numId="11">
    <w:abstractNumId w:val="5"/>
  </w:num>
  <w:num w:numId="12">
    <w:abstractNumId w:val="10"/>
    <w:lvlOverride w:ilvl="0">
      <w:startOverride w:val="1"/>
    </w:lvlOverride>
  </w:num>
  <w:num w:numId="13">
    <w:abstractNumId w:val="0"/>
  </w:num>
  <w:num w:numId="14">
    <w:abstractNumId w:val="11"/>
  </w:num>
  <w:num w:numId="15">
    <w:abstractNumId w:val="13"/>
  </w:num>
  <w:num w:numId="16">
    <w:abstractNumId w:val="0"/>
  </w:num>
  <w:num w:numId="17">
    <w:abstractNumId w:val="8"/>
  </w:num>
  <w:num w:numId="18">
    <w:abstractNumId w:val="1"/>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FBB"/>
    <w:rsid w:val="000002E1"/>
    <w:rsid w:val="0000069A"/>
    <w:rsid w:val="00002AE5"/>
    <w:rsid w:val="000045CB"/>
    <w:rsid w:val="00005F12"/>
    <w:rsid w:val="000069C7"/>
    <w:rsid w:val="00007F91"/>
    <w:rsid w:val="00010D4F"/>
    <w:rsid w:val="00014411"/>
    <w:rsid w:val="00014D12"/>
    <w:rsid w:val="00017719"/>
    <w:rsid w:val="00020A6F"/>
    <w:rsid w:val="000215DC"/>
    <w:rsid w:val="000227C5"/>
    <w:rsid w:val="000234DA"/>
    <w:rsid w:val="00024AB7"/>
    <w:rsid w:val="00027F1D"/>
    <w:rsid w:val="0003217C"/>
    <w:rsid w:val="0003296C"/>
    <w:rsid w:val="00034135"/>
    <w:rsid w:val="000372DA"/>
    <w:rsid w:val="00037551"/>
    <w:rsid w:val="000377FA"/>
    <w:rsid w:val="000406B1"/>
    <w:rsid w:val="000411E9"/>
    <w:rsid w:val="00053481"/>
    <w:rsid w:val="00054421"/>
    <w:rsid w:val="00056CE7"/>
    <w:rsid w:val="00057D42"/>
    <w:rsid w:val="00060955"/>
    <w:rsid w:val="00062E46"/>
    <w:rsid w:val="00066899"/>
    <w:rsid w:val="00066CB7"/>
    <w:rsid w:val="0006703C"/>
    <w:rsid w:val="000710E7"/>
    <w:rsid w:val="00072B6C"/>
    <w:rsid w:val="0007313C"/>
    <w:rsid w:val="00074342"/>
    <w:rsid w:val="00074AC8"/>
    <w:rsid w:val="00081408"/>
    <w:rsid w:val="00081EBE"/>
    <w:rsid w:val="00082A45"/>
    <w:rsid w:val="0008577D"/>
    <w:rsid w:val="00086EDC"/>
    <w:rsid w:val="00093581"/>
    <w:rsid w:val="000A0DD3"/>
    <w:rsid w:val="000A3748"/>
    <w:rsid w:val="000A6695"/>
    <w:rsid w:val="000A6B6B"/>
    <w:rsid w:val="000B3567"/>
    <w:rsid w:val="000B36A3"/>
    <w:rsid w:val="000B3E2B"/>
    <w:rsid w:val="000B4A2C"/>
    <w:rsid w:val="000C013C"/>
    <w:rsid w:val="000C7220"/>
    <w:rsid w:val="000D4841"/>
    <w:rsid w:val="000D67E4"/>
    <w:rsid w:val="000E14D6"/>
    <w:rsid w:val="000E3F84"/>
    <w:rsid w:val="000E4F95"/>
    <w:rsid w:val="000F3DBA"/>
    <w:rsid w:val="000F5B09"/>
    <w:rsid w:val="000F608C"/>
    <w:rsid w:val="000F73AC"/>
    <w:rsid w:val="00103C8B"/>
    <w:rsid w:val="00103E04"/>
    <w:rsid w:val="00104C9F"/>
    <w:rsid w:val="001056DF"/>
    <w:rsid w:val="00106663"/>
    <w:rsid w:val="001108D3"/>
    <w:rsid w:val="0011297A"/>
    <w:rsid w:val="00114025"/>
    <w:rsid w:val="00114E67"/>
    <w:rsid w:val="00115691"/>
    <w:rsid w:val="001160D2"/>
    <w:rsid w:val="001218D3"/>
    <w:rsid w:val="00121E94"/>
    <w:rsid w:val="00131344"/>
    <w:rsid w:val="0013470D"/>
    <w:rsid w:val="001348A5"/>
    <w:rsid w:val="0013730E"/>
    <w:rsid w:val="00140C4C"/>
    <w:rsid w:val="00140FB9"/>
    <w:rsid w:val="00141A8F"/>
    <w:rsid w:val="00145A7D"/>
    <w:rsid w:val="00146877"/>
    <w:rsid w:val="00146992"/>
    <w:rsid w:val="0015135B"/>
    <w:rsid w:val="00151B8E"/>
    <w:rsid w:val="00152209"/>
    <w:rsid w:val="00155BDF"/>
    <w:rsid w:val="00161AA0"/>
    <w:rsid w:val="00164CA9"/>
    <w:rsid w:val="00164CBB"/>
    <w:rsid w:val="001747C8"/>
    <w:rsid w:val="001778D6"/>
    <w:rsid w:val="00177ADC"/>
    <w:rsid w:val="00180A69"/>
    <w:rsid w:val="00181384"/>
    <w:rsid w:val="00181E56"/>
    <w:rsid w:val="00182CE2"/>
    <w:rsid w:val="0018587D"/>
    <w:rsid w:val="0018669A"/>
    <w:rsid w:val="001928FB"/>
    <w:rsid w:val="001929A8"/>
    <w:rsid w:val="00192BC7"/>
    <w:rsid w:val="00192C4C"/>
    <w:rsid w:val="00194372"/>
    <w:rsid w:val="001A0610"/>
    <w:rsid w:val="001A1124"/>
    <w:rsid w:val="001A1D29"/>
    <w:rsid w:val="001A393F"/>
    <w:rsid w:val="001A3C1F"/>
    <w:rsid w:val="001A50EA"/>
    <w:rsid w:val="001A6036"/>
    <w:rsid w:val="001A6E68"/>
    <w:rsid w:val="001B52EF"/>
    <w:rsid w:val="001C0608"/>
    <w:rsid w:val="001C1A51"/>
    <w:rsid w:val="001C2EAE"/>
    <w:rsid w:val="001C4991"/>
    <w:rsid w:val="001C4EFD"/>
    <w:rsid w:val="001D04EB"/>
    <w:rsid w:val="001D34BD"/>
    <w:rsid w:val="001D4FC3"/>
    <w:rsid w:val="001F16CD"/>
    <w:rsid w:val="001F47D2"/>
    <w:rsid w:val="00201427"/>
    <w:rsid w:val="002014A4"/>
    <w:rsid w:val="00202141"/>
    <w:rsid w:val="00202DB3"/>
    <w:rsid w:val="002124BC"/>
    <w:rsid w:val="00212EDC"/>
    <w:rsid w:val="002158E6"/>
    <w:rsid w:val="002202B7"/>
    <w:rsid w:val="00221D43"/>
    <w:rsid w:val="0022285A"/>
    <w:rsid w:val="00224C61"/>
    <w:rsid w:val="00226AB3"/>
    <w:rsid w:val="00230E61"/>
    <w:rsid w:val="002329DF"/>
    <w:rsid w:val="0023431E"/>
    <w:rsid w:val="00235920"/>
    <w:rsid w:val="00243685"/>
    <w:rsid w:val="002438C3"/>
    <w:rsid w:val="00245A48"/>
    <w:rsid w:val="00247078"/>
    <w:rsid w:val="0025117C"/>
    <w:rsid w:val="00253E61"/>
    <w:rsid w:val="00257723"/>
    <w:rsid w:val="0025798B"/>
    <w:rsid w:val="0026063C"/>
    <w:rsid w:val="0026094F"/>
    <w:rsid w:val="002626D1"/>
    <w:rsid w:val="00271242"/>
    <w:rsid w:val="00271BAA"/>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7BF4"/>
    <w:rsid w:val="002A0EBE"/>
    <w:rsid w:val="002A2FD6"/>
    <w:rsid w:val="002A3D8F"/>
    <w:rsid w:val="002A649F"/>
    <w:rsid w:val="002A6742"/>
    <w:rsid w:val="002B0977"/>
    <w:rsid w:val="002B09BC"/>
    <w:rsid w:val="002B11E9"/>
    <w:rsid w:val="002B1B1A"/>
    <w:rsid w:val="002B4B4B"/>
    <w:rsid w:val="002B6BCF"/>
    <w:rsid w:val="002B7BF2"/>
    <w:rsid w:val="002C0232"/>
    <w:rsid w:val="002C132B"/>
    <w:rsid w:val="002C1A7F"/>
    <w:rsid w:val="002C270E"/>
    <w:rsid w:val="002C2959"/>
    <w:rsid w:val="002C4239"/>
    <w:rsid w:val="002C559D"/>
    <w:rsid w:val="002C58C6"/>
    <w:rsid w:val="002C67F8"/>
    <w:rsid w:val="002C721F"/>
    <w:rsid w:val="002D026E"/>
    <w:rsid w:val="002D19AA"/>
    <w:rsid w:val="002D21A3"/>
    <w:rsid w:val="002D2D42"/>
    <w:rsid w:val="002D398E"/>
    <w:rsid w:val="002D3DAA"/>
    <w:rsid w:val="002D52AA"/>
    <w:rsid w:val="002D68C9"/>
    <w:rsid w:val="002E7AE1"/>
    <w:rsid w:val="002F15EA"/>
    <w:rsid w:val="002F227C"/>
    <w:rsid w:val="002F72D0"/>
    <w:rsid w:val="003003AB"/>
    <w:rsid w:val="00303687"/>
    <w:rsid w:val="00303AFA"/>
    <w:rsid w:val="003056CD"/>
    <w:rsid w:val="00306FCC"/>
    <w:rsid w:val="00311C49"/>
    <w:rsid w:val="0031279E"/>
    <w:rsid w:val="003143EA"/>
    <w:rsid w:val="00315A30"/>
    <w:rsid w:val="00316271"/>
    <w:rsid w:val="0031670B"/>
    <w:rsid w:val="0031672B"/>
    <w:rsid w:val="00317B12"/>
    <w:rsid w:val="0032119E"/>
    <w:rsid w:val="00321304"/>
    <w:rsid w:val="003303CD"/>
    <w:rsid w:val="00331F84"/>
    <w:rsid w:val="0033417D"/>
    <w:rsid w:val="003343DF"/>
    <w:rsid w:val="003366F9"/>
    <w:rsid w:val="00353F69"/>
    <w:rsid w:val="00355B72"/>
    <w:rsid w:val="00360589"/>
    <w:rsid w:val="00360C6A"/>
    <w:rsid w:val="00360D09"/>
    <w:rsid w:val="00363290"/>
    <w:rsid w:val="00365A4E"/>
    <w:rsid w:val="00365B8A"/>
    <w:rsid w:val="00366B29"/>
    <w:rsid w:val="003717D0"/>
    <w:rsid w:val="00377715"/>
    <w:rsid w:val="00382D3C"/>
    <w:rsid w:val="00382E62"/>
    <w:rsid w:val="00386F15"/>
    <w:rsid w:val="00390D8C"/>
    <w:rsid w:val="00394DC4"/>
    <w:rsid w:val="003950A4"/>
    <w:rsid w:val="003950AD"/>
    <w:rsid w:val="00396BF0"/>
    <w:rsid w:val="003A259A"/>
    <w:rsid w:val="003A3232"/>
    <w:rsid w:val="003A3C40"/>
    <w:rsid w:val="003B0D77"/>
    <w:rsid w:val="003B5974"/>
    <w:rsid w:val="003C3E37"/>
    <w:rsid w:val="003C7209"/>
    <w:rsid w:val="003D03E6"/>
    <w:rsid w:val="003D138F"/>
    <w:rsid w:val="003D2A8E"/>
    <w:rsid w:val="003D3CC6"/>
    <w:rsid w:val="003D3E2E"/>
    <w:rsid w:val="003D3F51"/>
    <w:rsid w:val="003D4C64"/>
    <w:rsid w:val="003D6632"/>
    <w:rsid w:val="003D7CC5"/>
    <w:rsid w:val="003E3577"/>
    <w:rsid w:val="003E58AC"/>
    <w:rsid w:val="003F3A61"/>
    <w:rsid w:val="003F54D8"/>
    <w:rsid w:val="003F679A"/>
    <w:rsid w:val="00400DC7"/>
    <w:rsid w:val="00403498"/>
    <w:rsid w:val="00403653"/>
    <w:rsid w:val="00410A5D"/>
    <w:rsid w:val="00414909"/>
    <w:rsid w:val="00414EBD"/>
    <w:rsid w:val="004202C3"/>
    <w:rsid w:val="004211FE"/>
    <w:rsid w:val="004216B1"/>
    <w:rsid w:val="00422D56"/>
    <w:rsid w:val="00425A6A"/>
    <w:rsid w:val="00426FBB"/>
    <w:rsid w:val="004337B8"/>
    <w:rsid w:val="00437E30"/>
    <w:rsid w:val="00437E48"/>
    <w:rsid w:val="00440753"/>
    <w:rsid w:val="00444C8A"/>
    <w:rsid w:val="0044630D"/>
    <w:rsid w:val="0044773F"/>
    <w:rsid w:val="0045074B"/>
    <w:rsid w:val="0045122C"/>
    <w:rsid w:val="0045462B"/>
    <w:rsid w:val="004546AF"/>
    <w:rsid w:val="00455E57"/>
    <w:rsid w:val="0046428B"/>
    <w:rsid w:val="00471085"/>
    <w:rsid w:val="0047429A"/>
    <w:rsid w:val="004772BF"/>
    <w:rsid w:val="004778A8"/>
    <w:rsid w:val="0048374C"/>
    <w:rsid w:val="0048707A"/>
    <w:rsid w:val="0048771D"/>
    <w:rsid w:val="00493CA8"/>
    <w:rsid w:val="004968D7"/>
    <w:rsid w:val="004A1511"/>
    <w:rsid w:val="004A6605"/>
    <w:rsid w:val="004B0DB7"/>
    <w:rsid w:val="004B3A3E"/>
    <w:rsid w:val="004B519F"/>
    <w:rsid w:val="004B54BD"/>
    <w:rsid w:val="004B5BFE"/>
    <w:rsid w:val="004B7F34"/>
    <w:rsid w:val="004C4227"/>
    <w:rsid w:val="004C45FA"/>
    <w:rsid w:val="004C4D2E"/>
    <w:rsid w:val="004D2E42"/>
    <w:rsid w:val="004D395E"/>
    <w:rsid w:val="004D7355"/>
    <w:rsid w:val="004E160B"/>
    <w:rsid w:val="004E1BD8"/>
    <w:rsid w:val="004E452A"/>
    <w:rsid w:val="004E6A2D"/>
    <w:rsid w:val="004E78E3"/>
    <w:rsid w:val="004F29C7"/>
    <w:rsid w:val="004F3094"/>
    <w:rsid w:val="004F4E8A"/>
    <w:rsid w:val="004F66BE"/>
    <w:rsid w:val="005003E1"/>
    <w:rsid w:val="005004BF"/>
    <w:rsid w:val="00502E89"/>
    <w:rsid w:val="00504748"/>
    <w:rsid w:val="00505FE2"/>
    <w:rsid w:val="00507C28"/>
    <w:rsid w:val="00510297"/>
    <w:rsid w:val="0051095A"/>
    <w:rsid w:val="00510E95"/>
    <w:rsid w:val="005123A8"/>
    <w:rsid w:val="0051451F"/>
    <w:rsid w:val="00515557"/>
    <w:rsid w:val="00516616"/>
    <w:rsid w:val="00521ED0"/>
    <w:rsid w:val="00522D23"/>
    <w:rsid w:val="00524694"/>
    <w:rsid w:val="005269FF"/>
    <w:rsid w:val="00526B97"/>
    <w:rsid w:val="00527D56"/>
    <w:rsid w:val="0053012F"/>
    <w:rsid w:val="005302B9"/>
    <w:rsid w:val="005304E6"/>
    <w:rsid w:val="00530A0F"/>
    <w:rsid w:val="0053221F"/>
    <w:rsid w:val="005322B4"/>
    <w:rsid w:val="00532F0B"/>
    <w:rsid w:val="00533E8F"/>
    <w:rsid w:val="00534A48"/>
    <w:rsid w:val="00534A90"/>
    <w:rsid w:val="00536FAE"/>
    <w:rsid w:val="005422D6"/>
    <w:rsid w:val="0054252A"/>
    <w:rsid w:val="00542C85"/>
    <w:rsid w:val="00544E66"/>
    <w:rsid w:val="00544EAE"/>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426B"/>
    <w:rsid w:val="005A5228"/>
    <w:rsid w:val="005A7F4E"/>
    <w:rsid w:val="005B13E2"/>
    <w:rsid w:val="005B2C0D"/>
    <w:rsid w:val="005B3934"/>
    <w:rsid w:val="005B47D7"/>
    <w:rsid w:val="005C1D99"/>
    <w:rsid w:val="005C2383"/>
    <w:rsid w:val="005C4233"/>
    <w:rsid w:val="005C440C"/>
    <w:rsid w:val="005C4798"/>
    <w:rsid w:val="005C4BA9"/>
    <w:rsid w:val="005C5526"/>
    <w:rsid w:val="005C56AC"/>
    <w:rsid w:val="005C5F50"/>
    <w:rsid w:val="005C62C6"/>
    <w:rsid w:val="005D21E9"/>
    <w:rsid w:val="005D79BF"/>
    <w:rsid w:val="005D7B9E"/>
    <w:rsid w:val="005E1B43"/>
    <w:rsid w:val="005E5140"/>
    <w:rsid w:val="005E6E07"/>
    <w:rsid w:val="005F0834"/>
    <w:rsid w:val="005F100E"/>
    <w:rsid w:val="005F45B1"/>
    <w:rsid w:val="005F6788"/>
    <w:rsid w:val="005F6DC3"/>
    <w:rsid w:val="005F6ED8"/>
    <w:rsid w:val="006017FD"/>
    <w:rsid w:val="00601A8E"/>
    <w:rsid w:val="00602488"/>
    <w:rsid w:val="0060758A"/>
    <w:rsid w:val="006075C6"/>
    <w:rsid w:val="006079BE"/>
    <w:rsid w:val="006119F5"/>
    <w:rsid w:val="00613D89"/>
    <w:rsid w:val="006162FE"/>
    <w:rsid w:val="0062033E"/>
    <w:rsid w:val="00621F95"/>
    <w:rsid w:val="00624482"/>
    <w:rsid w:val="00625D89"/>
    <w:rsid w:val="00633178"/>
    <w:rsid w:val="006343E3"/>
    <w:rsid w:val="00635BBE"/>
    <w:rsid w:val="00637087"/>
    <w:rsid w:val="00643796"/>
    <w:rsid w:val="006453DE"/>
    <w:rsid w:val="0064799C"/>
    <w:rsid w:val="00652BEE"/>
    <w:rsid w:val="00654156"/>
    <w:rsid w:val="006562BA"/>
    <w:rsid w:val="00660C6A"/>
    <w:rsid w:val="00661D0B"/>
    <w:rsid w:val="00662376"/>
    <w:rsid w:val="00665BB1"/>
    <w:rsid w:val="00666382"/>
    <w:rsid w:val="00694D34"/>
    <w:rsid w:val="00695864"/>
    <w:rsid w:val="00696868"/>
    <w:rsid w:val="006977E6"/>
    <w:rsid w:val="006A086C"/>
    <w:rsid w:val="006A0D0C"/>
    <w:rsid w:val="006A3AE1"/>
    <w:rsid w:val="006A4145"/>
    <w:rsid w:val="006B0549"/>
    <w:rsid w:val="006B09B8"/>
    <w:rsid w:val="006B1266"/>
    <w:rsid w:val="006B47CA"/>
    <w:rsid w:val="006B5506"/>
    <w:rsid w:val="006C0E4F"/>
    <w:rsid w:val="006C2960"/>
    <w:rsid w:val="006C6465"/>
    <w:rsid w:val="006C7AAA"/>
    <w:rsid w:val="006D0F77"/>
    <w:rsid w:val="006D1C2A"/>
    <w:rsid w:val="006D264F"/>
    <w:rsid w:val="006D3F45"/>
    <w:rsid w:val="006D72AA"/>
    <w:rsid w:val="006E260B"/>
    <w:rsid w:val="006E2A8D"/>
    <w:rsid w:val="006E35C8"/>
    <w:rsid w:val="006E4913"/>
    <w:rsid w:val="006E4AB3"/>
    <w:rsid w:val="006E60F4"/>
    <w:rsid w:val="006E6B57"/>
    <w:rsid w:val="006E7574"/>
    <w:rsid w:val="006F20EA"/>
    <w:rsid w:val="006F4323"/>
    <w:rsid w:val="006F6C1D"/>
    <w:rsid w:val="006F7760"/>
    <w:rsid w:val="0070090D"/>
    <w:rsid w:val="00701D28"/>
    <w:rsid w:val="00703430"/>
    <w:rsid w:val="00705D3A"/>
    <w:rsid w:val="007069BE"/>
    <w:rsid w:val="007076E0"/>
    <w:rsid w:val="00710B7A"/>
    <w:rsid w:val="00711BD2"/>
    <w:rsid w:val="00711FEB"/>
    <w:rsid w:val="007157B0"/>
    <w:rsid w:val="0071682B"/>
    <w:rsid w:val="007170F7"/>
    <w:rsid w:val="00721E2E"/>
    <w:rsid w:val="007227F5"/>
    <w:rsid w:val="0072566E"/>
    <w:rsid w:val="00733156"/>
    <w:rsid w:val="00733E74"/>
    <w:rsid w:val="007347B5"/>
    <w:rsid w:val="00740224"/>
    <w:rsid w:val="0074085C"/>
    <w:rsid w:val="007415DF"/>
    <w:rsid w:val="007429FF"/>
    <w:rsid w:val="00745C86"/>
    <w:rsid w:val="00746A43"/>
    <w:rsid w:val="00763DC4"/>
    <w:rsid w:val="00764603"/>
    <w:rsid w:val="0076604D"/>
    <w:rsid w:val="00767B1B"/>
    <w:rsid w:val="00767E06"/>
    <w:rsid w:val="00776983"/>
    <w:rsid w:val="00781C72"/>
    <w:rsid w:val="00781DBA"/>
    <w:rsid w:val="0078621C"/>
    <w:rsid w:val="007908DA"/>
    <w:rsid w:val="00790909"/>
    <w:rsid w:val="0079301B"/>
    <w:rsid w:val="007962AB"/>
    <w:rsid w:val="007A18F7"/>
    <w:rsid w:val="007A2061"/>
    <w:rsid w:val="007A77C6"/>
    <w:rsid w:val="007A7B73"/>
    <w:rsid w:val="007B00EB"/>
    <w:rsid w:val="007B5A07"/>
    <w:rsid w:val="007B668E"/>
    <w:rsid w:val="007C5B5D"/>
    <w:rsid w:val="007C7D51"/>
    <w:rsid w:val="007D2F33"/>
    <w:rsid w:val="007D3E71"/>
    <w:rsid w:val="007D5761"/>
    <w:rsid w:val="007E132A"/>
    <w:rsid w:val="007E34AA"/>
    <w:rsid w:val="007E43D4"/>
    <w:rsid w:val="007E5D6A"/>
    <w:rsid w:val="007E645D"/>
    <w:rsid w:val="007F0A68"/>
    <w:rsid w:val="007F10F8"/>
    <w:rsid w:val="007F1766"/>
    <w:rsid w:val="007F315D"/>
    <w:rsid w:val="007F4F14"/>
    <w:rsid w:val="007F7260"/>
    <w:rsid w:val="007F75CA"/>
    <w:rsid w:val="00802160"/>
    <w:rsid w:val="008055EE"/>
    <w:rsid w:val="00815DBA"/>
    <w:rsid w:val="00816EA9"/>
    <w:rsid w:val="00820A91"/>
    <w:rsid w:val="008210FA"/>
    <w:rsid w:val="00821E08"/>
    <w:rsid w:val="008247D1"/>
    <w:rsid w:val="00825A13"/>
    <w:rsid w:val="00827D13"/>
    <w:rsid w:val="0083248C"/>
    <w:rsid w:val="00834154"/>
    <w:rsid w:val="008346CF"/>
    <w:rsid w:val="00834943"/>
    <w:rsid w:val="00834EFD"/>
    <w:rsid w:val="00835711"/>
    <w:rsid w:val="008406A4"/>
    <w:rsid w:val="008406AE"/>
    <w:rsid w:val="00841914"/>
    <w:rsid w:val="00842B65"/>
    <w:rsid w:val="00843426"/>
    <w:rsid w:val="008438C4"/>
    <w:rsid w:val="008444CB"/>
    <w:rsid w:val="00844B24"/>
    <w:rsid w:val="0084515F"/>
    <w:rsid w:val="0084560C"/>
    <w:rsid w:val="00847FDD"/>
    <w:rsid w:val="0085092D"/>
    <w:rsid w:val="00850E92"/>
    <w:rsid w:val="008533F4"/>
    <w:rsid w:val="00856314"/>
    <w:rsid w:val="00861F54"/>
    <w:rsid w:val="00864547"/>
    <w:rsid w:val="00865FB3"/>
    <w:rsid w:val="00866151"/>
    <w:rsid w:val="00867D6B"/>
    <w:rsid w:val="00871457"/>
    <w:rsid w:val="00873013"/>
    <w:rsid w:val="00873B8F"/>
    <w:rsid w:val="008746C3"/>
    <w:rsid w:val="008746FE"/>
    <w:rsid w:val="008757E0"/>
    <w:rsid w:val="00876205"/>
    <w:rsid w:val="00877D4C"/>
    <w:rsid w:val="00880078"/>
    <w:rsid w:val="0088039E"/>
    <w:rsid w:val="008833C0"/>
    <w:rsid w:val="00885178"/>
    <w:rsid w:val="008878CC"/>
    <w:rsid w:val="0089185F"/>
    <w:rsid w:val="0089763B"/>
    <w:rsid w:val="008A0B0A"/>
    <w:rsid w:val="008A1519"/>
    <w:rsid w:val="008A2479"/>
    <w:rsid w:val="008A77C7"/>
    <w:rsid w:val="008B114A"/>
    <w:rsid w:val="008B1828"/>
    <w:rsid w:val="008B300C"/>
    <w:rsid w:val="008B3D14"/>
    <w:rsid w:val="008B6295"/>
    <w:rsid w:val="008B6AE3"/>
    <w:rsid w:val="008B767F"/>
    <w:rsid w:val="008C2E45"/>
    <w:rsid w:val="008C322F"/>
    <w:rsid w:val="008C4BE8"/>
    <w:rsid w:val="008C5CF8"/>
    <w:rsid w:val="008C5DF4"/>
    <w:rsid w:val="008D0C8A"/>
    <w:rsid w:val="008D1045"/>
    <w:rsid w:val="008D1703"/>
    <w:rsid w:val="008D22D3"/>
    <w:rsid w:val="008D30BD"/>
    <w:rsid w:val="008D46FA"/>
    <w:rsid w:val="008D6087"/>
    <w:rsid w:val="008D67E3"/>
    <w:rsid w:val="008E0392"/>
    <w:rsid w:val="008E2316"/>
    <w:rsid w:val="008E5277"/>
    <w:rsid w:val="008E5996"/>
    <w:rsid w:val="008E73E9"/>
    <w:rsid w:val="008F1272"/>
    <w:rsid w:val="008F7A45"/>
    <w:rsid w:val="00900999"/>
    <w:rsid w:val="00901AE1"/>
    <w:rsid w:val="00901EFD"/>
    <w:rsid w:val="00904754"/>
    <w:rsid w:val="00905356"/>
    <w:rsid w:val="00906F2F"/>
    <w:rsid w:val="009128F7"/>
    <w:rsid w:val="00914BEC"/>
    <w:rsid w:val="009151A5"/>
    <w:rsid w:val="009205B4"/>
    <w:rsid w:val="009223D5"/>
    <w:rsid w:val="00922A80"/>
    <w:rsid w:val="0092734B"/>
    <w:rsid w:val="00927A77"/>
    <w:rsid w:val="00932F60"/>
    <w:rsid w:val="00933C59"/>
    <w:rsid w:val="00937874"/>
    <w:rsid w:val="00937F31"/>
    <w:rsid w:val="00937F65"/>
    <w:rsid w:val="009408BA"/>
    <w:rsid w:val="00941ACE"/>
    <w:rsid w:val="00946DC6"/>
    <w:rsid w:val="009507C0"/>
    <w:rsid w:val="0095305A"/>
    <w:rsid w:val="009537A7"/>
    <w:rsid w:val="009550E8"/>
    <w:rsid w:val="00955B59"/>
    <w:rsid w:val="009570BD"/>
    <w:rsid w:val="009570BE"/>
    <w:rsid w:val="009602BE"/>
    <w:rsid w:val="0096113F"/>
    <w:rsid w:val="009664E8"/>
    <w:rsid w:val="009671E5"/>
    <w:rsid w:val="00971096"/>
    <w:rsid w:val="00971BB3"/>
    <w:rsid w:val="00971EBF"/>
    <w:rsid w:val="00983B83"/>
    <w:rsid w:val="00983D5A"/>
    <w:rsid w:val="00985DB4"/>
    <w:rsid w:val="0098650F"/>
    <w:rsid w:val="00990923"/>
    <w:rsid w:val="00991EED"/>
    <w:rsid w:val="00992262"/>
    <w:rsid w:val="009926BC"/>
    <w:rsid w:val="00993DEB"/>
    <w:rsid w:val="00997BA3"/>
    <w:rsid w:val="00997F50"/>
    <w:rsid w:val="009A09C7"/>
    <w:rsid w:val="009A0C16"/>
    <w:rsid w:val="009A4319"/>
    <w:rsid w:val="009A6C3F"/>
    <w:rsid w:val="009A6E9C"/>
    <w:rsid w:val="009B47FE"/>
    <w:rsid w:val="009B73F2"/>
    <w:rsid w:val="009C12BD"/>
    <w:rsid w:val="009C50FE"/>
    <w:rsid w:val="009C643D"/>
    <w:rsid w:val="009D2660"/>
    <w:rsid w:val="009D2FFF"/>
    <w:rsid w:val="009D34EA"/>
    <w:rsid w:val="009D38A1"/>
    <w:rsid w:val="009D3C51"/>
    <w:rsid w:val="009D6B65"/>
    <w:rsid w:val="009E004F"/>
    <w:rsid w:val="009E1160"/>
    <w:rsid w:val="009F5697"/>
    <w:rsid w:val="009F6DF4"/>
    <w:rsid w:val="00A001B3"/>
    <w:rsid w:val="00A03A12"/>
    <w:rsid w:val="00A03E75"/>
    <w:rsid w:val="00A04DC8"/>
    <w:rsid w:val="00A056F2"/>
    <w:rsid w:val="00A10768"/>
    <w:rsid w:val="00A11080"/>
    <w:rsid w:val="00A1393D"/>
    <w:rsid w:val="00A1414F"/>
    <w:rsid w:val="00A177DD"/>
    <w:rsid w:val="00A20773"/>
    <w:rsid w:val="00A20D66"/>
    <w:rsid w:val="00A20DB8"/>
    <w:rsid w:val="00A21E58"/>
    <w:rsid w:val="00A220DE"/>
    <w:rsid w:val="00A22FE0"/>
    <w:rsid w:val="00A3311D"/>
    <w:rsid w:val="00A34795"/>
    <w:rsid w:val="00A37654"/>
    <w:rsid w:val="00A40872"/>
    <w:rsid w:val="00A408EC"/>
    <w:rsid w:val="00A40ECC"/>
    <w:rsid w:val="00A418C5"/>
    <w:rsid w:val="00A4337B"/>
    <w:rsid w:val="00A44AE3"/>
    <w:rsid w:val="00A45FCE"/>
    <w:rsid w:val="00A60D5A"/>
    <w:rsid w:val="00A64A36"/>
    <w:rsid w:val="00A66ABC"/>
    <w:rsid w:val="00A7266B"/>
    <w:rsid w:val="00A75671"/>
    <w:rsid w:val="00A773CC"/>
    <w:rsid w:val="00A87305"/>
    <w:rsid w:val="00A9318B"/>
    <w:rsid w:val="00A936DD"/>
    <w:rsid w:val="00A94AC1"/>
    <w:rsid w:val="00A95B87"/>
    <w:rsid w:val="00A96A84"/>
    <w:rsid w:val="00A9735F"/>
    <w:rsid w:val="00A9740D"/>
    <w:rsid w:val="00AA4B46"/>
    <w:rsid w:val="00AA5A8D"/>
    <w:rsid w:val="00AB15F8"/>
    <w:rsid w:val="00AB18B7"/>
    <w:rsid w:val="00AB21ED"/>
    <w:rsid w:val="00AB2575"/>
    <w:rsid w:val="00AB4027"/>
    <w:rsid w:val="00AB4123"/>
    <w:rsid w:val="00AC0723"/>
    <w:rsid w:val="00AC157F"/>
    <w:rsid w:val="00AC721F"/>
    <w:rsid w:val="00AD23D6"/>
    <w:rsid w:val="00AD2A4C"/>
    <w:rsid w:val="00AD2BAB"/>
    <w:rsid w:val="00AD335D"/>
    <w:rsid w:val="00AE1477"/>
    <w:rsid w:val="00AE406C"/>
    <w:rsid w:val="00AE4BE9"/>
    <w:rsid w:val="00AF792B"/>
    <w:rsid w:val="00AF7DCD"/>
    <w:rsid w:val="00B00190"/>
    <w:rsid w:val="00B02934"/>
    <w:rsid w:val="00B0356D"/>
    <w:rsid w:val="00B10F2B"/>
    <w:rsid w:val="00B120BC"/>
    <w:rsid w:val="00B2345D"/>
    <w:rsid w:val="00B27826"/>
    <w:rsid w:val="00B27A59"/>
    <w:rsid w:val="00B3112C"/>
    <w:rsid w:val="00B32C39"/>
    <w:rsid w:val="00B333DE"/>
    <w:rsid w:val="00B3521D"/>
    <w:rsid w:val="00B36C22"/>
    <w:rsid w:val="00B472F1"/>
    <w:rsid w:val="00B47460"/>
    <w:rsid w:val="00B476E0"/>
    <w:rsid w:val="00B553CE"/>
    <w:rsid w:val="00B55D5E"/>
    <w:rsid w:val="00B56B16"/>
    <w:rsid w:val="00B570A3"/>
    <w:rsid w:val="00B60A1B"/>
    <w:rsid w:val="00B62D34"/>
    <w:rsid w:val="00B67197"/>
    <w:rsid w:val="00B717BA"/>
    <w:rsid w:val="00B72B19"/>
    <w:rsid w:val="00B7357F"/>
    <w:rsid w:val="00B735B0"/>
    <w:rsid w:val="00B81137"/>
    <w:rsid w:val="00B81E91"/>
    <w:rsid w:val="00B8710F"/>
    <w:rsid w:val="00B87425"/>
    <w:rsid w:val="00B90A80"/>
    <w:rsid w:val="00B90F5B"/>
    <w:rsid w:val="00B91814"/>
    <w:rsid w:val="00B92B81"/>
    <w:rsid w:val="00B94516"/>
    <w:rsid w:val="00B948A5"/>
    <w:rsid w:val="00B96FB2"/>
    <w:rsid w:val="00BA183C"/>
    <w:rsid w:val="00BA462E"/>
    <w:rsid w:val="00BA4F7E"/>
    <w:rsid w:val="00BA665D"/>
    <w:rsid w:val="00BA7955"/>
    <w:rsid w:val="00BB13C6"/>
    <w:rsid w:val="00BB2824"/>
    <w:rsid w:val="00BB2855"/>
    <w:rsid w:val="00BB3407"/>
    <w:rsid w:val="00BB605C"/>
    <w:rsid w:val="00BB64E7"/>
    <w:rsid w:val="00BC08A3"/>
    <w:rsid w:val="00BC1D81"/>
    <w:rsid w:val="00BC246C"/>
    <w:rsid w:val="00BC57FF"/>
    <w:rsid w:val="00BC60EA"/>
    <w:rsid w:val="00BC6B25"/>
    <w:rsid w:val="00BC7909"/>
    <w:rsid w:val="00BD19C1"/>
    <w:rsid w:val="00BD2427"/>
    <w:rsid w:val="00BD25B8"/>
    <w:rsid w:val="00BD34C2"/>
    <w:rsid w:val="00BD48E8"/>
    <w:rsid w:val="00BE1EB2"/>
    <w:rsid w:val="00BE41EB"/>
    <w:rsid w:val="00BF097D"/>
    <w:rsid w:val="00BF1228"/>
    <w:rsid w:val="00BF15B5"/>
    <w:rsid w:val="00BF4618"/>
    <w:rsid w:val="00BF5282"/>
    <w:rsid w:val="00C0011E"/>
    <w:rsid w:val="00C005E4"/>
    <w:rsid w:val="00C012E1"/>
    <w:rsid w:val="00C029BD"/>
    <w:rsid w:val="00C06BB4"/>
    <w:rsid w:val="00C10D20"/>
    <w:rsid w:val="00C12AC4"/>
    <w:rsid w:val="00C12E0C"/>
    <w:rsid w:val="00C14968"/>
    <w:rsid w:val="00C14F79"/>
    <w:rsid w:val="00C21916"/>
    <w:rsid w:val="00C21CDF"/>
    <w:rsid w:val="00C228EB"/>
    <w:rsid w:val="00C234EF"/>
    <w:rsid w:val="00C2417F"/>
    <w:rsid w:val="00C24F6D"/>
    <w:rsid w:val="00C25C90"/>
    <w:rsid w:val="00C2650B"/>
    <w:rsid w:val="00C26E57"/>
    <w:rsid w:val="00C30FE7"/>
    <w:rsid w:val="00C31BC3"/>
    <w:rsid w:val="00C32E48"/>
    <w:rsid w:val="00C33970"/>
    <w:rsid w:val="00C3592A"/>
    <w:rsid w:val="00C40A1A"/>
    <w:rsid w:val="00C457CA"/>
    <w:rsid w:val="00C47989"/>
    <w:rsid w:val="00C47B16"/>
    <w:rsid w:val="00C500EF"/>
    <w:rsid w:val="00C520D0"/>
    <w:rsid w:val="00C52304"/>
    <w:rsid w:val="00C5573B"/>
    <w:rsid w:val="00C55EA1"/>
    <w:rsid w:val="00C574B2"/>
    <w:rsid w:val="00C57FB7"/>
    <w:rsid w:val="00C6299F"/>
    <w:rsid w:val="00C62CEB"/>
    <w:rsid w:val="00C65F3F"/>
    <w:rsid w:val="00C70749"/>
    <w:rsid w:val="00C72414"/>
    <w:rsid w:val="00C8166B"/>
    <w:rsid w:val="00C859A6"/>
    <w:rsid w:val="00C8667B"/>
    <w:rsid w:val="00C86750"/>
    <w:rsid w:val="00C91EF5"/>
    <w:rsid w:val="00C9234E"/>
    <w:rsid w:val="00C93BB2"/>
    <w:rsid w:val="00C94BA8"/>
    <w:rsid w:val="00C9683E"/>
    <w:rsid w:val="00CA2A24"/>
    <w:rsid w:val="00CA4CE3"/>
    <w:rsid w:val="00CA6E1F"/>
    <w:rsid w:val="00CB1354"/>
    <w:rsid w:val="00CB4701"/>
    <w:rsid w:val="00CB4B90"/>
    <w:rsid w:val="00CB60BA"/>
    <w:rsid w:val="00CB6573"/>
    <w:rsid w:val="00CB65CB"/>
    <w:rsid w:val="00CC0CE3"/>
    <w:rsid w:val="00CC233E"/>
    <w:rsid w:val="00CC4E42"/>
    <w:rsid w:val="00CC75C0"/>
    <w:rsid w:val="00CD23EF"/>
    <w:rsid w:val="00CD4F3F"/>
    <w:rsid w:val="00CE0AE1"/>
    <w:rsid w:val="00CE34BC"/>
    <w:rsid w:val="00CE562B"/>
    <w:rsid w:val="00CE7BF6"/>
    <w:rsid w:val="00CF75F6"/>
    <w:rsid w:val="00D0505F"/>
    <w:rsid w:val="00D05BEA"/>
    <w:rsid w:val="00D124F4"/>
    <w:rsid w:val="00D150AD"/>
    <w:rsid w:val="00D15AE3"/>
    <w:rsid w:val="00D17D7F"/>
    <w:rsid w:val="00D2480A"/>
    <w:rsid w:val="00D30503"/>
    <w:rsid w:val="00D30F2D"/>
    <w:rsid w:val="00D311F8"/>
    <w:rsid w:val="00D31218"/>
    <w:rsid w:val="00D31E87"/>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309E"/>
    <w:rsid w:val="00D677E9"/>
    <w:rsid w:val="00D75720"/>
    <w:rsid w:val="00D767BB"/>
    <w:rsid w:val="00D85138"/>
    <w:rsid w:val="00D8535A"/>
    <w:rsid w:val="00D8752A"/>
    <w:rsid w:val="00D92681"/>
    <w:rsid w:val="00D92A9F"/>
    <w:rsid w:val="00D939B0"/>
    <w:rsid w:val="00D95616"/>
    <w:rsid w:val="00D958E2"/>
    <w:rsid w:val="00D96F61"/>
    <w:rsid w:val="00DA26BB"/>
    <w:rsid w:val="00DA2E62"/>
    <w:rsid w:val="00DA474D"/>
    <w:rsid w:val="00DA5C8B"/>
    <w:rsid w:val="00DB16E0"/>
    <w:rsid w:val="00DB2DF9"/>
    <w:rsid w:val="00DB383B"/>
    <w:rsid w:val="00DB7C46"/>
    <w:rsid w:val="00DB7E63"/>
    <w:rsid w:val="00DC2055"/>
    <w:rsid w:val="00DC30FE"/>
    <w:rsid w:val="00DD16DC"/>
    <w:rsid w:val="00DD71E8"/>
    <w:rsid w:val="00DD7F83"/>
    <w:rsid w:val="00DE088F"/>
    <w:rsid w:val="00DE335E"/>
    <w:rsid w:val="00DF0D7C"/>
    <w:rsid w:val="00DF1739"/>
    <w:rsid w:val="00DF1B93"/>
    <w:rsid w:val="00DF68F5"/>
    <w:rsid w:val="00DF6A46"/>
    <w:rsid w:val="00DF72CA"/>
    <w:rsid w:val="00DF7305"/>
    <w:rsid w:val="00DF7CA2"/>
    <w:rsid w:val="00E01DF5"/>
    <w:rsid w:val="00E0641E"/>
    <w:rsid w:val="00E06664"/>
    <w:rsid w:val="00E11080"/>
    <w:rsid w:val="00E1365C"/>
    <w:rsid w:val="00E143CB"/>
    <w:rsid w:val="00E20C19"/>
    <w:rsid w:val="00E22CDE"/>
    <w:rsid w:val="00E304BC"/>
    <w:rsid w:val="00E3247A"/>
    <w:rsid w:val="00E32853"/>
    <w:rsid w:val="00E33A00"/>
    <w:rsid w:val="00E379EC"/>
    <w:rsid w:val="00E401F8"/>
    <w:rsid w:val="00E40397"/>
    <w:rsid w:val="00E41262"/>
    <w:rsid w:val="00E42932"/>
    <w:rsid w:val="00E43EEC"/>
    <w:rsid w:val="00E4498A"/>
    <w:rsid w:val="00E44C34"/>
    <w:rsid w:val="00E46425"/>
    <w:rsid w:val="00E47304"/>
    <w:rsid w:val="00E47D0E"/>
    <w:rsid w:val="00E512D9"/>
    <w:rsid w:val="00E52318"/>
    <w:rsid w:val="00E63213"/>
    <w:rsid w:val="00E6457D"/>
    <w:rsid w:val="00E65018"/>
    <w:rsid w:val="00E65A5F"/>
    <w:rsid w:val="00E6685E"/>
    <w:rsid w:val="00E66B3D"/>
    <w:rsid w:val="00E678CD"/>
    <w:rsid w:val="00E70EE3"/>
    <w:rsid w:val="00E72D69"/>
    <w:rsid w:val="00E7529B"/>
    <w:rsid w:val="00E83532"/>
    <w:rsid w:val="00E83557"/>
    <w:rsid w:val="00E842EA"/>
    <w:rsid w:val="00E8657D"/>
    <w:rsid w:val="00E867BF"/>
    <w:rsid w:val="00E92A52"/>
    <w:rsid w:val="00E94339"/>
    <w:rsid w:val="00E95E94"/>
    <w:rsid w:val="00E95F2E"/>
    <w:rsid w:val="00E97563"/>
    <w:rsid w:val="00EA3CE3"/>
    <w:rsid w:val="00EA5629"/>
    <w:rsid w:val="00EB0B63"/>
    <w:rsid w:val="00EB2051"/>
    <w:rsid w:val="00EB2163"/>
    <w:rsid w:val="00EC1C35"/>
    <w:rsid w:val="00EC2328"/>
    <w:rsid w:val="00EC265C"/>
    <w:rsid w:val="00EC39E6"/>
    <w:rsid w:val="00EC59AE"/>
    <w:rsid w:val="00EC65B7"/>
    <w:rsid w:val="00EC7A22"/>
    <w:rsid w:val="00ED25B0"/>
    <w:rsid w:val="00ED2820"/>
    <w:rsid w:val="00ED61CB"/>
    <w:rsid w:val="00EE4353"/>
    <w:rsid w:val="00EE5ABE"/>
    <w:rsid w:val="00EF13E8"/>
    <w:rsid w:val="00EF2488"/>
    <w:rsid w:val="00EF290B"/>
    <w:rsid w:val="00EF30A6"/>
    <w:rsid w:val="00EF3452"/>
    <w:rsid w:val="00EF4CEB"/>
    <w:rsid w:val="00EF61AD"/>
    <w:rsid w:val="00EF66F0"/>
    <w:rsid w:val="00F005A7"/>
    <w:rsid w:val="00F062D8"/>
    <w:rsid w:val="00F06A72"/>
    <w:rsid w:val="00F06C6A"/>
    <w:rsid w:val="00F1242E"/>
    <w:rsid w:val="00F136F0"/>
    <w:rsid w:val="00F142C5"/>
    <w:rsid w:val="00F1641C"/>
    <w:rsid w:val="00F17F2D"/>
    <w:rsid w:val="00F20BBB"/>
    <w:rsid w:val="00F20DCD"/>
    <w:rsid w:val="00F21A6D"/>
    <w:rsid w:val="00F229E1"/>
    <w:rsid w:val="00F22C0B"/>
    <w:rsid w:val="00F26EFA"/>
    <w:rsid w:val="00F34AE2"/>
    <w:rsid w:val="00F359FA"/>
    <w:rsid w:val="00F41FD8"/>
    <w:rsid w:val="00F423E7"/>
    <w:rsid w:val="00F4394A"/>
    <w:rsid w:val="00F43BD8"/>
    <w:rsid w:val="00F440A0"/>
    <w:rsid w:val="00F45FD4"/>
    <w:rsid w:val="00F4600F"/>
    <w:rsid w:val="00F460FB"/>
    <w:rsid w:val="00F55372"/>
    <w:rsid w:val="00F55879"/>
    <w:rsid w:val="00F562F3"/>
    <w:rsid w:val="00F5703A"/>
    <w:rsid w:val="00F57140"/>
    <w:rsid w:val="00F64D1B"/>
    <w:rsid w:val="00F66CC2"/>
    <w:rsid w:val="00F67BC3"/>
    <w:rsid w:val="00F70685"/>
    <w:rsid w:val="00F70E82"/>
    <w:rsid w:val="00F73EC9"/>
    <w:rsid w:val="00F74B89"/>
    <w:rsid w:val="00F75133"/>
    <w:rsid w:val="00F7522F"/>
    <w:rsid w:val="00F75A38"/>
    <w:rsid w:val="00F80742"/>
    <w:rsid w:val="00F82858"/>
    <w:rsid w:val="00F85074"/>
    <w:rsid w:val="00F870D3"/>
    <w:rsid w:val="00F935BA"/>
    <w:rsid w:val="00F93767"/>
    <w:rsid w:val="00F96D21"/>
    <w:rsid w:val="00FA1E70"/>
    <w:rsid w:val="00FA3899"/>
    <w:rsid w:val="00FA3A58"/>
    <w:rsid w:val="00FA3E63"/>
    <w:rsid w:val="00FA4909"/>
    <w:rsid w:val="00FA4CF1"/>
    <w:rsid w:val="00FA5A26"/>
    <w:rsid w:val="00FA5F10"/>
    <w:rsid w:val="00FA6751"/>
    <w:rsid w:val="00FA7146"/>
    <w:rsid w:val="00FA7575"/>
    <w:rsid w:val="00FB1048"/>
    <w:rsid w:val="00FB18CE"/>
    <w:rsid w:val="00FB3938"/>
    <w:rsid w:val="00FB62C4"/>
    <w:rsid w:val="00FB7701"/>
    <w:rsid w:val="00FC0702"/>
    <w:rsid w:val="00FC2DF1"/>
    <w:rsid w:val="00FD066D"/>
    <w:rsid w:val="00FD0B66"/>
    <w:rsid w:val="00FD15E7"/>
    <w:rsid w:val="00FD1AC5"/>
    <w:rsid w:val="00FD549E"/>
    <w:rsid w:val="00FD5CF0"/>
    <w:rsid w:val="00FD691A"/>
    <w:rsid w:val="00FE5BCB"/>
    <w:rsid w:val="00FF074F"/>
    <w:rsid w:val="00FF18BA"/>
    <w:rsid w:val="00FF20E5"/>
    <w:rsid w:val="00FF3238"/>
    <w:rsid w:val="00FF40DD"/>
    <w:rsid w:val="00FF419A"/>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75668D"/>
  <w15:docId w15:val="{E66301C2-903E-493A-9745-CA85FE8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paragraph" w:styleId="NormalWeb">
    <w:name w:val="Normal (Web)"/>
    <w:basedOn w:val="Normal"/>
    <w:uiPriority w:val="99"/>
    <w:unhideWhenUsed/>
    <w:rsid w:val="00CC4E42"/>
    <w:pPr>
      <w:spacing w:before="100" w:beforeAutospacing="1" w:after="100" w:afterAutospacing="1"/>
    </w:pPr>
    <w:rPr>
      <w:rFonts w:eastAsia="Times New Roman"/>
      <w:lang w:val="en-US" w:eastAsia="en-US"/>
    </w:rPr>
  </w:style>
  <w:style w:type="character" w:styleId="UnresolvedMention">
    <w:name w:val="Unresolved Mention"/>
    <w:basedOn w:val="DefaultParagraphFont"/>
    <w:uiPriority w:val="99"/>
    <w:semiHidden/>
    <w:unhideWhenUsed/>
    <w:rsid w:val="00A9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4523">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fson@ukrimuniversity.ac.id1"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surya@ukrimuniversity.ac.id2" TargetMode="External"/><Relationship Id="rId14" Type="http://schemas.openxmlformats.org/officeDocument/2006/relationships/header" Target="header3.xml"/><Relationship Id="rId22" Type="http://schemas.openxmlformats.org/officeDocument/2006/relationships/image" Target="media/image9.jpeg"/></Relationships>
</file>

<file path=word/_rels/header3.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https://doi.org/10.31764/jces.v3i1.XXX" TargetMode="External"/><Relationship Id="rId7" Type="http://schemas.openxmlformats.org/officeDocument/2006/relationships/image" Target="media/image1.jpeg"/><Relationship Id="rId2" Type="http://schemas.openxmlformats.org/officeDocument/2006/relationships/hyperlink" Target="https://doi.org/10.31764/jces.v3i1.26818" TargetMode="External"/><Relationship Id="rId1" Type="http://schemas.openxmlformats.org/officeDocument/2006/relationships/hyperlink" Target="http://journal.ummat.ac.id/index.php/JCES" TargetMode="External"/><Relationship Id="rId6" Type="http://schemas.openxmlformats.org/officeDocument/2006/relationships/hyperlink" Target="https://doi.org/10.31764/jces.v3i1.XXX" TargetMode="External"/><Relationship Id="rId5" Type="http://schemas.openxmlformats.org/officeDocument/2006/relationships/hyperlink" Target="https://doi.org/10.31764/jces.v3i1.26818" TargetMode="External"/><Relationship Id="rId4"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423E-7468-4D9B-93F8-9F878D78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6244</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Saddam Saddam</cp:lastModifiedBy>
  <cp:revision>224</cp:revision>
  <cp:lastPrinted>2020-07-01T09:16:00Z</cp:lastPrinted>
  <dcterms:created xsi:type="dcterms:W3CDTF">2024-09-25T00:32:00Z</dcterms:created>
  <dcterms:modified xsi:type="dcterms:W3CDTF">2024-11-11T15:21:00Z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