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F3C2" w14:textId="77777777" w:rsidR="008504F1" w:rsidRPr="0044344D" w:rsidRDefault="008504F1" w:rsidP="00070FDA">
      <w:pPr>
        <w:pStyle w:val="IEEETitle"/>
        <w:rPr>
          <w:rStyle w:val="shorttext"/>
          <w:rFonts w:ascii="Century Gothic" w:hAnsi="Century Gothic"/>
          <w:b/>
          <w:sz w:val="28"/>
          <w:szCs w:val="28"/>
          <w:shd w:val="clear" w:color="auto" w:fill="FFFFFF"/>
          <w:lang w:val="id-ID"/>
        </w:rPr>
      </w:pPr>
    </w:p>
    <w:p w14:paraId="4A3783CD" w14:textId="77777777" w:rsidR="0044344D" w:rsidRPr="0044344D" w:rsidRDefault="00617F7E" w:rsidP="00070FDA">
      <w:pPr>
        <w:pStyle w:val="IEEETitle"/>
        <w:rPr>
          <w:rStyle w:val="shorttext"/>
          <w:rFonts w:ascii="Century Gothic" w:hAnsi="Century Gothic"/>
          <w:b/>
          <w:sz w:val="28"/>
          <w:szCs w:val="28"/>
          <w:shd w:val="clear" w:color="auto" w:fill="FFFFFF"/>
          <w:lang w:val="id-ID"/>
        </w:rPr>
      </w:pPr>
      <w:r w:rsidRPr="0044344D">
        <w:rPr>
          <w:rStyle w:val="shorttext"/>
          <w:rFonts w:ascii="Century Gothic" w:hAnsi="Century Gothic"/>
          <w:b/>
          <w:sz w:val="28"/>
          <w:szCs w:val="28"/>
          <w:shd w:val="clear" w:color="auto" w:fill="FFFFFF"/>
          <w:lang w:val="id-ID"/>
        </w:rPr>
        <w:t xml:space="preserve">UPAYA PENINGKATAN KUALITAS PENDIDIKAN MELALUI PELATIHAN DAN DESIMINASI PEMBANGKIT TENAGA SURYA </w:t>
      </w:r>
    </w:p>
    <w:p w14:paraId="0ACB239F" w14:textId="18B09B03" w:rsidR="00617F7E" w:rsidRPr="0044344D" w:rsidRDefault="00617F7E" w:rsidP="00070FDA">
      <w:pPr>
        <w:pStyle w:val="IEEETitle"/>
        <w:rPr>
          <w:rStyle w:val="shorttext"/>
          <w:rFonts w:ascii="Century Gothic" w:hAnsi="Century Gothic"/>
          <w:b/>
          <w:sz w:val="28"/>
          <w:szCs w:val="28"/>
          <w:shd w:val="clear" w:color="auto" w:fill="FFFFFF"/>
          <w:lang w:val="id-ID"/>
        </w:rPr>
      </w:pPr>
      <w:r w:rsidRPr="0044344D">
        <w:rPr>
          <w:rStyle w:val="shorttext"/>
          <w:rFonts w:ascii="Century Gothic" w:hAnsi="Century Gothic"/>
          <w:b/>
          <w:sz w:val="28"/>
          <w:szCs w:val="28"/>
          <w:shd w:val="clear" w:color="auto" w:fill="FFFFFF"/>
          <w:lang w:val="id-ID"/>
        </w:rPr>
        <w:t>DI SMK LAMONGAN</w:t>
      </w:r>
    </w:p>
    <w:p w14:paraId="2E224E80" w14:textId="77777777" w:rsidR="00B96636" w:rsidRPr="0044344D" w:rsidRDefault="00B96636" w:rsidP="00070FDA">
      <w:pPr>
        <w:rPr>
          <w:rFonts w:ascii="Century Gothic" w:hAnsi="Century Gothic"/>
          <w:lang w:val="id-ID"/>
        </w:rPr>
      </w:pPr>
    </w:p>
    <w:p w14:paraId="4B0FBDF0" w14:textId="77777777" w:rsidR="0044344D" w:rsidRPr="0044344D" w:rsidRDefault="00C96585" w:rsidP="00070FDA">
      <w:pPr>
        <w:jc w:val="center"/>
        <w:rPr>
          <w:rFonts w:ascii="Trebuchet MS" w:hAnsi="Trebuchet MS"/>
          <w:b/>
          <w:bCs/>
          <w:noProof/>
          <w:sz w:val="22"/>
          <w:szCs w:val="22"/>
        </w:rPr>
      </w:pPr>
      <w:r w:rsidRPr="0044344D">
        <w:rPr>
          <w:rFonts w:ascii="Trebuchet MS" w:hAnsi="Trebuchet MS"/>
          <w:b/>
          <w:bCs/>
          <w:noProof/>
          <w:sz w:val="22"/>
          <w:szCs w:val="22"/>
        </w:rPr>
        <w:t>Isa Hafidz</w:t>
      </w:r>
      <w:r w:rsidRPr="0044344D">
        <w:rPr>
          <w:rFonts w:ascii="Trebuchet MS" w:hAnsi="Trebuchet MS"/>
          <w:b/>
          <w:bCs/>
          <w:noProof/>
          <w:sz w:val="22"/>
          <w:szCs w:val="22"/>
          <w:vertAlign w:val="superscript"/>
        </w:rPr>
        <w:t>1*</w:t>
      </w:r>
      <w:r w:rsidRPr="0044344D">
        <w:rPr>
          <w:rFonts w:ascii="Trebuchet MS" w:hAnsi="Trebuchet MS"/>
          <w:b/>
          <w:bCs/>
          <w:noProof/>
          <w:sz w:val="22"/>
          <w:szCs w:val="22"/>
        </w:rPr>
        <w:t>, Chaironi Latif</w:t>
      </w:r>
      <w:r w:rsidRPr="0044344D">
        <w:rPr>
          <w:rFonts w:ascii="Trebuchet MS" w:hAnsi="Trebuchet MS"/>
          <w:b/>
          <w:bCs/>
          <w:noProof/>
          <w:sz w:val="22"/>
          <w:szCs w:val="22"/>
          <w:vertAlign w:val="superscript"/>
        </w:rPr>
        <w:t>2</w:t>
      </w:r>
      <w:r w:rsidRPr="0044344D">
        <w:rPr>
          <w:rFonts w:ascii="Trebuchet MS" w:hAnsi="Trebuchet MS"/>
          <w:b/>
          <w:bCs/>
          <w:noProof/>
          <w:sz w:val="22"/>
          <w:szCs w:val="22"/>
        </w:rPr>
        <w:t>, Rifki Dwi Putranto</w:t>
      </w:r>
      <w:r w:rsidRPr="0044344D">
        <w:rPr>
          <w:rFonts w:ascii="Trebuchet MS" w:hAnsi="Trebuchet MS"/>
          <w:b/>
          <w:bCs/>
          <w:noProof/>
          <w:sz w:val="22"/>
          <w:szCs w:val="22"/>
          <w:vertAlign w:val="superscript"/>
        </w:rPr>
        <w:t>3</w:t>
      </w:r>
      <w:r w:rsidRPr="0044344D">
        <w:rPr>
          <w:rFonts w:ascii="Trebuchet MS" w:hAnsi="Trebuchet MS"/>
          <w:b/>
          <w:bCs/>
          <w:noProof/>
          <w:sz w:val="22"/>
          <w:szCs w:val="22"/>
        </w:rPr>
        <w:t>, Hernadimas Alfattah</w:t>
      </w:r>
      <w:r w:rsidRPr="0044344D">
        <w:rPr>
          <w:rFonts w:ascii="Trebuchet MS" w:hAnsi="Trebuchet MS"/>
          <w:b/>
          <w:bCs/>
          <w:noProof/>
          <w:sz w:val="22"/>
          <w:szCs w:val="22"/>
          <w:vertAlign w:val="superscript"/>
        </w:rPr>
        <w:t>4</w:t>
      </w:r>
      <w:r w:rsidRPr="0044344D">
        <w:rPr>
          <w:rFonts w:ascii="Trebuchet MS" w:hAnsi="Trebuchet MS"/>
          <w:b/>
          <w:bCs/>
          <w:noProof/>
          <w:sz w:val="22"/>
          <w:szCs w:val="22"/>
        </w:rPr>
        <w:t xml:space="preserve">, </w:t>
      </w:r>
    </w:p>
    <w:p w14:paraId="0209C2D6" w14:textId="2122B1E7" w:rsidR="00C96585" w:rsidRPr="0044344D" w:rsidRDefault="00C96585" w:rsidP="00070FDA">
      <w:pPr>
        <w:jc w:val="center"/>
        <w:rPr>
          <w:rFonts w:ascii="Trebuchet MS" w:hAnsi="Trebuchet MS"/>
          <w:b/>
          <w:bCs/>
          <w:noProof/>
          <w:sz w:val="22"/>
          <w:szCs w:val="22"/>
        </w:rPr>
      </w:pPr>
      <w:r w:rsidRPr="0044344D">
        <w:rPr>
          <w:rFonts w:ascii="Trebuchet MS" w:hAnsi="Trebuchet MS"/>
          <w:b/>
          <w:bCs/>
          <w:noProof/>
          <w:sz w:val="22"/>
          <w:szCs w:val="22"/>
        </w:rPr>
        <w:t>Yayoung Zheka Hardynarta</w:t>
      </w:r>
      <w:r w:rsidRPr="0044344D">
        <w:rPr>
          <w:rFonts w:ascii="Trebuchet MS" w:hAnsi="Trebuchet MS"/>
          <w:b/>
          <w:bCs/>
          <w:noProof/>
          <w:sz w:val="22"/>
          <w:szCs w:val="22"/>
          <w:vertAlign w:val="superscript"/>
        </w:rPr>
        <w:t>5</w:t>
      </w:r>
      <w:r w:rsidRPr="0044344D">
        <w:rPr>
          <w:rFonts w:ascii="Trebuchet MS" w:hAnsi="Trebuchet MS"/>
          <w:b/>
          <w:bCs/>
          <w:noProof/>
          <w:sz w:val="22"/>
          <w:szCs w:val="22"/>
        </w:rPr>
        <w:t>, Lusia Febrianty Daeng</w:t>
      </w:r>
      <w:r w:rsidRPr="0044344D">
        <w:rPr>
          <w:rFonts w:ascii="Trebuchet MS" w:hAnsi="Trebuchet MS"/>
          <w:b/>
          <w:bCs/>
          <w:noProof/>
          <w:sz w:val="22"/>
          <w:szCs w:val="22"/>
          <w:vertAlign w:val="superscript"/>
        </w:rPr>
        <w:t>6</w:t>
      </w:r>
      <w:r w:rsidRPr="0044344D">
        <w:rPr>
          <w:rFonts w:ascii="Trebuchet MS" w:hAnsi="Trebuchet MS"/>
          <w:b/>
          <w:bCs/>
          <w:noProof/>
          <w:sz w:val="22"/>
          <w:szCs w:val="22"/>
        </w:rPr>
        <w:t>, Muhammad Evan Permana</w:t>
      </w:r>
      <w:r w:rsidRPr="0044344D">
        <w:rPr>
          <w:rFonts w:ascii="Trebuchet MS" w:hAnsi="Trebuchet MS"/>
          <w:b/>
          <w:bCs/>
          <w:noProof/>
          <w:sz w:val="22"/>
          <w:szCs w:val="22"/>
          <w:vertAlign w:val="superscript"/>
        </w:rPr>
        <w:t>7</w:t>
      </w:r>
    </w:p>
    <w:p w14:paraId="4B84491C" w14:textId="7028A613" w:rsidR="00C96585" w:rsidRPr="00977615" w:rsidRDefault="00C96585" w:rsidP="00070FDA">
      <w:pPr>
        <w:jc w:val="center"/>
        <w:rPr>
          <w:rFonts w:ascii="Trebuchet MS" w:hAnsi="Trebuchet MS"/>
          <w:noProof/>
          <w:sz w:val="18"/>
          <w:szCs w:val="18"/>
        </w:rPr>
      </w:pPr>
      <w:r w:rsidRPr="00977615">
        <w:rPr>
          <w:rFonts w:ascii="Trebuchet MS" w:hAnsi="Trebuchet MS"/>
          <w:noProof/>
          <w:sz w:val="18"/>
          <w:szCs w:val="18"/>
          <w:vertAlign w:val="superscript"/>
        </w:rPr>
        <w:t>1</w:t>
      </w:r>
      <w:r w:rsidR="0044344D" w:rsidRPr="00977615">
        <w:rPr>
          <w:rFonts w:ascii="Trebuchet MS" w:hAnsi="Trebuchet MS"/>
          <w:noProof/>
          <w:sz w:val="18"/>
          <w:szCs w:val="18"/>
          <w:vertAlign w:val="superscript"/>
        </w:rPr>
        <w:t>,2,3,4,5,6,</w:t>
      </w:r>
      <w:r w:rsidR="00977615" w:rsidRPr="00977615">
        <w:rPr>
          <w:rFonts w:ascii="Trebuchet MS" w:hAnsi="Trebuchet MS"/>
          <w:sz w:val="18"/>
          <w:szCs w:val="18"/>
          <w:vertAlign w:val="superscript"/>
        </w:rPr>
        <w:t>7</w:t>
      </w:r>
      <w:r w:rsidR="00977615" w:rsidRPr="00977615">
        <w:rPr>
          <w:rFonts w:ascii="Trebuchet MS" w:hAnsi="Trebuchet MS"/>
          <w:noProof/>
          <w:sz w:val="18"/>
          <w:szCs w:val="18"/>
        </w:rPr>
        <w:t>Teknik Elektro, Universitas Telkom</w:t>
      </w:r>
      <w:r w:rsidR="0044344D" w:rsidRPr="00977615">
        <w:rPr>
          <w:rFonts w:ascii="Trebuchet MS" w:hAnsi="Trebuchet MS"/>
          <w:noProof/>
          <w:sz w:val="18"/>
          <w:szCs w:val="18"/>
        </w:rPr>
        <w:t xml:space="preserve">, </w:t>
      </w:r>
      <w:r w:rsidR="003F67B6" w:rsidRPr="00977615">
        <w:rPr>
          <w:rFonts w:ascii="Trebuchet MS" w:hAnsi="Trebuchet MS"/>
          <w:noProof/>
          <w:sz w:val="18"/>
          <w:szCs w:val="18"/>
        </w:rPr>
        <w:t>Indonesia</w:t>
      </w:r>
    </w:p>
    <w:p w14:paraId="70DD360A" w14:textId="65416445" w:rsidR="00D41274" w:rsidRPr="0044344D" w:rsidRDefault="00193D8D" w:rsidP="00070FDA">
      <w:pPr>
        <w:jc w:val="center"/>
        <w:rPr>
          <w:rFonts w:ascii="Trebuchet MS" w:hAnsi="Trebuchet MS"/>
          <w:noProof/>
          <w:sz w:val="18"/>
          <w:szCs w:val="18"/>
        </w:rPr>
        <w:sectPr w:rsidR="00D41274" w:rsidRPr="0044344D" w:rsidSect="0044344D">
          <w:headerReference w:type="even" r:id="rId8"/>
          <w:headerReference w:type="default" r:id="rId9"/>
          <w:headerReference w:type="first" r:id="rId10"/>
          <w:footerReference w:type="first" r:id="rId11"/>
          <w:pgSz w:w="11906" w:h="16838" w:code="9"/>
          <w:pgMar w:top="1134" w:right="1701" w:bottom="1134" w:left="1701" w:header="567" w:footer="431" w:gutter="0"/>
          <w:pgNumType w:start="3725"/>
          <w:cols w:space="708"/>
          <w:titlePg/>
          <w:docGrid w:linePitch="360"/>
        </w:sectPr>
      </w:pPr>
      <w:hyperlink r:id="rId12" w:history="1">
        <w:r w:rsidR="00C96585" w:rsidRPr="0044344D">
          <w:rPr>
            <w:rStyle w:val="Hyperlink"/>
            <w:rFonts w:ascii="Trebuchet MS" w:hAnsi="Trebuchet MS"/>
            <w:noProof/>
            <w:sz w:val="18"/>
            <w:szCs w:val="18"/>
          </w:rPr>
          <w:t>isahafidz@telkomuniversity.ac.id</w:t>
        </w:r>
      </w:hyperlink>
    </w:p>
    <w:p w14:paraId="716F16CA" w14:textId="77777777" w:rsidR="009D3C51" w:rsidRPr="0044344D" w:rsidRDefault="009D3C51" w:rsidP="00070FD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44344D" w14:paraId="61EBF61E"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4DCA38A5" w14:textId="77777777" w:rsidR="00BF5282" w:rsidRPr="0044344D" w:rsidRDefault="00BF5282" w:rsidP="00070FDA">
            <w:pPr>
              <w:jc w:val="center"/>
              <w:rPr>
                <w:rFonts w:ascii="Century Gothic" w:hAnsi="Century Gothic"/>
                <w:color w:val="000000"/>
                <w:sz w:val="20"/>
                <w:szCs w:val="20"/>
              </w:rPr>
            </w:pPr>
            <w:r w:rsidRPr="0044344D">
              <w:rPr>
                <w:rFonts w:ascii="Century Gothic" w:hAnsi="Century Gothic"/>
                <w:b/>
                <w:bCs/>
                <w:iCs/>
                <w:color w:val="000000"/>
                <w:sz w:val="20"/>
                <w:szCs w:val="20"/>
              </w:rPr>
              <w:t>ABSTRAK</w:t>
            </w:r>
          </w:p>
        </w:tc>
      </w:tr>
      <w:tr w:rsidR="00BF5282" w:rsidRPr="0044344D" w14:paraId="56FC2E40"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344DD77B" w14:textId="2930BE75" w:rsidR="00617F7E" w:rsidRDefault="00BF5282" w:rsidP="00070FDA">
            <w:pPr>
              <w:jc w:val="both"/>
              <w:rPr>
                <w:rStyle w:val="longtext"/>
                <w:rFonts w:ascii="Century" w:hAnsi="Century"/>
                <w:sz w:val="20"/>
                <w:szCs w:val="20"/>
                <w:shd w:val="clear" w:color="auto" w:fill="FFFFFF"/>
                <w:lang w:val="sv-SE"/>
              </w:rPr>
            </w:pPr>
            <w:r w:rsidRPr="0044344D">
              <w:rPr>
                <w:rFonts w:ascii="Century" w:hAnsi="Century"/>
                <w:b/>
                <w:iCs/>
                <w:sz w:val="20"/>
                <w:szCs w:val="20"/>
                <w:lang w:val="id-ID"/>
              </w:rPr>
              <w:t>Abstrak</w:t>
            </w:r>
            <w:r w:rsidRPr="0044344D">
              <w:rPr>
                <w:rFonts w:ascii="Century" w:hAnsi="Century"/>
                <w:iCs/>
                <w:sz w:val="20"/>
                <w:szCs w:val="20"/>
                <w:lang w:val="id-ID"/>
              </w:rPr>
              <w:t>:</w:t>
            </w:r>
            <w:r w:rsidRPr="0044344D">
              <w:rPr>
                <w:rFonts w:ascii="Century" w:hAnsi="Century"/>
                <w:i/>
                <w:iCs/>
                <w:sz w:val="20"/>
                <w:szCs w:val="20"/>
                <w:lang w:val="id-ID"/>
              </w:rPr>
              <w:t xml:space="preserve"> </w:t>
            </w:r>
            <w:r w:rsidR="00617F7E" w:rsidRPr="0044344D">
              <w:rPr>
                <w:rStyle w:val="longtext"/>
                <w:rFonts w:ascii="Century" w:hAnsi="Century"/>
                <w:sz w:val="20"/>
                <w:szCs w:val="20"/>
                <w:shd w:val="clear" w:color="auto" w:fill="FFFFFF"/>
                <w:lang w:val="sv-SE"/>
              </w:rPr>
              <w:t xml:space="preserve">Pemanfaatan energi alternatif, khususnya energi surya, menjadi tantangan besar di masa depan. Masalah yang dihadapi adalah rendahnya pemahaman dan keterampilan masyarakat, khususnya generasi muda, mengenai konversi energi terbarukan menjadi listrik. Tujuan pengabdian ini adalah memberikan pelatihan </w:t>
            </w:r>
            <w:r w:rsidR="00857749" w:rsidRPr="0044344D">
              <w:rPr>
                <w:rStyle w:val="longtext"/>
                <w:rFonts w:ascii="Century" w:hAnsi="Century"/>
                <w:sz w:val="20"/>
                <w:szCs w:val="20"/>
                <w:shd w:val="clear" w:color="auto" w:fill="FFFFFF"/>
                <w:lang w:val="sv-SE"/>
              </w:rPr>
              <w:t xml:space="preserve">kemampuan teknis berupa </w:t>
            </w:r>
            <w:r w:rsidR="00617F7E" w:rsidRPr="0044344D">
              <w:rPr>
                <w:rStyle w:val="longtext"/>
                <w:rFonts w:ascii="Century" w:hAnsi="Century"/>
                <w:sz w:val="20"/>
                <w:szCs w:val="20"/>
                <w:shd w:val="clear" w:color="auto" w:fill="FFFFFF"/>
                <w:lang w:val="sv-SE"/>
              </w:rPr>
              <w:t xml:space="preserve">instalasi dan pengenalan perangkat pembangkit tenaga surya kepada guru dan siswa </w:t>
            </w:r>
            <w:r w:rsidR="003854ED" w:rsidRPr="0044344D">
              <w:rPr>
                <w:rStyle w:val="longtext"/>
                <w:rFonts w:ascii="Century" w:hAnsi="Century"/>
                <w:sz w:val="20"/>
                <w:szCs w:val="20"/>
                <w:shd w:val="clear" w:color="auto" w:fill="FFFFFF"/>
                <w:lang w:val="sv-SE"/>
              </w:rPr>
              <w:t xml:space="preserve">Sekolah Menengah Kejuruan Negeri </w:t>
            </w:r>
            <w:r w:rsidR="00617F7E" w:rsidRPr="0044344D">
              <w:rPr>
                <w:rStyle w:val="longtext"/>
                <w:rFonts w:ascii="Century" w:hAnsi="Century"/>
                <w:sz w:val="20"/>
                <w:szCs w:val="20"/>
                <w:shd w:val="clear" w:color="auto" w:fill="FFFFFF"/>
                <w:lang w:val="sv-SE"/>
              </w:rPr>
              <w:t>2 Lamongan. Metode yang digunakan berupa workshop dan praktikum, dengan peserta yang terdiri dari guru dan siswa</w:t>
            </w:r>
            <w:r w:rsidR="00695022" w:rsidRPr="0044344D">
              <w:rPr>
                <w:rStyle w:val="longtext"/>
                <w:rFonts w:ascii="Century" w:hAnsi="Century"/>
                <w:sz w:val="20"/>
                <w:szCs w:val="20"/>
                <w:shd w:val="clear" w:color="auto" w:fill="FFFFFF"/>
                <w:lang w:val="sv-SE"/>
              </w:rPr>
              <w:t xml:space="preserve"> sebanyak </w:t>
            </w:r>
            <w:r w:rsidR="00D20663" w:rsidRPr="0044344D">
              <w:rPr>
                <w:rStyle w:val="longtext"/>
                <w:rFonts w:ascii="Century" w:hAnsi="Century"/>
                <w:sz w:val="20"/>
                <w:szCs w:val="20"/>
                <w:shd w:val="clear" w:color="auto" w:fill="FFFFFF"/>
                <w:lang w:val="sv-SE"/>
              </w:rPr>
              <w:t>19</w:t>
            </w:r>
            <w:r w:rsidR="00695022" w:rsidRPr="0044344D">
              <w:rPr>
                <w:rStyle w:val="longtext"/>
                <w:rFonts w:ascii="Century" w:hAnsi="Century"/>
                <w:sz w:val="20"/>
                <w:szCs w:val="20"/>
                <w:shd w:val="clear" w:color="auto" w:fill="FFFFFF"/>
                <w:lang w:val="sv-SE"/>
              </w:rPr>
              <w:t xml:space="preserve"> orang</w:t>
            </w:r>
            <w:r w:rsidR="00617F7E" w:rsidRPr="0044344D">
              <w:rPr>
                <w:rStyle w:val="longtext"/>
                <w:rFonts w:ascii="Century" w:hAnsi="Century"/>
                <w:sz w:val="20"/>
                <w:szCs w:val="20"/>
                <w:shd w:val="clear" w:color="auto" w:fill="FFFFFF"/>
                <w:lang w:val="sv-SE"/>
              </w:rPr>
              <w:t>. Evaluasi dilakukan melalui pengamatan langsung</w:t>
            </w:r>
            <w:r w:rsidR="00695022" w:rsidRPr="0044344D">
              <w:rPr>
                <w:rStyle w:val="longtext"/>
                <w:rFonts w:ascii="Century" w:hAnsi="Century"/>
                <w:sz w:val="20"/>
                <w:szCs w:val="20"/>
                <w:shd w:val="clear" w:color="auto" w:fill="FFFFFF"/>
                <w:lang w:val="sv-SE"/>
              </w:rPr>
              <w:t xml:space="preserve">, </w:t>
            </w:r>
            <w:r w:rsidR="00617F7E" w:rsidRPr="0044344D">
              <w:rPr>
                <w:rStyle w:val="longtext"/>
                <w:rFonts w:ascii="Century" w:hAnsi="Century"/>
                <w:sz w:val="20"/>
                <w:szCs w:val="20"/>
                <w:shd w:val="clear" w:color="auto" w:fill="FFFFFF"/>
                <w:lang w:val="sv-SE"/>
              </w:rPr>
              <w:t>penilaian keterampilan setelah pelatihan</w:t>
            </w:r>
            <w:r w:rsidR="00695022" w:rsidRPr="0044344D">
              <w:rPr>
                <w:rStyle w:val="longtext"/>
                <w:rFonts w:ascii="Century" w:hAnsi="Century"/>
                <w:sz w:val="20"/>
                <w:szCs w:val="20"/>
                <w:shd w:val="clear" w:color="auto" w:fill="FFFFFF"/>
                <w:lang w:val="sv-SE"/>
              </w:rPr>
              <w:t>, dan kuisioner kegiatan</w:t>
            </w:r>
            <w:r w:rsidR="00617F7E" w:rsidRPr="0044344D">
              <w:rPr>
                <w:rStyle w:val="longtext"/>
                <w:rFonts w:ascii="Century" w:hAnsi="Century"/>
                <w:sz w:val="20"/>
                <w:szCs w:val="20"/>
                <w:shd w:val="clear" w:color="auto" w:fill="FFFFFF"/>
                <w:lang w:val="sv-SE"/>
              </w:rPr>
              <w:t xml:space="preserve">. Dari hasil kegiatan, survey mayoritas peserta menilai materi sangat relevan dan dapat diterapkan dalam pendidikan vokasi dan </w:t>
            </w:r>
            <w:r w:rsidR="00317BEF" w:rsidRPr="0044344D">
              <w:rPr>
                <w:rStyle w:val="longtext"/>
                <w:rFonts w:ascii="Century" w:hAnsi="Century"/>
                <w:sz w:val="20"/>
                <w:szCs w:val="20"/>
                <w:shd w:val="clear" w:color="auto" w:fill="FFFFFF"/>
                <w:lang w:val="sv-SE"/>
              </w:rPr>
              <w:t>industri</w:t>
            </w:r>
            <w:r w:rsidR="00617F7E" w:rsidRPr="0044344D">
              <w:rPr>
                <w:rStyle w:val="longtext"/>
                <w:rFonts w:ascii="Century" w:hAnsi="Century"/>
                <w:sz w:val="20"/>
                <w:szCs w:val="20"/>
                <w:shd w:val="clear" w:color="auto" w:fill="FFFFFF"/>
                <w:lang w:val="sv-SE"/>
              </w:rPr>
              <w:t xml:space="preserve"> dimana 52,4% peserta memberikan poin terbaik. Penyampaian materi oleh instruktur juga mendapat penilaian tertinggi pada 42,1%, </w:t>
            </w:r>
            <w:r w:rsidR="005D4CE1" w:rsidRPr="0044344D">
              <w:rPr>
                <w:rStyle w:val="longtext"/>
                <w:rFonts w:ascii="Century" w:hAnsi="Century"/>
                <w:sz w:val="20"/>
                <w:szCs w:val="20"/>
                <w:shd w:val="clear" w:color="auto" w:fill="FFFFFF"/>
                <w:lang w:val="sv-SE"/>
              </w:rPr>
              <w:t>menjelaskan</w:t>
            </w:r>
            <w:r w:rsidR="00617F7E" w:rsidRPr="0044344D">
              <w:rPr>
                <w:rStyle w:val="longtext"/>
                <w:rFonts w:ascii="Century" w:hAnsi="Century"/>
                <w:sz w:val="20"/>
                <w:szCs w:val="20"/>
                <w:shd w:val="clear" w:color="auto" w:fill="FFFFFF"/>
                <w:lang w:val="sv-SE"/>
              </w:rPr>
              <w:t xml:space="preserve"> kemampuan instruktur dalam menyampaikan konsep dengan jelas. Sebanyak 70 % peserta menilai program ini </w:t>
            </w:r>
            <w:r w:rsidR="005D4CE1" w:rsidRPr="0044344D">
              <w:rPr>
                <w:rStyle w:val="longtext"/>
                <w:rFonts w:ascii="Century" w:hAnsi="Century"/>
                <w:sz w:val="20"/>
                <w:szCs w:val="20"/>
                <w:shd w:val="clear" w:color="auto" w:fill="FFFFFF"/>
                <w:lang w:val="sv-SE"/>
              </w:rPr>
              <w:t>relevan</w:t>
            </w:r>
            <w:r w:rsidR="00617F7E" w:rsidRPr="0044344D">
              <w:rPr>
                <w:rStyle w:val="longtext"/>
                <w:rFonts w:ascii="Century" w:hAnsi="Century"/>
                <w:sz w:val="20"/>
                <w:szCs w:val="20"/>
                <w:shd w:val="clear" w:color="auto" w:fill="FFFFFF"/>
                <w:lang w:val="sv-SE"/>
              </w:rPr>
              <w:t>, terlihat dari tingkat kepuasan peserta yang tinggi dan penilaian positif terhadap sarana praktikum yang disediakan. Program ini berpotensi meningkatkan kesadaran dan keterampilan di bidang energi terbarukan di kalangan generasi muda.</w:t>
            </w:r>
          </w:p>
          <w:p w14:paraId="4E074FFE" w14:textId="77777777" w:rsidR="0044344D" w:rsidRPr="0044344D" w:rsidRDefault="0044344D" w:rsidP="00070FDA">
            <w:pPr>
              <w:jc w:val="both"/>
              <w:rPr>
                <w:rStyle w:val="longtext"/>
                <w:rFonts w:ascii="Century" w:hAnsi="Century"/>
                <w:sz w:val="20"/>
                <w:szCs w:val="20"/>
                <w:shd w:val="clear" w:color="auto" w:fill="FFFFFF"/>
                <w:lang w:val="sv-SE"/>
              </w:rPr>
            </w:pPr>
          </w:p>
          <w:p w14:paraId="295069D1" w14:textId="76363EDD" w:rsidR="00BF5282" w:rsidRDefault="00BF5282" w:rsidP="00070FDA">
            <w:pPr>
              <w:jc w:val="both"/>
              <w:rPr>
                <w:rStyle w:val="longtext"/>
                <w:rFonts w:ascii="Century" w:hAnsi="Century"/>
                <w:i/>
                <w:sz w:val="20"/>
                <w:szCs w:val="20"/>
                <w:shd w:val="clear" w:color="auto" w:fill="FFFFFF"/>
                <w:lang w:val="sv-SE"/>
              </w:rPr>
            </w:pPr>
            <w:r w:rsidRPr="0044344D">
              <w:rPr>
                <w:rStyle w:val="longtext"/>
                <w:rFonts w:ascii="Century" w:hAnsi="Century"/>
                <w:b/>
                <w:sz w:val="20"/>
                <w:szCs w:val="20"/>
                <w:shd w:val="clear" w:color="auto" w:fill="FFFFFF"/>
                <w:lang w:val="sv-SE"/>
              </w:rPr>
              <w:t xml:space="preserve">Kata Kunci: </w:t>
            </w:r>
            <w:r w:rsidR="00617F7E" w:rsidRPr="0044344D">
              <w:rPr>
                <w:rStyle w:val="longtext"/>
                <w:rFonts w:ascii="Century" w:hAnsi="Century"/>
                <w:i/>
                <w:sz w:val="20"/>
                <w:szCs w:val="20"/>
                <w:shd w:val="clear" w:color="auto" w:fill="FFFFFF"/>
                <w:lang w:val="sv-SE"/>
              </w:rPr>
              <w:t>Energi Alternatif; Konversi Energi Terbarukan; Energi Surya; Instalasi</w:t>
            </w:r>
            <w:r w:rsidR="00420C35" w:rsidRPr="0044344D">
              <w:rPr>
                <w:rStyle w:val="longtext"/>
                <w:rFonts w:ascii="Century" w:hAnsi="Century"/>
                <w:i/>
                <w:sz w:val="20"/>
                <w:szCs w:val="20"/>
                <w:shd w:val="clear" w:color="auto" w:fill="FFFFFF"/>
                <w:lang w:val="sv-SE"/>
              </w:rPr>
              <w:t>.</w:t>
            </w:r>
          </w:p>
          <w:p w14:paraId="1A1692F5" w14:textId="77777777" w:rsidR="0044344D" w:rsidRPr="0044344D" w:rsidRDefault="0044344D" w:rsidP="00070FDA">
            <w:pPr>
              <w:jc w:val="both"/>
              <w:rPr>
                <w:rFonts w:ascii="Century" w:hAnsi="Century"/>
                <w:i/>
                <w:sz w:val="20"/>
                <w:szCs w:val="20"/>
                <w:shd w:val="clear" w:color="auto" w:fill="FFFFFF"/>
                <w:lang w:val="sv-SE"/>
              </w:rPr>
            </w:pPr>
          </w:p>
          <w:p w14:paraId="0CF8527E" w14:textId="6582B0B1" w:rsidR="00BF5282" w:rsidRDefault="00BF5282" w:rsidP="00070FDA">
            <w:pPr>
              <w:jc w:val="both"/>
              <w:rPr>
                <w:rFonts w:ascii="Century" w:hAnsi="Century"/>
                <w:i/>
                <w:sz w:val="20"/>
                <w:szCs w:val="20"/>
                <w:lang w:val="en-US"/>
              </w:rPr>
            </w:pPr>
            <w:r w:rsidRPr="0044344D">
              <w:rPr>
                <w:rFonts w:ascii="Century" w:hAnsi="Century"/>
                <w:b/>
                <w:i/>
                <w:sz w:val="20"/>
                <w:szCs w:val="20"/>
                <w:lang w:val="en-US"/>
              </w:rPr>
              <w:t>Abstract:</w:t>
            </w:r>
            <w:r w:rsidRPr="0044344D">
              <w:rPr>
                <w:rFonts w:ascii="Century" w:hAnsi="Century"/>
                <w:i/>
                <w:sz w:val="20"/>
                <w:szCs w:val="20"/>
                <w:lang w:val="en-US"/>
              </w:rPr>
              <w:t xml:space="preserve"> </w:t>
            </w:r>
            <w:r w:rsidR="00617F7E" w:rsidRPr="0044344D">
              <w:rPr>
                <w:rFonts w:ascii="Century" w:hAnsi="Century"/>
                <w:i/>
                <w:sz w:val="20"/>
                <w:szCs w:val="20"/>
                <w:lang w:val="en-US"/>
              </w:rPr>
              <w:t xml:space="preserve">Utilization of alternative energy, especially solar energy, is a major challenge in the future. The problem faced is the low understanding and skills of the community, especially the younger generation, regarding the conversion of renewable energy into electricity. The purpose of this community service is to provide training on installation and introduction of solar power generation devices to teachers and students of </w:t>
            </w:r>
            <w:proofErr w:type="spellStart"/>
            <w:r w:rsidR="003854ED" w:rsidRPr="0044344D">
              <w:rPr>
                <w:rFonts w:ascii="Century" w:hAnsi="Century"/>
                <w:i/>
                <w:sz w:val="20"/>
                <w:szCs w:val="20"/>
                <w:lang w:val="en-US"/>
              </w:rPr>
              <w:t>Sekolah</w:t>
            </w:r>
            <w:proofErr w:type="spellEnd"/>
            <w:r w:rsidR="003854ED" w:rsidRPr="0044344D">
              <w:rPr>
                <w:rFonts w:ascii="Century" w:hAnsi="Century"/>
                <w:i/>
                <w:sz w:val="20"/>
                <w:szCs w:val="20"/>
                <w:lang w:val="en-US"/>
              </w:rPr>
              <w:t xml:space="preserve"> </w:t>
            </w:r>
            <w:proofErr w:type="spellStart"/>
            <w:r w:rsidR="003854ED" w:rsidRPr="0044344D">
              <w:rPr>
                <w:rFonts w:ascii="Century" w:hAnsi="Century"/>
                <w:i/>
                <w:sz w:val="20"/>
                <w:szCs w:val="20"/>
                <w:lang w:val="en-US"/>
              </w:rPr>
              <w:t>Menengah</w:t>
            </w:r>
            <w:proofErr w:type="spellEnd"/>
            <w:r w:rsidR="003854ED" w:rsidRPr="0044344D">
              <w:rPr>
                <w:rFonts w:ascii="Century" w:hAnsi="Century"/>
                <w:i/>
                <w:sz w:val="20"/>
                <w:szCs w:val="20"/>
                <w:lang w:val="en-US"/>
              </w:rPr>
              <w:t xml:space="preserve"> </w:t>
            </w:r>
            <w:proofErr w:type="spellStart"/>
            <w:r w:rsidR="003854ED" w:rsidRPr="0044344D">
              <w:rPr>
                <w:rFonts w:ascii="Century" w:hAnsi="Century"/>
                <w:i/>
                <w:sz w:val="20"/>
                <w:szCs w:val="20"/>
                <w:lang w:val="en-US"/>
              </w:rPr>
              <w:t>Kejuruan</w:t>
            </w:r>
            <w:proofErr w:type="spellEnd"/>
            <w:r w:rsidR="003854ED" w:rsidRPr="0044344D">
              <w:rPr>
                <w:rFonts w:ascii="Century" w:hAnsi="Century"/>
                <w:i/>
                <w:sz w:val="20"/>
                <w:szCs w:val="20"/>
                <w:lang w:val="en-US"/>
              </w:rPr>
              <w:t xml:space="preserve"> Negeri </w:t>
            </w:r>
            <w:r w:rsidR="00617F7E" w:rsidRPr="0044344D">
              <w:rPr>
                <w:rFonts w:ascii="Century" w:hAnsi="Century"/>
                <w:i/>
                <w:sz w:val="20"/>
                <w:szCs w:val="20"/>
                <w:lang w:val="en-US"/>
              </w:rPr>
              <w:t xml:space="preserve">2 </w:t>
            </w:r>
            <w:proofErr w:type="spellStart"/>
            <w:r w:rsidR="00617F7E" w:rsidRPr="0044344D">
              <w:rPr>
                <w:rFonts w:ascii="Century" w:hAnsi="Century"/>
                <w:i/>
                <w:sz w:val="20"/>
                <w:szCs w:val="20"/>
                <w:lang w:val="en-US"/>
              </w:rPr>
              <w:t>Lamongan</w:t>
            </w:r>
            <w:proofErr w:type="spellEnd"/>
            <w:r w:rsidR="00617F7E" w:rsidRPr="0044344D">
              <w:rPr>
                <w:rFonts w:ascii="Century" w:hAnsi="Century"/>
                <w:i/>
                <w:sz w:val="20"/>
                <w:szCs w:val="20"/>
                <w:lang w:val="en-US"/>
              </w:rPr>
              <w:t>. The methods used are workshops and practicums, with participants consisting of teachers and students. Evaluation is carried out through direct observation and assessment of skills after training. From the results of the activity, the survey of the majority of participants considered the material very relevant and applicable in vocational education and industry, where 52.4% of participants gave the best points. The delivery of material by the instructor also received the highest rating at 42.1%, reflecting the instructor's ability to convey concepts clearly. As many as 70% of participants considered this program successful, as seen from the high level of participant satisfaction and positive assessment of the practicum facilities provided. This program has the potential to increase awareness and skills in the field of renewable energy among the younger generation.</w:t>
            </w:r>
          </w:p>
          <w:p w14:paraId="784142A2" w14:textId="77777777" w:rsidR="0044344D" w:rsidRPr="0044344D" w:rsidRDefault="0044344D" w:rsidP="00070FDA">
            <w:pPr>
              <w:jc w:val="both"/>
              <w:rPr>
                <w:rFonts w:ascii="Century" w:hAnsi="Century"/>
                <w:i/>
                <w:sz w:val="20"/>
                <w:szCs w:val="20"/>
                <w:lang w:val="en-US"/>
              </w:rPr>
            </w:pPr>
          </w:p>
          <w:p w14:paraId="2D815DE7" w14:textId="77777777" w:rsidR="00BF5282" w:rsidRPr="0044344D" w:rsidRDefault="00BF5282" w:rsidP="00070FDA">
            <w:pPr>
              <w:jc w:val="both"/>
              <w:rPr>
                <w:rFonts w:ascii="Century" w:hAnsi="Century"/>
                <w:b/>
                <w:i/>
                <w:sz w:val="20"/>
                <w:szCs w:val="20"/>
                <w:lang w:val="en-US"/>
              </w:rPr>
            </w:pPr>
            <w:r w:rsidRPr="0044344D">
              <w:rPr>
                <w:rFonts w:ascii="Century" w:hAnsi="Century"/>
                <w:b/>
                <w:i/>
                <w:sz w:val="20"/>
                <w:szCs w:val="20"/>
                <w:lang w:val="en-US"/>
              </w:rPr>
              <w:t>Keywords:</w:t>
            </w:r>
            <w:r w:rsidR="00420C35" w:rsidRPr="0044344D">
              <w:rPr>
                <w:rFonts w:ascii="Century" w:hAnsi="Century"/>
                <w:b/>
                <w:i/>
                <w:sz w:val="20"/>
                <w:szCs w:val="20"/>
                <w:lang w:val="en-US"/>
              </w:rPr>
              <w:t xml:space="preserve"> </w:t>
            </w:r>
            <w:r w:rsidR="00617F7E" w:rsidRPr="0044344D">
              <w:rPr>
                <w:rFonts w:ascii="Century" w:hAnsi="Century"/>
                <w:bCs/>
                <w:i/>
                <w:sz w:val="20"/>
                <w:szCs w:val="20"/>
                <w:lang w:val="en-US"/>
              </w:rPr>
              <w:t>Alternative Energy; Renewable Energy Conversion; Solar Energy; Installation Training.</w:t>
            </w:r>
          </w:p>
        </w:tc>
      </w:tr>
      <w:tr w:rsidR="00BF5282" w:rsidRPr="0044344D" w14:paraId="12807434"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23872418" w14:textId="77777777" w:rsidR="00BF5282" w:rsidRPr="0044344D" w:rsidRDefault="00BF5282" w:rsidP="00070FDA">
            <w:pPr>
              <w:jc w:val="both"/>
              <w:rPr>
                <w:rFonts w:ascii="Century" w:hAnsi="Century"/>
                <w:iCs/>
                <w:color w:val="000000"/>
                <w:sz w:val="20"/>
                <w:szCs w:val="20"/>
              </w:rPr>
            </w:pPr>
          </w:p>
        </w:tc>
      </w:tr>
      <w:tr w:rsidR="00005CE1" w:rsidRPr="0044344D" w14:paraId="5A50307D" w14:textId="77777777" w:rsidTr="00005CE1">
        <w:trPr>
          <w:trHeight w:val="866"/>
          <w:jc w:val="center"/>
        </w:trPr>
        <w:tc>
          <w:tcPr>
            <w:tcW w:w="1243" w:type="dxa"/>
            <w:tcBorders>
              <w:top w:val="single" w:sz="4" w:space="0" w:color="auto"/>
              <w:left w:val="nil"/>
              <w:bottom w:val="single" w:sz="4" w:space="0" w:color="auto"/>
              <w:right w:val="nil"/>
            </w:tcBorders>
          </w:tcPr>
          <w:p w14:paraId="64F6AD4E" w14:textId="77777777" w:rsidR="00005CE1" w:rsidRPr="0044344D" w:rsidRDefault="00005CE1" w:rsidP="00070FDA">
            <w:pPr>
              <w:jc w:val="both"/>
              <w:rPr>
                <w:rFonts w:ascii="Century" w:hAnsi="Century"/>
                <w:iCs/>
                <w:color w:val="000000"/>
                <w:sz w:val="20"/>
                <w:szCs w:val="20"/>
              </w:rPr>
            </w:pPr>
            <w:r w:rsidRPr="0044344D">
              <w:rPr>
                <w:rFonts w:ascii="Century" w:hAnsi="Century"/>
                <w:b/>
                <w:noProof/>
                <w:sz w:val="22"/>
                <w:szCs w:val="16"/>
                <w:lang w:val="en-US" w:eastAsia="en-US"/>
              </w:rPr>
              <w:drawing>
                <wp:anchor distT="0" distB="0" distL="114300" distR="114300" simplePos="0" relativeHeight="251659264" behindDoc="0" locked="0" layoutInCell="1" allowOverlap="1" wp14:anchorId="6AEA351B" wp14:editId="3604375C">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66636EF0" w14:textId="77777777" w:rsidR="00005CE1" w:rsidRPr="0044344D" w:rsidRDefault="00005CE1" w:rsidP="00070FDA">
            <w:pPr>
              <w:jc w:val="both"/>
              <w:rPr>
                <w:rFonts w:ascii="Century" w:hAnsi="Century"/>
                <w:b/>
                <w:sz w:val="18"/>
                <w:szCs w:val="18"/>
              </w:rPr>
            </w:pPr>
            <w:r w:rsidRPr="0044344D">
              <w:rPr>
                <w:rFonts w:ascii="Century" w:hAnsi="Century"/>
                <w:b/>
                <w:sz w:val="18"/>
                <w:szCs w:val="18"/>
              </w:rPr>
              <w:t>Article History:</w:t>
            </w:r>
          </w:p>
          <w:p w14:paraId="27351A27" w14:textId="77777777" w:rsidR="0044344D" w:rsidRPr="0044344D" w:rsidRDefault="0044344D" w:rsidP="00070FDA">
            <w:pPr>
              <w:jc w:val="both"/>
              <w:rPr>
                <w:rFonts w:ascii="Century" w:hAnsi="Century"/>
                <w:sz w:val="18"/>
                <w:szCs w:val="18"/>
              </w:rPr>
            </w:pPr>
            <w:r w:rsidRPr="0044344D">
              <w:rPr>
                <w:rFonts w:ascii="Century" w:hAnsi="Century"/>
                <w:sz w:val="18"/>
                <w:szCs w:val="18"/>
              </w:rPr>
              <w:t>Received: 18-06-2025</w:t>
            </w:r>
          </w:p>
          <w:p w14:paraId="3B39030A" w14:textId="12C1111C" w:rsidR="0044344D" w:rsidRPr="0044344D" w:rsidRDefault="0044344D" w:rsidP="00070FDA">
            <w:pPr>
              <w:jc w:val="both"/>
              <w:rPr>
                <w:rFonts w:ascii="Century" w:hAnsi="Century"/>
                <w:sz w:val="18"/>
                <w:szCs w:val="18"/>
              </w:rPr>
            </w:pPr>
            <w:proofErr w:type="gramStart"/>
            <w:r w:rsidRPr="0044344D">
              <w:rPr>
                <w:rFonts w:ascii="Century" w:hAnsi="Century"/>
                <w:sz w:val="18"/>
                <w:szCs w:val="18"/>
              </w:rPr>
              <w:t>Revised  :</w:t>
            </w:r>
            <w:proofErr w:type="gramEnd"/>
            <w:r w:rsidRPr="0044344D">
              <w:rPr>
                <w:rFonts w:ascii="Century" w:hAnsi="Century"/>
                <w:sz w:val="18"/>
                <w:szCs w:val="18"/>
              </w:rPr>
              <w:t xml:space="preserve"> </w:t>
            </w:r>
            <w:r w:rsidR="00E86466">
              <w:rPr>
                <w:rFonts w:ascii="Century" w:hAnsi="Century"/>
                <w:sz w:val="18"/>
                <w:szCs w:val="18"/>
              </w:rPr>
              <w:t>12</w:t>
            </w:r>
            <w:r w:rsidRPr="0044344D">
              <w:rPr>
                <w:rFonts w:ascii="Century" w:hAnsi="Century"/>
                <w:sz w:val="18"/>
                <w:szCs w:val="18"/>
              </w:rPr>
              <w:t>-</w:t>
            </w:r>
            <w:r w:rsidR="00E86466">
              <w:rPr>
                <w:rFonts w:ascii="Century" w:hAnsi="Century"/>
                <w:sz w:val="18"/>
                <w:szCs w:val="18"/>
              </w:rPr>
              <w:t>07</w:t>
            </w:r>
            <w:r w:rsidRPr="0044344D">
              <w:rPr>
                <w:rFonts w:ascii="Century" w:hAnsi="Century"/>
                <w:sz w:val="18"/>
                <w:szCs w:val="18"/>
              </w:rPr>
              <w:t>-2025</w:t>
            </w:r>
          </w:p>
          <w:p w14:paraId="15366B4E" w14:textId="409B0750" w:rsidR="0044344D" w:rsidRPr="0044344D" w:rsidRDefault="0044344D" w:rsidP="00070FDA">
            <w:pPr>
              <w:jc w:val="both"/>
              <w:rPr>
                <w:rFonts w:ascii="Century" w:hAnsi="Century"/>
                <w:sz w:val="18"/>
                <w:szCs w:val="18"/>
              </w:rPr>
            </w:pPr>
            <w:r w:rsidRPr="0044344D">
              <w:rPr>
                <w:rFonts w:ascii="Century" w:hAnsi="Century"/>
                <w:sz w:val="18"/>
                <w:szCs w:val="18"/>
              </w:rPr>
              <w:t xml:space="preserve">Accepted: </w:t>
            </w:r>
            <w:r w:rsidR="00E86466">
              <w:rPr>
                <w:rFonts w:ascii="Century" w:hAnsi="Century"/>
                <w:sz w:val="18"/>
                <w:szCs w:val="18"/>
              </w:rPr>
              <w:t>12</w:t>
            </w:r>
            <w:r w:rsidRPr="0044344D">
              <w:rPr>
                <w:rFonts w:ascii="Century" w:hAnsi="Century"/>
                <w:sz w:val="18"/>
                <w:szCs w:val="18"/>
              </w:rPr>
              <w:t>-07-2025</w:t>
            </w:r>
          </w:p>
          <w:p w14:paraId="7923765E" w14:textId="63BF4C8D" w:rsidR="00005CE1" w:rsidRPr="0044344D" w:rsidRDefault="0044344D" w:rsidP="00070FDA">
            <w:pPr>
              <w:jc w:val="both"/>
              <w:rPr>
                <w:rFonts w:ascii="Century" w:hAnsi="Century"/>
                <w:iCs/>
                <w:color w:val="000000"/>
                <w:sz w:val="20"/>
                <w:szCs w:val="20"/>
              </w:rPr>
            </w:pPr>
            <w:r w:rsidRPr="0044344D">
              <w:rPr>
                <w:rFonts w:ascii="Century" w:hAnsi="Century"/>
                <w:sz w:val="18"/>
                <w:szCs w:val="18"/>
              </w:rPr>
              <w:t xml:space="preserve">Online  </w:t>
            </w:r>
            <w:proofErr w:type="gramStart"/>
            <w:r w:rsidRPr="0044344D">
              <w:rPr>
                <w:rFonts w:ascii="Century" w:hAnsi="Century"/>
                <w:sz w:val="18"/>
                <w:szCs w:val="18"/>
              </w:rPr>
              <w:t xml:space="preserve">  :</w:t>
            </w:r>
            <w:proofErr w:type="gramEnd"/>
            <w:r w:rsidRPr="0044344D">
              <w:rPr>
                <w:rFonts w:ascii="Century" w:hAnsi="Century"/>
                <w:sz w:val="18"/>
                <w:szCs w:val="18"/>
              </w:rPr>
              <w:t xml:space="preserve"> 01-08-2025</w:t>
            </w:r>
          </w:p>
        </w:tc>
        <w:tc>
          <w:tcPr>
            <w:tcW w:w="4183" w:type="dxa"/>
            <w:gridSpan w:val="2"/>
            <w:tcBorders>
              <w:top w:val="single" w:sz="4" w:space="0" w:color="auto"/>
              <w:left w:val="nil"/>
              <w:bottom w:val="single" w:sz="4" w:space="0" w:color="auto"/>
              <w:right w:val="nil"/>
            </w:tcBorders>
          </w:tcPr>
          <w:p w14:paraId="6080D9F9" w14:textId="77777777" w:rsidR="00005CE1" w:rsidRPr="0044344D" w:rsidRDefault="00005CE1" w:rsidP="00070FDA">
            <w:pPr>
              <w:ind w:right="-13"/>
              <w:jc w:val="right"/>
              <w:rPr>
                <w:rFonts w:ascii="Century" w:hAnsi="Century"/>
                <w:i/>
                <w:iCs/>
                <w:color w:val="000000"/>
                <w:sz w:val="6"/>
                <w:szCs w:val="18"/>
              </w:rPr>
            </w:pPr>
          </w:p>
          <w:p w14:paraId="4A371FF7" w14:textId="77777777" w:rsidR="00005CE1" w:rsidRPr="0044344D" w:rsidRDefault="00005CE1" w:rsidP="00070FDA">
            <w:pPr>
              <w:ind w:right="-13"/>
              <w:jc w:val="right"/>
              <w:rPr>
                <w:rFonts w:ascii="Century" w:hAnsi="Century"/>
                <w:i/>
                <w:iCs/>
                <w:color w:val="000000"/>
                <w:sz w:val="18"/>
                <w:szCs w:val="18"/>
              </w:rPr>
            </w:pPr>
            <w:r w:rsidRPr="0044344D">
              <w:rPr>
                <w:rFonts w:ascii="Century" w:hAnsi="Century"/>
                <w:iCs/>
                <w:noProof/>
                <w:color w:val="000000"/>
                <w:sz w:val="18"/>
                <w:szCs w:val="18"/>
                <w:lang w:val="en-US" w:eastAsia="en-US"/>
              </w:rPr>
              <w:drawing>
                <wp:inline distT="0" distB="0" distL="0" distR="0" wp14:anchorId="5ACC8323" wp14:editId="72CFB0D3">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a:ext>
                            </a:extLst>
                          </a:blip>
                          <a:stretch>
                            <a:fillRect/>
                          </a:stretch>
                        </pic:blipFill>
                        <pic:spPr bwMode="auto">
                          <a:xfrm>
                            <a:off x="0" y="0"/>
                            <a:ext cx="943722" cy="332445"/>
                          </a:xfrm>
                          <a:prstGeom prst="rect">
                            <a:avLst/>
                          </a:prstGeom>
                          <a:noFill/>
                          <a:ln>
                            <a:noFill/>
                          </a:ln>
                        </pic:spPr>
                      </pic:pic>
                    </a:graphicData>
                  </a:graphic>
                </wp:inline>
              </w:drawing>
            </w:r>
          </w:p>
          <w:p w14:paraId="3FD21FE5" w14:textId="77777777" w:rsidR="00005CE1" w:rsidRPr="0044344D" w:rsidRDefault="00005CE1" w:rsidP="00070FDA">
            <w:pPr>
              <w:ind w:right="-13"/>
              <w:jc w:val="right"/>
              <w:rPr>
                <w:rFonts w:ascii="Century" w:hAnsi="Century"/>
                <w:i/>
                <w:iCs/>
                <w:color w:val="000000"/>
                <w:sz w:val="18"/>
                <w:szCs w:val="18"/>
              </w:rPr>
            </w:pPr>
            <w:r w:rsidRPr="0044344D">
              <w:rPr>
                <w:rFonts w:ascii="Century" w:hAnsi="Century"/>
                <w:i/>
                <w:iCs/>
                <w:color w:val="000000"/>
                <w:sz w:val="18"/>
                <w:szCs w:val="18"/>
              </w:rPr>
              <w:t xml:space="preserve">This is an open access article under the </w:t>
            </w:r>
          </w:p>
          <w:p w14:paraId="7B1E73DF" w14:textId="77777777" w:rsidR="00005CE1" w:rsidRPr="0044344D" w:rsidRDefault="00005CE1" w:rsidP="00070FDA">
            <w:pPr>
              <w:ind w:right="-13"/>
              <w:jc w:val="right"/>
              <w:rPr>
                <w:rFonts w:ascii="Century" w:hAnsi="Century"/>
                <w:sz w:val="18"/>
                <w:szCs w:val="18"/>
              </w:rPr>
            </w:pPr>
            <w:r w:rsidRPr="0044344D">
              <w:rPr>
                <w:rFonts w:ascii="Century" w:hAnsi="Century"/>
                <w:b/>
                <w:i/>
                <w:iCs/>
                <w:color w:val="4F81BD" w:themeColor="accent1"/>
                <w:sz w:val="18"/>
                <w:szCs w:val="18"/>
              </w:rPr>
              <w:t>CC–BY-SA</w:t>
            </w:r>
            <w:r w:rsidRPr="0044344D">
              <w:rPr>
                <w:rFonts w:ascii="Century" w:hAnsi="Century"/>
                <w:i/>
                <w:iCs/>
                <w:color w:val="000000"/>
                <w:sz w:val="18"/>
                <w:szCs w:val="18"/>
              </w:rPr>
              <w:t xml:space="preserve"> license</w:t>
            </w:r>
          </w:p>
        </w:tc>
      </w:tr>
    </w:tbl>
    <w:p w14:paraId="11EE151E" w14:textId="77777777" w:rsidR="00C96585" w:rsidRPr="0044344D" w:rsidRDefault="00C96585" w:rsidP="00070FDA">
      <w:pPr>
        <w:pStyle w:val="IEEEParagraph"/>
        <w:spacing w:line="276" w:lineRule="auto"/>
        <w:ind w:firstLine="0"/>
        <w:rPr>
          <w:rFonts w:ascii="Century" w:hAnsi="Century"/>
          <w:lang w:val="id-ID"/>
        </w:rPr>
        <w:sectPr w:rsidR="00C96585" w:rsidRPr="0044344D" w:rsidSect="00B47460">
          <w:type w:val="continuous"/>
          <w:pgSz w:w="11906" w:h="16838" w:code="9"/>
          <w:pgMar w:top="1134" w:right="1701" w:bottom="1134" w:left="1701" w:header="709" w:footer="709" w:gutter="0"/>
          <w:cols w:space="238"/>
          <w:docGrid w:linePitch="360"/>
        </w:sectPr>
      </w:pPr>
    </w:p>
    <w:p w14:paraId="75ACD312" w14:textId="77777777" w:rsidR="00AD335D" w:rsidRPr="0044344D" w:rsidRDefault="00AE1477" w:rsidP="00070FDA">
      <w:pPr>
        <w:pStyle w:val="IEEEHeading1"/>
        <w:numPr>
          <w:ilvl w:val="0"/>
          <w:numId w:val="11"/>
        </w:numPr>
        <w:spacing w:before="0" w:after="0" w:line="276" w:lineRule="auto"/>
        <w:ind w:left="426" w:hanging="426"/>
        <w:jc w:val="left"/>
        <w:rPr>
          <w:rFonts w:ascii="Century" w:hAnsi="Century"/>
          <w:b/>
          <w:sz w:val="25"/>
          <w:szCs w:val="25"/>
        </w:rPr>
      </w:pPr>
      <w:r w:rsidRPr="0044344D">
        <w:rPr>
          <w:rFonts w:ascii="Century" w:hAnsi="Century"/>
          <w:b/>
          <w:iCs/>
          <w:sz w:val="25"/>
          <w:szCs w:val="25"/>
          <w:lang w:val="id-ID"/>
        </w:rPr>
        <w:lastRenderedPageBreak/>
        <w:t>LATAR BELAKANG</w:t>
      </w:r>
    </w:p>
    <w:p w14:paraId="022A5C11" w14:textId="1792FA44" w:rsidR="00CE4FE8" w:rsidRPr="0044344D" w:rsidRDefault="00CE4FE8" w:rsidP="00070FDA">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bertambahnya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jumlah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penduduk</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meningkatnya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kebutuhan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menjadi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aspek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penting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kehidupan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global. </w:t>
      </w:r>
      <w:proofErr w:type="spellStart"/>
      <w:r w:rsidRPr="0044344D">
        <w:rPr>
          <w:rFonts w:ascii="Century" w:hAnsi="Century"/>
          <w:sz w:val="24"/>
          <w:szCs w:val="24"/>
          <w:lang w:val="en-US"/>
        </w:rPr>
        <w:t>Kenaikan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permintaan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membuat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sumber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sebagian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besar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berasal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bakar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fosil</w:t>
      </w:r>
      <w:proofErr w:type="spellEnd"/>
      <w:r w:rsidRPr="0044344D">
        <w:rPr>
          <w:rFonts w:ascii="Century" w:hAnsi="Century"/>
          <w:sz w:val="24"/>
          <w:szCs w:val="24"/>
          <w:lang w:val="en-US"/>
        </w:rPr>
        <w:t xml:space="preserve">, gas, dan </w:t>
      </w:r>
      <w:proofErr w:type="spellStart"/>
      <w:r w:rsidRPr="0044344D">
        <w:rPr>
          <w:rFonts w:ascii="Century" w:hAnsi="Century"/>
          <w:sz w:val="24"/>
          <w:szCs w:val="24"/>
          <w:lang w:val="en-US"/>
        </w:rPr>
        <w:t>minyak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bumi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semakin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sedikit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jumlahnya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Penggunaan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non-</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pembangkit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meluas</w:t>
      </w:r>
      <w:proofErr w:type="spellEnd"/>
      <w:r w:rsidRPr="0044344D">
        <w:rPr>
          <w:rFonts w:ascii="Century" w:hAnsi="Century"/>
          <w:sz w:val="24"/>
          <w:szCs w:val="24"/>
          <w:lang w:val="en-US"/>
        </w:rPr>
        <w:t xml:space="preserve"> di </w:t>
      </w:r>
      <w:proofErr w:type="spellStart"/>
      <w:r w:rsidRPr="0044344D">
        <w:rPr>
          <w:rFonts w:ascii="Century" w:hAnsi="Century"/>
          <w:sz w:val="24"/>
          <w:szCs w:val="24"/>
          <w:lang w:val="en-US"/>
        </w:rPr>
        <w:t>seluruh</w:t>
      </w:r>
      <w:proofErr w:type="spellEnd"/>
      <w:r w:rsidRPr="0044344D">
        <w:rPr>
          <w:rFonts w:ascii="Century" w:hAnsi="Century"/>
          <w:sz w:val="24"/>
          <w:szCs w:val="24"/>
          <w:lang w:val="en-US"/>
        </w:rPr>
        <w:t xml:space="preserve"> dunia, </w:t>
      </w:r>
      <w:proofErr w:type="spellStart"/>
      <w:r w:rsidRPr="0044344D">
        <w:rPr>
          <w:rFonts w:ascii="Century" w:hAnsi="Century"/>
          <w:sz w:val="24"/>
          <w:szCs w:val="24"/>
          <w:lang w:val="en-US"/>
        </w:rPr>
        <w:t>bersama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keterbatasan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cadangan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fosil</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upaya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pengurangan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emisi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mendorong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lahirnya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Perjanjian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Iklim</w:t>
      </w:r>
      <w:proofErr w:type="spellEnd"/>
      <w:r w:rsidRPr="0044344D">
        <w:rPr>
          <w:rFonts w:ascii="Century" w:hAnsi="Century"/>
          <w:sz w:val="24"/>
          <w:szCs w:val="24"/>
          <w:lang w:val="en-US"/>
        </w:rPr>
        <w:t xml:space="preserve"> Paris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{"citationID":"5pKryAxX","properties":{"formattedCitation":"({\\i{}Climate Strategies &amp; Targets}, n.d.)","plainCitation":"(Climate Strategies &amp; Targets, n.d.)","noteIndex":0},"citationItems":[{"id":100,"uris":["http://zotero.org/users/11229148/items/F6NZZNT5"],"itemData":{"id":100,"type":"webpage","title":"Climate Strategies &amp; Targets","URL":"https://climate.ec.europa.eu/eu-action/climate-strategies-targets_en","accessed":{"date-parts":[["2023",3,8]]}}}],"schema":"https://github.com/citation-style-language/schema/raw/master/csl-citation.json"}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sz w:val="24"/>
          <w:szCs w:val="24"/>
          <w:lang w:val="en-US"/>
        </w:rPr>
        <w:t>(</w:t>
      </w:r>
      <w:r w:rsidR="002A1BC7" w:rsidRPr="0044344D">
        <w:rPr>
          <w:rFonts w:ascii="Century" w:hAnsi="Century"/>
          <w:i/>
          <w:iCs/>
          <w:sz w:val="24"/>
          <w:szCs w:val="24"/>
          <w:lang w:val="en-US"/>
        </w:rPr>
        <w:t>Climate Strategies &amp; Targets</w:t>
      </w:r>
      <w:r w:rsidR="002A1BC7" w:rsidRPr="0044344D">
        <w:rPr>
          <w:rFonts w:ascii="Century" w:hAnsi="Century"/>
          <w:sz w:val="24"/>
          <w:szCs w:val="24"/>
          <w:lang w:val="en-US"/>
        </w:rPr>
        <w:t>, n.d.)</w:t>
      </w:r>
      <w:r w:rsidRPr="0044344D">
        <w:rPr>
          <w:rFonts w:ascii="Century" w:hAnsi="Century"/>
          <w:sz w:val="24"/>
          <w:szCs w:val="24"/>
          <w:lang w:val="en-US"/>
        </w:rPr>
        <w:fldChar w:fldCharType="end"/>
      </w:r>
      <w:r w:rsidRPr="0044344D">
        <w:rPr>
          <w:rFonts w:ascii="Century" w:hAnsi="Century"/>
          <w:sz w:val="24"/>
          <w:szCs w:val="24"/>
          <w:lang w:val="en-US"/>
        </w:rPr>
        <w:t xml:space="preserve">. Salah </w:t>
      </w:r>
      <w:proofErr w:type="spellStart"/>
      <w:r w:rsidRPr="0044344D">
        <w:rPr>
          <w:rFonts w:ascii="Century" w:hAnsi="Century"/>
          <w:sz w:val="24"/>
          <w:szCs w:val="24"/>
          <w:lang w:val="en-US"/>
        </w:rPr>
        <w:t>satu</w:t>
      </w:r>
      <w:proofErr w:type="spellEnd"/>
      <w:r w:rsidRPr="0044344D">
        <w:rPr>
          <w:rFonts w:ascii="Century" w:hAnsi="Century"/>
          <w:sz w:val="24"/>
          <w:szCs w:val="24"/>
          <w:lang w:val="en-US"/>
        </w:rPr>
        <w:t xml:space="preserve"> </w:t>
      </w:r>
      <w:r w:rsidR="001C19EB" w:rsidRPr="0044344D">
        <w:rPr>
          <w:rFonts w:ascii="Century" w:hAnsi="Century"/>
          <w:sz w:val="24"/>
          <w:szCs w:val="24"/>
          <w:lang w:val="en-US"/>
        </w:rPr>
        <w:t xml:space="preserve">Solusi </w:t>
      </w:r>
      <w:proofErr w:type="spellStart"/>
      <w:r w:rsidR="001C19EB" w:rsidRPr="0044344D">
        <w:rPr>
          <w:rFonts w:ascii="Century" w:hAnsi="Century"/>
          <w:sz w:val="24"/>
          <w:szCs w:val="24"/>
          <w:lang w:val="en-US"/>
        </w:rPr>
        <w:t>untuk</w:t>
      </w:r>
      <w:proofErr w:type="spellEnd"/>
      <w:r w:rsidR="001C19EB" w:rsidRPr="0044344D">
        <w:rPr>
          <w:rFonts w:ascii="Century" w:hAnsi="Century"/>
          <w:sz w:val="24"/>
          <w:szCs w:val="24"/>
          <w:lang w:val="en-US"/>
        </w:rPr>
        <w:t xml:space="preserve"> </w:t>
      </w:r>
      <w:proofErr w:type="spellStart"/>
      <w:r w:rsidR="001C19EB" w:rsidRPr="0044344D">
        <w:rPr>
          <w:rFonts w:ascii="Century" w:hAnsi="Century"/>
          <w:sz w:val="24"/>
          <w:szCs w:val="24"/>
          <w:lang w:val="en-US"/>
        </w:rPr>
        <w:t>mengatasi</w:t>
      </w:r>
      <w:proofErr w:type="spellEnd"/>
      <w:r w:rsidR="001C19EB" w:rsidRPr="0044344D">
        <w:rPr>
          <w:rFonts w:ascii="Century" w:hAnsi="Century"/>
          <w:sz w:val="24"/>
          <w:szCs w:val="24"/>
          <w:lang w:val="en-US"/>
        </w:rPr>
        <w:t xml:space="preserve"> </w:t>
      </w:r>
      <w:proofErr w:type="spellStart"/>
      <w:r w:rsidR="001C19EB" w:rsidRPr="0044344D">
        <w:rPr>
          <w:rFonts w:ascii="Century" w:hAnsi="Century"/>
          <w:sz w:val="24"/>
          <w:szCs w:val="24"/>
          <w:lang w:val="en-US"/>
        </w:rPr>
        <w:t>pengurangan</w:t>
      </w:r>
      <w:proofErr w:type="spellEnd"/>
      <w:r w:rsidR="001C19EB" w:rsidRPr="0044344D">
        <w:rPr>
          <w:rFonts w:ascii="Century" w:hAnsi="Century"/>
          <w:sz w:val="24"/>
          <w:szCs w:val="24"/>
          <w:lang w:val="en-US"/>
        </w:rPr>
        <w:t xml:space="preserve"> </w:t>
      </w:r>
      <w:proofErr w:type="spellStart"/>
      <w:r w:rsidR="001C19EB" w:rsidRPr="0044344D">
        <w:rPr>
          <w:rFonts w:ascii="Century" w:hAnsi="Century"/>
          <w:sz w:val="24"/>
          <w:szCs w:val="24"/>
          <w:lang w:val="en-US"/>
        </w:rPr>
        <w:t>emisi</w:t>
      </w:r>
      <w:proofErr w:type="spellEnd"/>
      <w:r w:rsidR="001C19EB" w:rsidRPr="0044344D">
        <w:rPr>
          <w:rFonts w:ascii="Century" w:hAnsi="Century"/>
          <w:sz w:val="24"/>
          <w:szCs w:val="24"/>
          <w:lang w:val="en-US"/>
        </w:rPr>
        <w:t xml:space="preserve"> global</w:t>
      </w:r>
      <w:r w:rsidRPr="0044344D">
        <w:rPr>
          <w:rFonts w:ascii="Century" w:hAnsi="Century"/>
          <w:sz w:val="24"/>
          <w:szCs w:val="24"/>
          <w:lang w:val="en-US"/>
        </w:rPr>
        <w:t xml:space="preserve"> </w:t>
      </w:r>
      <w:proofErr w:type="spellStart"/>
      <w:r w:rsidRPr="0044344D">
        <w:rPr>
          <w:rFonts w:ascii="Century" w:hAnsi="Century"/>
          <w:sz w:val="24"/>
          <w:szCs w:val="24"/>
          <w:lang w:val="en-US"/>
        </w:rPr>
        <w:t>yaitu</w:t>
      </w:r>
      <w:proofErr w:type="spellEnd"/>
      <w:r w:rsidRPr="0044344D">
        <w:rPr>
          <w:rFonts w:ascii="Century" w:hAnsi="Century"/>
          <w:sz w:val="24"/>
          <w:szCs w:val="24"/>
          <w:lang w:val="en-US"/>
        </w:rPr>
        <w:t xml:space="preserve"> </w:t>
      </w:r>
      <w:proofErr w:type="spellStart"/>
      <w:r w:rsidR="001C19EB" w:rsidRPr="0044344D">
        <w:rPr>
          <w:rFonts w:ascii="Century" w:hAnsi="Century"/>
          <w:sz w:val="24"/>
          <w:szCs w:val="24"/>
          <w:lang w:val="en-US"/>
        </w:rPr>
        <w:t>dengan</w:t>
      </w:r>
      <w:proofErr w:type="spellEnd"/>
      <w:r w:rsidR="001C19EB" w:rsidRPr="0044344D">
        <w:rPr>
          <w:rFonts w:ascii="Century" w:hAnsi="Century"/>
          <w:sz w:val="24"/>
          <w:szCs w:val="24"/>
          <w:lang w:val="en-US"/>
        </w:rPr>
        <w:t xml:space="preserve"> </w:t>
      </w:r>
      <w:proofErr w:type="spellStart"/>
      <w:r w:rsidRPr="0044344D">
        <w:rPr>
          <w:rFonts w:ascii="Century" w:hAnsi="Century"/>
          <w:sz w:val="24"/>
          <w:szCs w:val="24"/>
          <w:lang w:val="en-US"/>
        </w:rPr>
        <w:t>penggunaan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sumber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alternatif</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jangka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panjang</w:t>
      </w:r>
      <w:proofErr w:type="spellEnd"/>
      <w:r w:rsidRPr="0044344D">
        <w:rPr>
          <w:rFonts w:ascii="Century" w:hAnsi="Century"/>
          <w:sz w:val="24"/>
          <w:szCs w:val="24"/>
          <w:lang w:val="en-US"/>
        </w:rPr>
        <w:t xml:space="preserve">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{"citationID":"94KHMoPH","properties":{"formattedCitation":"(IEA et al., 2021)","plainCitation":"(IEA et al., 2021)","noteIndex":0},"citationItems":[{"id":82,"uris":["http://zotero.org/users/11229148/items/A7T28ZG9"],"itemData":{"id":82,"type":"document","title":"Tracking SDG 7: The Energy Progress Report","URL":"https://trackingsdg7.esmap.org/data/files/download-documents/tracking_sdg_7_2020-full_report_-_web_0.pdf","author":[{"family":"IEA","given":""},{"family":"IRENA","given":""},{"family":"UNSD","given":""},{"family":"WHO","given":""}],"issued":{"date-parts":[["2021"]]}}}],"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noProof/>
          <w:sz w:val="24"/>
          <w:szCs w:val="24"/>
          <w:lang w:val="en-US"/>
        </w:rPr>
        <w:t>(IEA et al., 2021)</w:t>
      </w:r>
      <w:r w:rsidRPr="0044344D">
        <w:rPr>
          <w:rFonts w:ascii="Century" w:hAnsi="Century"/>
          <w:sz w:val="24"/>
          <w:szCs w:val="24"/>
          <w:lang w:val="en-US"/>
        </w:rPr>
        <w:fldChar w:fldCharType="end"/>
      </w:r>
      <w:r w:rsidR="00841989" w:rsidRPr="0044344D">
        <w:rPr>
          <w:rFonts w:ascii="Century" w:hAnsi="Century"/>
          <w:sz w:val="24"/>
          <w:szCs w:val="24"/>
          <w:lang w:val="en-US"/>
        </w:rPr>
        <w:t xml:space="preserve">, </w:t>
      </w:r>
      <w:proofErr w:type="spellStart"/>
      <w:r w:rsidR="00841989" w:rsidRPr="0044344D">
        <w:rPr>
          <w:rFonts w:ascii="Century" w:hAnsi="Century"/>
          <w:sz w:val="24"/>
          <w:szCs w:val="24"/>
          <w:lang w:val="en-US"/>
        </w:rPr>
        <w:t>diantaranya</w:t>
      </w:r>
      <w:proofErr w:type="spellEnd"/>
      <w:r w:rsidR="00841989" w:rsidRPr="0044344D">
        <w:rPr>
          <w:rFonts w:ascii="Century" w:hAnsi="Century"/>
          <w:sz w:val="24"/>
          <w:szCs w:val="24"/>
          <w:lang w:val="en-US"/>
        </w:rPr>
        <w:t xml:space="preserve"> </w:t>
      </w:r>
      <w:proofErr w:type="spellStart"/>
      <w:r w:rsidRPr="0044344D">
        <w:rPr>
          <w:rFonts w:ascii="Century" w:hAnsi="Century"/>
          <w:sz w:val="24"/>
          <w:szCs w:val="24"/>
          <w:lang w:val="en-US"/>
        </w:rPr>
        <w:t>menggunakan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pembangkit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tenaga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(PLTS).</w:t>
      </w:r>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Dalam</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mendukung</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transisi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ini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pemerintah</w:t>
      </w:r>
      <w:proofErr w:type="spellEnd"/>
      <w:r w:rsidR="005D5A40" w:rsidRPr="0044344D">
        <w:rPr>
          <w:rFonts w:ascii="Century" w:hAnsi="Century"/>
          <w:sz w:val="24"/>
          <w:szCs w:val="24"/>
          <w:lang w:val="en-US"/>
        </w:rPr>
        <w:t xml:space="preserve"> Indonesia </w:t>
      </w:r>
      <w:proofErr w:type="spellStart"/>
      <w:r w:rsidR="005D5A40" w:rsidRPr="0044344D">
        <w:rPr>
          <w:rFonts w:ascii="Century" w:hAnsi="Century"/>
          <w:sz w:val="24"/>
          <w:szCs w:val="24"/>
          <w:lang w:val="en-US"/>
        </w:rPr>
        <w:t>telah</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mengeluarkan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kebijakan</w:t>
      </w:r>
      <w:proofErr w:type="spellEnd"/>
      <w:r w:rsidR="005D5A40" w:rsidRPr="0044344D">
        <w:rPr>
          <w:rFonts w:ascii="Century" w:hAnsi="Century"/>
          <w:sz w:val="24"/>
          <w:szCs w:val="24"/>
          <w:lang w:val="en-US"/>
        </w:rPr>
        <w:t xml:space="preserve"> dan </w:t>
      </w:r>
      <w:proofErr w:type="spellStart"/>
      <w:r w:rsidR="005D5A40" w:rsidRPr="0044344D">
        <w:rPr>
          <w:rFonts w:ascii="Century" w:hAnsi="Century"/>
          <w:sz w:val="24"/>
          <w:szCs w:val="24"/>
          <w:lang w:val="en-US"/>
        </w:rPr>
        <w:t>regulasi</w:t>
      </w:r>
      <w:proofErr w:type="spellEnd"/>
      <w:r w:rsidR="005D5A40" w:rsidRPr="0044344D">
        <w:rPr>
          <w:rFonts w:ascii="Century" w:hAnsi="Century"/>
          <w:sz w:val="24"/>
          <w:szCs w:val="24"/>
          <w:lang w:val="en-US"/>
        </w:rPr>
        <w:t xml:space="preserve"> yang </w:t>
      </w:r>
      <w:proofErr w:type="spellStart"/>
      <w:r w:rsidR="005D5A40" w:rsidRPr="0044344D">
        <w:rPr>
          <w:rFonts w:ascii="Century" w:hAnsi="Century"/>
          <w:sz w:val="24"/>
          <w:szCs w:val="24"/>
          <w:lang w:val="en-US"/>
        </w:rPr>
        <w:t>bertujuan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untuk</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mempercepat</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pengembangan</w:t>
      </w:r>
      <w:proofErr w:type="spellEnd"/>
      <w:r w:rsidR="005D5A40" w:rsidRPr="0044344D">
        <w:rPr>
          <w:rFonts w:ascii="Century" w:hAnsi="Century"/>
          <w:sz w:val="24"/>
          <w:szCs w:val="24"/>
          <w:lang w:val="en-US"/>
        </w:rPr>
        <w:t xml:space="preserve"> PLTS, </w:t>
      </w:r>
      <w:proofErr w:type="spellStart"/>
      <w:r w:rsidR="005D5A40" w:rsidRPr="0044344D">
        <w:rPr>
          <w:rFonts w:ascii="Century" w:hAnsi="Century"/>
          <w:sz w:val="24"/>
          <w:szCs w:val="24"/>
          <w:lang w:val="en-US"/>
        </w:rPr>
        <w:t>dengan</w:t>
      </w:r>
      <w:proofErr w:type="spellEnd"/>
      <w:r w:rsidR="005D5A40" w:rsidRPr="0044344D">
        <w:rPr>
          <w:rFonts w:ascii="Century" w:hAnsi="Century"/>
          <w:sz w:val="24"/>
          <w:szCs w:val="24"/>
          <w:lang w:val="en-US"/>
        </w:rPr>
        <w:t xml:space="preserve"> target </w:t>
      </w:r>
      <w:proofErr w:type="spellStart"/>
      <w:r w:rsidR="005D5A40" w:rsidRPr="0044344D">
        <w:rPr>
          <w:rFonts w:ascii="Century" w:hAnsi="Century"/>
          <w:sz w:val="24"/>
          <w:szCs w:val="24"/>
          <w:lang w:val="en-US"/>
        </w:rPr>
        <w:t>mencapai</w:t>
      </w:r>
      <w:proofErr w:type="spellEnd"/>
      <w:r w:rsidR="005D5A40" w:rsidRPr="0044344D">
        <w:rPr>
          <w:rFonts w:ascii="Century" w:hAnsi="Century"/>
          <w:sz w:val="24"/>
          <w:szCs w:val="24"/>
          <w:lang w:val="en-US"/>
        </w:rPr>
        <w:t xml:space="preserve"> 23% </w:t>
      </w:r>
      <w:proofErr w:type="spellStart"/>
      <w:r w:rsidR="005D5A40" w:rsidRPr="0044344D">
        <w:rPr>
          <w:rFonts w:ascii="Century" w:hAnsi="Century"/>
          <w:sz w:val="24"/>
          <w:szCs w:val="24"/>
          <w:lang w:val="en-US"/>
        </w:rPr>
        <w:t>penggunaan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energi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baru</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terbarukan</w:t>
      </w:r>
      <w:proofErr w:type="spellEnd"/>
      <w:r w:rsidR="005D5A40" w:rsidRPr="0044344D">
        <w:rPr>
          <w:rFonts w:ascii="Century" w:hAnsi="Century"/>
          <w:sz w:val="24"/>
          <w:szCs w:val="24"/>
          <w:lang w:val="en-US"/>
        </w:rPr>
        <w:t xml:space="preserve"> pada </w:t>
      </w:r>
      <w:proofErr w:type="spellStart"/>
      <w:r w:rsidR="005D5A40" w:rsidRPr="0044344D">
        <w:rPr>
          <w:rFonts w:ascii="Century" w:hAnsi="Century"/>
          <w:sz w:val="24"/>
          <w:szCs w:val="24"/>
          <w:lang w:val="en-US"/>
        </w:rPr>
        <w:t>tahun</w:t>
      </w:r>
      <w:proofErr w:type="spellEnd"/>
      <w:r w:rsidR="005D5A40" w:rsidRPr="0044344D">
        <w:rPr>
          <w:rFonts w:ascii="Century" w:hAnsi="Century"/>
          <w:sz w:val="24"/>
          <w:szCs w:val="24"/>
          <w:lang w:val="en-US"/>
        </w:rPr>
        <w:t xml:space="preserve"> 2025 </w:t>
      </w:r>
      <w:r w:rsidR="005D5A40" w:rsidRPr="0044344D">
        <w:rPr>
          <w:rFonts w:ascii="Century" w:hAnsi="Century"/>
          <w:sz w:val="24"/>
          <w:szCs w:val="24"/>
          <w:lang w:val="en-US"/>
        </w:rPr>
        <w:fldChar w:fldCharType="begin"/>
      </w:r>
      <w:r w:rsidR="005D5A40" w:rsidRPr="0044344D">
        <w:rPr>
          <w:rFonts w:ascii="Century" w:hAnsi="Century"/>
          <w:sz w:val="24"/>
          <w:szCs w:val="24"/>
          <w:lang w:val="en-US"/>
        </w:rPr>
        <w:instrText xml:space="preserve"> ADDIN ZOTERO_ITEM CSL_CITATION {"citationID":"jSumNeZS","properties":{"formattedCitation":"(Bayu &amp; Windarta, 2021)","plainCitation":"(Bayu &amp; Windarta, 2021)","noteIndex":0},"citationItems":[{"id":5496,"uris":["http://zotero.org/users/11229148/items/FS7UZ3XA"],"itemData":{"id":5496,"type":"article-journal","abstract":"Ketergantungan terhadap sumber energi fosil sebagai bahan bakar pembangkit listrik masih mendominasi sebagian besar sistem pemenuhan kebutuhan energi listrik di Indonesia. Usaha dalam rangka mengurangi fosil sebagai bahan bakar pembangkit dan beralih menggunakan energi baru terbarukan diupayakan oleh pemerintah dengan diterbitkannya aturan mengenai Kebijakan Energi Nasional. Komitmen pemerintah dalam rangka mendukung Kebijakan Energi Nasional, tercapainya 23% penggunaan energi baru dan terbarukan pada tahun 2025 diwujudkan dengan berbagai macam kebijakan maupun regulasi, salah satunya pada pengembangan PLTS di Indonesia. Adanya kepastian dan payung hukum pelaksanaan pengembangan PLTS diharapkan mampu memberi kesempatan seluas luasnya untuk memaksimalkan potensi energi surya yang ada di Indonesia. Regulasi dari sisi teknis maupun fiskal harus terus diperbarui untuk mendukung investasi pada pengembangan PLTS.","container-title":"Jurnal Energi Baru dan Terbarukan","DOI":"10.14710/jebt.2021.10043","ISSN":"2722-6719, 2809-5456","issue":"3","journalAbbreviation":"J. En. Baru &amp; Terbarukan","language":"id","note":"publisher: Institute of Research and Community Services Diponegoro University (LPPM UNDIP)","page":"123-132","source":"Crossref","title":"Tinjauan Kebijakan dan Regulasi Pengembangan PLTS di Indonesia","volume":"2","author":[{"family":"Bayu","given":"Handoko"},{"family":"Windarta","given":"Jaka"}],"issued":{"date-parts":[["2021",10,21]]}}}],"schema":"https://github.com/citation-style-language/schema/raw/master/csl-citation.json"} </w:instrText>
      </w:r>
      <w:r w:rsidR="005D5A40" w:rsidRPr="0044344D">
        <w:rPr>
          <w:rFonts w:ascii="Century" w:hAnsi="Century"/>
          <w:sz w:val="24"/>
          <w:szCs w:val="24"/>
          <w:lang w:val="en-US"/>
        </w:rPr>
        <w:fldChar w:fldCharType="separate"/>
      </w:r>
      <w:r w:rsidR="005D5A40" w:rsidRPr="0044344D">
        <w:rPr>
          <w:rFonts w:ascii="Century" w:hAnsi="Century"/>
          <w:noProof/>
          <w:sz w:val="24"/>
          <w:szCs w:val="24"/>
          <w:lang w:val="en-US"/>
        </w:rPr>
        <w:t>(Bayu &amp; Windarta, 2021)</w:t>
      </w:r>
      <w:r w:rsidR="005D5A40" w:rsidRPr="0044344D">
        <w:rPr>
          <w:rFonts w:ascii="Century" w:hAnsi="Century"/>
          <w:sz w:val="24"/>
          <w:szCs w:val="24"/>
          <w:lang w:val="en-US"/>
        </w:rPr>
        <w:fldChar w:fldCharType="end"/>
      </w:r>
      <w:r w:rsidR="0044344D">
        <w:rPr>
          <w:rFonts w:ascii="Century" w:hAnsi="Century"/>
          <w:sz w:val="24"/>
          <w:szCs w:val="24"/>
          <w:lang w:val="en-US"/>
        </w:rPr>
        <w:t>.</w:t>
      </w:r>
    </w:p>
    <w:p w14:paraId="2E1ABBB0" w14:textId="64082C64" w:rsidR="00CE4FE8" w:rsidRPr="0044344D" w:rsidRDefault="00CE4FE8" w:rsidP="00070FDA">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Sekolah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Menengah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Kejuruan</w:t>
      </w:r>
      <w:proofErr w:type="spellEnd"/>
      <w:r w:rsidRPr="0044344D">
        <w:rPr>
          <w:rFonts w:ascii="Century" w:hAnsi="Century"/>
          <w:sz w:val="24"/>
          <w:szCs w:val="24"/>
          <w:lang w:val="en-US"/>
        </w:rPr>
        <w:t xml:space="preserve"> Negeri (SMK</w:t>
      </w:r>
      <w:r w:rsidR="00773EF6" w:rsidRPr="0044344D">
        <w:rPr>
          <w:rFonts w:ascii="Century" w:hAnsi="Century"/>
          <w:sz w:val="24"/>
          <w:szCs w:val="24"/>
          <w:lang w:val="en-US"/>
        </w:rPr>
        <w:t>N</w:t>
      </w:r>
      <w:r w:rsidRPr="0044344D">
        <w:rPr>
          <w:rFonts w:ascii="Century" w:hAnsi="Century"/>
          <w:sz w:val="24"/>
          <w:szCs w:val="24"/>
          <w:lang w:val="en-US"/>
        </w:rPr>
        <w:t xml:space="preserve">) 2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merupakan</w:t>
      </w:r>
      <w:proofErr w:type="spellEnd"/>
      <w:r w:rsidRPr="0044344D">
        <w:rPr>
          <w:rFonts w:ascii="Century" w:hAnsi="Century"/>
          <w:sz w:val="24"/>
          <w:szCs w:val="24"/>
          <w:lang w:val="en-US"/>
        </w:rPr>
        <w:t xml:space="preserve"> salah </w:t>
      </w:r>
      <w:proofErr w:type="spellStart"/>
      <w:r w:rsidRPr="0044344D">
        <w:rPr>
          <w:rFonts w:ascii="Century" w:hAnsi="Century"/>
          <w:sz w:val="24"/>
          <w:szCs w:val="24"/>
          <w:lang w:val="en-US"/>
        </w:rPr>
        <w:t>satu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sekolah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menengah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kejuruan</w:t>
      </w:r>
      <w:proofErr w:type="spellEnd"/>
      <w:r w:rsidRPr="0044344D">
        <w:rPr>
          <w:rFonts w:ascii="Century" w:hAnsi="Century"/>
          <w:sz w:val="24"/>
          <w:szCs w:val="24"/>
          <w:lang w:val="en-US"/>
        </w:rPr>
        <w:t xml:space="preserve"> di </w:t>
      </w:r>
      <w:proofErr w:type="spellStart"/>
      <w:r w:rsidRPr="0044344D">
        <w:rPr>
          <w:rFonts w:ascii="Century" w:hAnsi="Century"/>
          <w:sz w:val="24"/>
          <w:szCs w:val="24"/>
          <w:lang w:val="en-US"/>
        </w:rPr>
        <w:t>Kabupaten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memiliki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bidang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kejuruan</w:t>
      </w:r>
      <w:proofErr w:type="spellEnd"/>
      <w:r w:rsidRPr="0044344D">
        <w:rPr>
          <w:rFonts w:ascii="Century" w:hAnsi="Century"/>
          <w:sz w:val="24"/>
          <w:szCs w:val="24"/>
          <w:lang w:val="en-US"/>
        </w:rPr>
        <w:t xml:space="preserve"> Teknik. </w:t>
      </w:r>
      <w:proofErr w:type="spellStart"/>
      <w:r w:rsidRPr="0044344D">
        <w:rPr>
          <w:rFonts w:ascii="Century" w:hAnsi="Century"/>
          <w:sz w:val="24"/>
          <w:szCs w:val="24"/>
          <w:lang w:val="en-US"/>
        </w:rPr>
        <w:t>Bidang</w:t>
      </w:r>
      <w:proofErr w:type="spellEnd"/>
      <w:r w:rsidRPr="0044344D">
        <w:rPr>
          <w:rFonts w:ascii="Century" w:hAnsi="Century"/>
          <w:sz w:val="24"/>
          <w:szCs w:val="24"/>
          <w:lang w:val="en-US"/>
        </w:rPr>
        <w:t xml:space="preserve"> Teknik, </w:t>
      </w:r>
      <w:proofErr w:type="spellStart"/>
      <w:r w:rsidRPr="0044344D">
        <w:rPr>
          <w:rFonts w:ascii="Century" w:hAnsi="Century"/>
          <w:sz w:val="24"/>
          <w:szCs w:val="24"/>
          <w:lang w:val="en-US"/>
        </w:rPr>
        <w:t>utamanya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Perbaikan</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efisiensi</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energi</w:t>
      </w:r>
      <w:proofErr w:type="spellEnd"/>
      <w:r w:rsidR="00034AE9" w:rsidRPr="0044344D">
        <w:rPr>
          <w:rFonts w:ascii="Century" w:hAnsi="Century"/>
          <w:sz w:val="24"/>
          <w:szCs w:val="24"/>
          <w:lang w:val="en-US"/>
        </w:rPr>
        <w:t xml:space="preserve"> di Indonesia </w:t>
      </w:r>
      <w:proofErr w:type="spellStart"/>
      <w:r w:rsidR="00034AE9" w:rsidRPr="0044344D">
        <w:rPr>
          <w:rFonts w:ascii="Century" w:hAnsi="Century"/>
          <w:sz w:val="24"/>
          <w:szCs w:val="24"/>
          <w:lang w:val="en-US"/>
        </w:rPr>
        <w:t>dapat</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mengurangi</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permintaan</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listrik</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puncak</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menghemat</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biaya</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pembangunan</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pembangkit</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listrik</w:t>
      </w:r>
      <w:proofErr w:type="spellEnd"/>
      <w:r w:rsidR="00034AE9" w:rsidRPr="0044344D">
        <w:rPr>
          <w:rFonts w:ascii="Century" w:hAnsi="Century"/>
          <w:sz w:val="24"/>
          <w:szCs w:val="24"/>
          <w:lang w:val="en-US"/>
        </w:rPr>
        <w:t xml:space="preserve">, dan </w:t>
      </w:r>
      <w:proofErr w:type="spellStart"/>
      <w:r w:rsidR="00034AE9" w:rsidRPr="0044344D">
        <w:rPr>
          <w:rFonts w:ascii="Century" w:hAnsi="Century"/>
          <w:sz w:val="24"/>
          <w:szCs w:val="24"/>
          <w:lang w:val="en-US"/>
        </w:rPr>
        <w:t>mengurangi</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emisi</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dengan</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potensi</w:t>
      </w:r>
      <w:proofErr w:type="spellEnd"/>
      <w:r w:rsidR="00034AE9" w:rsidRPr="0044344D">
        <w:rPr>
          <w:rFonts w:ascii="Century" w:hAnsi="Century"/>
          <w:sz w:val="24"/>
          <w:szCs w:val="24"/>
          <w:lang w:val="en-US"/>
        </w:rPr>
        <w:t xml:space="preserve"> </w:t>
      </w:r>
      <w:proofErr w:type="spellStart"/>
      <w:r w:rsidR="00034AE9" w:rsidRPr="0044344D">
        <w:rPr>
          <w:rFonts w:ascii="Century" w:hAnsi="Century"/>
          <w:sz w:val="24"/>
          <w:szCs w:val="24"/>
          <w:lang w:val="en-US"/>
        </w:rPr>
        <w:t>penghematan</w:t>
      </w:r>
      <w:proofErr w:type="spellEnd"/>
      <w:r w:rsidR="00034AE9" w:rsidRPr="0044344D">
        <w:rPr>
          <w:rFonts w:ascii="Century" w:hAnsi="Century"/>
          <w:sz w:val="24"/>
          <w:szCs w:val="24"/>
          <w:lang w:val="en-US"/>
        </w:rPr>
        <w:t xml:space="preserve">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{"citationID":"Nbrdig2s","properties":{"formattedCitation":"(McNeil et al., 2019)","plainCitation":"(McNeil et al., 2019)","noteIndex":0},"citationItems":[{"id":5472,"uris":["http://zotero.org/users/11229148/items/T5EBKINX"],"itemData":{"id":5472,"type":"article-journal","abstract":"Indonesia's electricity demand is growing rapidly, driven by robust economic growth combined with unprecedented urbanization and industrialization. Energy-efﬁciency improvements could reduce the country's electricity demand, thus providing monetary savings, greenhouse gas and other pollutant reductions, and improved energy security. Perhaps most importantly, using energy efﬁciency to lower peak electricity demand could reduce the risk of economically damaging power shortages while freeing up funds that would otherwise be used for power plant construction. We use a novel bottom-up modeling approach to analyze the potential of energy efﬁciency to reduce Indonesia's electricity demand: the LOAD curve Model (LOADM) combines total national electricity demand for each end use—as modeled by the Bottom-Up Energy Analysis System (BUENAS)—with hourly end-use demand proﬁles. We ﬁnd that Indonesia's peak demand may triple between 2010 and 2030 in a business-as-usual case, to 77.3 GW, primarily driven by air conditioning and with important contributions from lighting and refrigerators. However, we also show that appliance and lighting efﬁciency improvements could hold the peak demand increase to a factor of two, which would avoid 26.5 GW of peak demand in 2030. These results suggest that well-understood programs, such as minimum efﬁciency performance standards, could save Indonesia tens of billions of dollars in capital costs over the next decade and a half.","container-title":"Energy for Sustainable Development","DOI":"10.1016/j.esd.2019.01.001","ISSN":"09730826","journalAbbreviation":"Energy for Sustainable Development","language":"en","page":"65-77","source":"DOI.org (Crossref)","title":"Forecasting Indonesia's electricity load through 2030 and peak demand reductions from appliance and lighting efficiency","volume":"49","author":[{"family":"McNeil","given":"Michael A."},{"family":"Karali","given":"Nihan"},{"family":"Letschert","given":"Virginie"}],"issued":{"date-parts":[["2019",4]]}}}],"schema":"https://github.com/citation-style-language/schema/raw/master/csl-citation.json"}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noProof/>
          <w:sz w:val="24"/>
          <w:szCs w:val="24"/>
          <w:lang w:val="en-US"/>
        </w:rPr>
        <w:t>(McNeil et al., 2019)</w:t>
      </w:r>
      <w:r w:rsidRPr="0044344D">
        <w:rPr>
          <w:rFonts w:ascii="Century" w:hAnsi="Century"/>
          <w:sz w:val="24"/>
          <w:szCs w:val="24"/>
          <w:lang w:val="en-US"/>
        </w:rPr>
        <w:fldChar w:fldCharType="end"/>
      </w:r>
      <w:r w:rsidRPr="0044344D">
        <w:rPr>
          <w:rFonts w:ascii="Century" w:hAnsi="Century"/>
          <w:sz w:val="24"/>
          <w:szCs w:val="24"/>
          <w:lang w:val="en-US"/>
        </w:rPr>
        <w:t xml:space="preserve">. </w:t>
      </w:r>
      <w:proofErr w:type="spellStart"/>
      <w:r w:rsidRPr="0044344D">
        <w:rPr>
          <w:rFonts w:ascii="Century" w:hAnsi="Century"/>
          <w:sz w:val="24"/>
          <w:szCs w:val="24"/>
          <w:lang w:val="en-US"/>
        </w:rPr>
        <w:t>Berdasarkan</w:t>
      </w:r>
      <w:proofErr w:type="spellEnd"/>
      <w:r w:rsidRPr="0044344D">
        <w:rPr>
          <w:rFonts w:ascii="Century" w:hAnsi="Century"/>
          <w:sz w:val="24"/>
          <w:szCs w:val="24"/>
          <w:lang w:val="en-US"/>
        </w:rPr>
        <w:t xml:space="preserve"> data </w:t>
      </w:r>
      <w:r w:rsidRPr="0044344D">
        <w:rPr>
          <w:rFonts w:ascii="Century" w:hAnsi="Century"/>
          <w:i/>
          <w:iCs/>
          <w:sz w:val="24"/>
          <w:szCs w:val="24"/>
          <w:lang w:val="en-US"/>
        </w:rPr>
        <w:t>outlook</w:t>
      </w:r>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Indonesia, </w:t>
      </w:r>
      <w:proofErr w:type="spellStart"/>
      <w:r w:rsidRPr="0044344D">
        <w:rPr>
          <w:rFonts w:ascii="Century" w:hAnsi="Century"/>
          <w:sz w:val="24"/>
          <w:szCs w:val="24"/>
          <w:lang w:val="en-US"/>
        </w:rPr>
        <w:t>tenaga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memiliki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potensi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besar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sumber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ramah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lingkungan</w:t>
      </w:r>
      <w:proofErr w:type="spellEnd"/>
      <w:r w:rsidRPr="0044344D">
        <w:rPr>
          <w:rFonts w:ascii="Century" w:hAnsi="Century"/>
          <w:sz w:val="24"/>
          <w:szCs w:val="24"/>
          <w:lang w:val="en-US"/>
        </w:rPr>
        <w:t xml:space="preserve">. Hal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menjadikannya</w:t>
      </w:r>
      <w:proofErr w:type="spellEnd"/>
      <w:r w:rsidRPr="0044344D">
        <w:rPr>
          <w:rFonts w:ascii="Century" w:hAnsi="Century"/>
          <w:sz w:val="24"/>
          <w:szCs w:val="24"/>
          <w:lang w:val="en-US"/>
        </w:rPr>
        <w:t xml:space="preserve"> salah </w:t>
      </w:r>
      <w:proofErr w:type="spellStart"/>
      <w:r w:rsidRPr="0044344D">
        <w:rPr>
          <w:rFonts w:ascii="Century" w:hAnsi="Century"/>
          <w:sz w:val="24"/>
          <w:szCs w:val="24"/>
          <w:lang w:val="en-US"/>
        </w:rPr>
        <w:t>satu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alternatif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utama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mengurangi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ketergantungan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fosil</w:t>
      </w:r>
      <w:proofErr w:type="spellEnd"/>
      <w:r w:rsidRPr="0044344D">
        <w:rPr>
          <w:rFonts w:ascii="Century" w:hAnsi="Century"/>
          <w:sz w:val="24"/>
          <w:szCs w:val="24"/>
          <w:lang w:val="en-US"/>
        </w:rPr>
        <w:t xml:space="preserve">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{"citationID":"UglRZQd2","properties":{"formattedCitation":"(Handayani &amp; Ariyanti, 2012)","plainCitation":"(Handayani &amp; Ariyanti, 2012)","noteIndex":0},"citationItems":[{"id":5474,"uris":["http://zotero.org/users/11229148/items/YQQP29UV"],"itemData":{"id":5474,"type":"article-journal","abstract":"Currently, 80% of conventional energy is used to fulfill general public's needs and industries. The depletion of oil and gas reserves and rapid growth in conventional energy consumption have continuously forced us to discover renewable energy sources, like solar, wind, biomass, and hydropower, to support economic development in the future. Solar energy travels at a speed of 186,000 miles per second. Only a small part of the radiant energy that the sun emits into space ever reaches the Earth, but that is more than enough to supply all our energy demand. Indonesia is a tropical country and located in the equator line, so it has an abundant potential of solar energy. Most of Indonesian area get enough intensity of solar radiation with the average daily radiation around 4 kWh/m2. Basically, the solar systems use solar collectors and concentrators for collecting, storing, and using solar radiation to be applied for the benefit of domestics, commercials, and industrials. Common applications for solar thermal energy used in industry are the SWHs, solar dryers, space heating, cooling systems and water desalination.","container-title":"International Journal of Renewable Energy Development","DOI":"10.14710/ijred.1.2.33-38","ISSN":"2252-4940","issue":"2","journalAbbreviation":"Int. J. Renew. Energy Dev.","language":"en","page":"33-38","source":"DOI.org (Crossref)","title":"Potency of Solar Energy Applications in Indonesia","volume":"1","author":[{"family":"Handayani","given":"Noer Abyor"},{"family":"Ariyanti","given":"Dessy"}],"issued":{"date-parts":[["2012",7,1]]}}}],"schema":"https://github.com/citation-style-language/schema/raw/master/csl-citation.json"}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noProof/>
          <w:sz w:val="24"/>
          <w:szCs w:val="24"/>
          <w:lang w:val="en-US"/>
        </w:rPr>
        <w:t>(Handayani &amp; Ariyanti, 2012)</w:t>
      </w:r>
      <w:r w:rsidRPr="0044344D">
        <w:rPr>
          <w:rFonts w:ascii="Century" w:hAnsi="Century"/>
          <w:sz w:val="24"/>
          <w:szCs w:val="24"/>
          <w:lang w:val="en-US"/>
        </w:rPr>
        <w:fldChar w:fldCharType="end"/>
      </w:r>
      <w:r w:rsidRPr="0044344D">
        <w:rPr>
          <w:rFonts w:ascii="Century" w:hAnsi="Century"/>
          <w:sz w:val="24"/>
          <w:szCs w:val="24"/>
          <w:lang w:val="en-US"/>
        </w:rPr>
        <w:t xml:space="preserve">. Indonesia, yang </w:t>
      </w:r>
      <w:proofErr w:type="spellStart"/>
      <w:r w:rsidRPr="0044344D">
        <w:rPr>
          <w:rFonts w:ascii="Century" w:hAnsi="Century"/>
          <w:sz w:val="24"/>
          <w:szCs w:val="24"/>
          <w:lang w:val="en-US"/>
        </w:rPr>
        <w:t>berada</w:t>
      </w:r>
      <w:proofErr w:type="spellEnd"/>
      <w:r w:rsidRPr="0044344D">
        <w:rPr>
          <w:rFonts w:ascii="Century" w:hAnsi="Century"/>
          <w:sz w:val="24"/>
          <w:szCs w:val="24"/>
          <w:lang w:val="en-US"/>
        </w:rPr>
        <w:t xml:space="preserve"> di wilayah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tingkat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radiasi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matahari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tinggi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mencapai</w:t>
      </w:r>
      <w:proofErr w:type="spellEnd"/>
      <w:r w:rsidRPr="0044344D">
        <w:rPr>
          <w:rFonts w:ascii="Century" w:hAnsi="Century"/>
          <w:sz w:val="24"/>
          <w:szCs w:val="24"/>
          <w:lang w:val="en-US"/>
        </w:rPr>
        <w:t xml:space="preserve"> 4,80 </w:t>
      </w:r>
      <w:proofErr w:type="spellStart"/>
      <w:r w:rsidRPr="0044344D">
        <w:rPr>
          <w:rFonts w:ascii="Century" w:hAnsi="Century"/>
          <w:sz w:val="24"/>
          <w:szCs w:val="24"/>
          <w:lang w:val="en-US"/>
        </w:rPr>
        <w:t>kWp</w:t>
      </w:r>
      <w:proofErr w:type="spellEnd"/>
      <w:r w:rsidRPr="0044344D">
        <w:rPr>
          <w:rFonts w:ascii="Century" w:hAnsi="Century"/>
          <w:sz w:val="24"/>
          <w:szCs w:val="24"/>
          <w:lang w:val="en-US"/>
        </w:rPr>
        <w:t>/m²/</w:t>
      </w:r>
      <w:proofErr w:type="spellStart"/>
      <w:r w:rsidRPr="0044344D">
        <w:rPr>
          <w:rFonts w:ascii="Century" w:hAnsi="Century"/>
          <w:sz w:val="24"/>
          <w:szCs w:val="24"/>
          <w:lang w:val="en-US"/>
        </w:rPr>
        <w:t>hari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memiliki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potensi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besar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memanfaatkan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ramah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lingkungan</w:t>
      </w:r>
      <w:proofErr w:type="spellEnd"/>
      <w:r w:rsidRPr="0044344D">
        <w:rPr>
          <w:rFonts w:ascii="Century" w:hAnsi="Century"/>
          <w:sz w:val="24"/>
          <w:szCs w:val="24"/>
          <w:lang w:val="en-US"/>
        </w:rPr>
        <w:t xml:space="preserve">. </w:t>
      </w:r>
      <w:proofErr w:type="spellStart"/>
      <w:r w:rsidR="005D5A40" w:rsidRPr="0044344D">
        <w:rPr>
          <w:rFonts w:ascii="Century" w:hAnsi="Century"/>
          <w:sz w:val="24"/>
          <w:szCs w:val="24"/>
          <w:lang w:val="en-US"/>
        </w:rPr>
        <w:t>Peningkatan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konsumsi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energi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listrik</w:t>
      </w:r>
      <w:proofErr w:type="spellEnd"/>
      <w:r w:rsidR="005D5A40" w:rsidRPr="0044344D">
        <w:rPr>
          <w:rFonts w:ascii="Century" w:hAnsi="Century"/>
          <w:sz w:val="24"/>
          <w:szCs w:val="24"/>
          <w:lang w:val="en-US"/>
        </w:rPr>
        <w:t xml:space="preserve"> dan </w:t>
      </w:r>
      <w:proofErr w:type="spellStart"/>
      <w:r w:rsidR="005D5A40" w:rsidRPr="0044344D">
        <w:rPr>
          <w:rFonts w:ascii="Century" w:hAnsi="Century"/>
          <w:sz w:val="24"/>
          <w:szCs w:val="24"/>
          <w:lang w:val="en-US"/>
        </w:rPr>
        <w:t>bahan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bakar</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seiring</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dengan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perkembangan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teknologi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menuntut</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pencarian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sumber</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energi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alternatif</w:t>
      </w:r>
      <w:proofErr w:type="spellEnd"/>
      <w:r w:rsidR="005D5A40" w:rsidRPr="0044344D">
        <w:rPr>
          <w:rFonts w:ascii="Century" w:hAnsi="Century"/>
          <w:sz w:val="24"/>
          <w:szCs w:val="24"/>
          <w:lang w:val="en-US"/>
        </w:rPr>
        <w:t xml:space="preserve"> yang </w:t>
      </w:r>
      <w:proofErr w:type="spellStart"/>
      <w:r w:rsidR="005D5A40" w:rsidRPr="0044344D">
        <w:rPr>
          <w:rFonts w:ascii="Century" w:hAnsi="Century"/>
          <w:sz w:val="24"/>
          <w:szCs w:val="24"/>
          <w:lang w:val="en-US"/>
        </w:rPr>
        <w:t>lebih</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ramah</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lingkungan</w:t>
      </w:r>
      <w:proofErr w:type="spellEnd"/>
      <w:r w:rsidR="005D5A40" w:rsidRPr="0044344D">
        <w:rPr>
          <w:rFonts w:ascii="Century" w:hAnsi="Century"/>
          <w:sz w:val="24"/>
          <w:szCs w:val="24"/>
          <w:lang w:val="en-US"/>
        </w:rPr>
        <w:t xml:space="preserve">, salah </w:t>
      </w:r>
      <w:proofErr w:type="spellStart"/>
      <w:r w:rsidR="005D5A40" w:rsidRPr="0044344D">
        <w:rPr>
          <w:rFonts w:ascii="Century" w:hAnsi="Century"/>
          <w:sz w:val="24"/>
          <w:szCs w:val="24"/>
          <w:lang w:val="en-US"/>
        </w:rPr>
        <w:t>satunya</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adalah</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energi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surya</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fotovoltaik</w:t>
      </w:r>
      <w:proofErr w:type="spellEnd"/>
      <w:r w:rsidR="005D5A40" w:rsidRPr="0044344D">
        <w:rPr>
          <w:rFonts w:ascii="Century" w:hAnsi="Century"/>
          <w:sz w:val="24"/>
          <w:szCs w:val="24"/>
          <w:lang w:val="en-US"/>
        </w:rPr>
        <w:t xml:space="preserve"> </w:t>
      </w:r>
      <w:r w:rsidR="005D5A40" w:rsidRPr="0044344D">
        <w:rPr>
          <w:rFonts w:ascii="Century" w:hAnsi="Century"/>
          <w:sz w:val="24"/>
          <w:szCs w:val="24"/>
          <w:lang w:val="en-US"/>
        </w:rPr>
        <w:fldChar w:fldCharType="begin"/>
      </w:r>
      <w:r w:rsidR="005D5A40" w:rsidRPr="0044344D">
        <w:rPr>
          <w:rFonts w:ascii="Century" w:hAnsi="Century"/>
          <w:sz w:val="24"/>
          <w:szCs w:val="24"/>
          <w:lang w:val="en-US"/>
        </w:rPr>
        <w:instrText xml:space="preserve"> ADDIN ZOTERO_ITEM CSL_CITATION {"citationID":"dBJmYjA0","properties":{"formattedCitation":"(Lubna et al., 2021)","plainCitation":"(Lubna et al., 2021)","noteIndex":0},"citationItems":[{"id":5494,"uris":["http://zotero.org/users/11229148/items/EHNETWHQ"],"itemData":{"id":5494,"type":"article-journal","abstract":"Konsumsi energi listrik dan bahan bakar terus meningkat seiring dengan berkembangnya kehidupan manusia. Gaya hidup masyarakat pada era 5.0 telah banyak mempengaruhi pertumbuhan dan perkembangan industri dan teknologi. Hal tersebut menyebabkan semakin berkurangnya stok energi yang diperlukan untuk pertumbuhan dan perkembangan industri tersebut. Minyak, sebagai sumber energi utama, stoknya mulai berkurang. Selain itu karena pemborosan sumber daya termasuk energy menyebabkan terjadinya kekurangan sumber daya dan oleh sebab itu, sangat penting untuk dapat menemukan suatu energi alternatif agar kehidupan tetap berlangsung. Salah satu teknologi energy alternatif yang berpotensi menjadi sumber energy alternatif adalah teknologi energi surya fotovoltaik. Penelitian ini memiliki tujuan untuk menganalisis potensi teknologi energi surya fotovoltaik untuk dapat digunakan sebagai sumber energy alternatif. Metode yang digunakan dalam penelitian ini adalah metode literature review dengan melakukan studi literatur terhadap jurnal yang berkaitan dengan penelitian ini. Berdasarkan penelitian, didapatkan hasil bahwa energi surya fotovoltaik memiliki potensi untuk menjadi sumber energi alternatif.","container-title":"Pelita : Jurnal Penelitian dan Karya Ilmiah","DOI":"10.33592/pelita.v21i1.1269","ISSN":"2684-8856, 1907-5693","issue":"1","journalAbbreviation":"PJPK","language":"id","license":"http://creativecommons.org/licenses/by-nc-sa/4.0","note":"publisher: Universitas Islam Syekh-Yusuf Tangerang","page":"76-79","source":"Crossref","title":"POTENSI ENERGI SURYA FOTOVOLTAIK SEBAGAI  SUMBER ENERGI ALTERNATIF","volume":"21","author":[{"family":"Lubna","given":"Lubna"},{"family":"Sudarti","given":"Sudarti"},{"family":"Yushardi","given":"Yushardi"}],"issued":{"date-parts":[["2021",6,20]]}}}],"schema":"https://github.com/citation-style-language/schema/raw/master/csl-citation.json"} </w:instrText>
      </w:r>
      <w:r w:rsidR="005D5A40" w:rsidRPr="0044344D">
        <w:rPr>
          <w:rFonts w:ascii="Century" w:hAnsi="Century"/>
          <w:sz w:val="24"/>
          <w:szCs w:val="24"/>
          <w:lang w:val="en-US"/>
        </w:rPr>
        <w:fldChar w:fldCharType="separate"/>
      </w:r>
      <w:r w:rsidR="005D5A40" w:rsidRPr="0044344D">
        <w:rPr>
          <w:rFonts w:ascii="Century" w:hAnsi="Century"/>
          <w:noProof/>
          <w:sz w:val="24"/>
          <w:szCs w:val="24"/>
          <w:lang w:val="en-US"/>
        </w:rPr>
        <w:t>(Lubna et al., 2021)</w:t>
      </w:r>
      <w:r w:rsidR="005D5A40" w:rsidRPr="0044344D">
        <w:rPr>
          <w:rFonts w:ascii="Century" w:hAnsi="Century"/>
          <w:sz w:val="24"/>
          <w:szCs w:val="24"/>
          <w:lang w:val="en-US"/>
        </w:rPr>
        <w:fldChar w:fldCharType="end"/>
      </w:r>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Selain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itu</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terdapat</w:t>
      </w:r>
      <w:proofErr w:type="spellEnd"/>
      <w:r w:rsidR="005D5A40" w:rsidRPr="0044344D">
        <w:rPr>
          <w:rFonts w:ascii="Century" w:hAnsi="Century"/>
          <w:sz w:val="24"/>
          <w:szCs w:val="24"/>
          <w:lang w:val="en-US"/>
        </w:rPr>
        <w:t xml:space="preserve"> pula </w:t>
      </w:r>
      <w:proofErr w:type="spellStart"/>
      <w:r w:rsidR="005D5A40" w:rsidRPr="0044344D">
        <w:rPr>
          <w:rFonts w:ascii="Century" w:hAnsi="Century"/>
          <w:sz w:val="24"/>
          <w:szCs w:val="24"/>
          <w:lang w:val="en-US"/>
        </w:rPr>
        <w:t>potensi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energi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surya</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untuk</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menyediakan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sumber</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energi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terbarukan</w:t>
      </w:r>
      <w:proofErr w:type="spellEnd"/>
      <w:r w:rsidR="005D5A40" w:rsidRPr="0044344D">
        <w:rPr>
          <w:rFonts w:ascii="Century" w:hAnsi="Century"/>
          <w:sz w:val="24"/>
          <w:szCs w:val="24"/>
          <w:lang w:val="en-US"/>
        </w:rPr>
        <w:t xml:space="preserve"> yang </w:t>
      </w:r>
      <w:proofErr w:type="spellStart"/>
      <w:r w:rsidR="005D5A40" w:rsidRPr="0044344D">
        <w:rPr>
          <w:rFonts w:ascii="Century" w:hAnsi="Century"/>
          <w:sz w:val="24"/>
          <w:szCs w:val="24"/>
          <w:lang w:val="en-US"/>
        </w:rPr>
        <w:t>mandiri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terutama</w:t>
      </w:r>
      <w:proofErr w:type="spellEnd"/>
      <w:r w:rsidR="005D5A40" w:rsidRPr="0044344D">
        <w:rPr>
          <w:rFonts w:ascii="Century" w:hAnsi="Century"/>
          <w:sz w:val="24"/>
          <w:szCs w:val="24"/>
          <w:lang w:val="en-US"/>
        </w:rPr>
        <w:t xml:space="preserve"> di </w:t>
      </w:r>
      <w:proofErr w:type="spellStart"/>
      <w:r w:rsidR="005D5A40" w:rsidRPr="0044344D">
        <w:rPr>
          <w:rFonts w:ascii="Century" w:hAnsi="Century"/>
          <w:sz w:val="24"/>
          <w:szCs w:val="24"/>
          <w:lang w:val="en-US"/>
        </w:rPr>
        <w:t>daerah</w:t>
      </w:r>
      <w:proofErr w:type="spellEnd"/>
      <w:r w:rsidR="005D5A40" w:rsidRPr="0044344D">
        <w:rPr>
          <w:rFonts w:ascii="Century" w:hAnsi="Century"/>
          <w:sz w:val="24"/>
          <w:szCs w:val="24"/>
          <w:lang w:val="en-US"/>
        </w:rPr>
        <w:t xml:space="preserve"> yang </w:t>
      </w:r>
      <w:proofErr w:type="spellStart"/>
      <w:r w:rsidR="005D5A40" w:rsidRPr="0044344D">
        <w:rPr>
          <w:rFonts w:ascii="Century" w:hAnsi="Century"/>
          <w:sz w:val="24"/>
          <w:szCs w:val="24"/>
          <w:lang w:val="en-US"/>
        </w:rPr>
        <w:t>sering</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mengalami</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pemadaman</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listrik</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akibat</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bencana</w:t>
      </w:r>
      <w:proofErr w:type="spellEnd"/>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alam</w:t>
      </w:r>
      <w:proofErr w:type="spellEnd"/>
      <w:r w:rsidR="005D5A40" w:rsidRPr="0044344D">
        <w:rPr>
          <w:rFonts w:ascii="Century" w:hAnsi="Century"/>
          <w:sz w:val="24"/>
          <w:szCs w:val="24"/>
          <w:lang w:val="en-US"/>
        </w:rPr>
        <w:t xml:space="preserve"> </w:t>
      </w:r>
      <w:r w:rsidR="005D5A40" w:rsidRPr="0044344D">
        <w:rPr>
          <w:rFonts w:ascii="Century" w:hAnsi="Century"/>
          <w:sz w:val="24"/>
          <w:szCs w:val="24"/>
          <w:lang w:val="en-US"/>
        </w:rPr>
        <w:fldChar w:fldCharType="begin"/>
      </w:r>
      <w:r w:rsidR="005D5A40" w:rsidRPr="0044344D">
        <w:rPr>
          <w:rFonts w:ascii="Century" w:hAnsi="Century"/>
          <w:sz w:val="24"/>
          <w:szCs w:val="24"/>
          <w:lang w:val="en-US"/>
        </w:rPr>
        <w:instrText xml:space="preserve"> ADDIN ZOTERO_ITEM CSL_CITATION {"citationID":"A9MAmb7g","properties":{"formattedCitation":"(Setiawan et al., 2022)","plainCitation":"(Setiawan et al., 2022)","noteIndex":0},"citationItems":[{"id":5495,"uris":["http://zotero.org/users/11229148/items/Y6PZTME8"],"itemData":{"id":5495,"type":"article-journal","abstract":"The sun is one of the new renewable energies that unlimited and will never run out. As the mobility of the community increases, all activities require lighting. Solar Street Lighting (SSL) is public street lighting using solar energy to supply electrical power to lighting lamps. Girikerto Village is one of the villages in Sidorejo Hamlet. Geographically, Dusun Sidorejo is located on the western slopes of Mount Merapi. This geographical location causes Girikerto Village to frequently experience power outages. When Merapi erupts, electricity must be turned off to prevent other disasters such as fires occurring during the Merapi eruption. This condition causes people to depend on evacuation gathering points where there is an electricity supply using generators. The ability of the generator is also unreliable because some roads have no lighting, making it difficult for officers to evacuate residents and several times there have been accidents due to poor lighting. SSL is one solution in overcoming the problem. Photovoltaic technology in SSL functions to convert solar radiation into electrical energy. The use of this technology makes people more independent in meeting their electricity needs without relying on government services. These SSL are installed at new evacuation points and evacuation car passing points.","container-title":"Indonesian Journal of Community Empowerment and Service (ICOMES)","DOI":"10.33369/icomes.v2i1.20786","ISSN":"2809-9869, 2809-9958","issue":"1","journalAbbreviation":"ICOMES","language":"id","note":"publisher: UNIB Press","page":"16-19","source":"Crossref","title":"Tenaga Surya sebagai Solusi Penerangan Jalan Umum Di Desa Girikerto Kecamatan Turi Kabupaten Sleman","volume":"2","author":[{"family":"Setiawan","given":"Adi"},{"family":"Lilbilad","given":"Walid Mufid"},{"family":"Nurmanwala","given":"Esih"},{"family":"Safitri","given":"Sindi Dwi"},{"family":"Syahra","given":"Nur Aulia"},{"family":"Hidayah","given":"Qonitatul"}],"issued":{"date-parts":[["2022",6,27]]}}}],"schema":"https://github.com/citation-style-language/schema/raw/master/csl-citation.json"} </w:instrText>
      </w:r>
      <w:r w:rsidR="005D5A40" w:rsidRPr="0044344D">
        <w:rPr>
          <w:rFonts w:ascii="Century" w:hAnsi="Century"/>
          <w:sz w:val="24"/>
          <w:szCs w:val="24"/>
          <w:lang w:val="en-US"/>
        </w:rPr>
        <w:fldChar w:fldCharType="separate"/>
      </w:r>
      <w:r w:rsidR="005D5A40" w:rsidRPr="0044344D">
        <w:rPr>
          <w:rFonts w:ascii="Century" w:hAnsi="Century"/>
          <w:noProof/>
          <w:sz w:val="24"/>
          <w:szCs w:val="24"/>
          <w:lang w:val="en-US"/>
        </w:rPr>
        <w:t>(Setiawan et al., 2022)</w:t>
      </w:r>
      <w:r w:rsidR="005D5A40" w:rsidRPr="0044344D">
        <w:rPr>
          <w:rFonts w:ascii="Century" w:hAnsi="Century"/>
          <w:sz w:val="24"/>
          <w:szCs w:val="24"/>
          <w:lang w:val="en-US"/>
        </w:rPr>
        <w:fldChar w:fldCharType="end"/>
      </w:r>
      <w:r w:rsidR="005D5A40" w:rsidRPr="0044344D">
        <w:rPr>
          <w:rFonts w:ascii="Century" w:hAnsi="Century"/>
          <w:sz w:val="24"/>
          <w:szCs w:val="24"/>
          <w:lang w:val="en-US"/>
        </w:rPr>
        <w:t xml:space="preserve">. </w:t>
      </w:r>
      <w:proofErr w:type="spellStart"/>
      <w:r w:rsidR="005D5A40" w:rsidRPr="0044344D">
        <w:rPr>
          <w:rFonts w:ascii="Century" w:hAnsi="Century"/>
          <w:sz w:val="24"/>
          <w:szCs w:val="24"/>
          <w:lang w:val="en-US"/>
        </w:rPr>
        <w:t>T</w:t>
      </w:r>
      <w:r w:rsidRPr="0044344D">
        <w:rPr>
          <w:rFonts w:ascii="Century" w:hAnsi="Century"/>
          <w:sz w:val="24"/>
          <w:szCs w:val="24"/>
          <w:lang w:val="en-US"/>
        </w:rPr>
        <w:t>antangan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muncul</w:t>
      </w:r>
      <w:proofErr w:type="spellEnd"/>
      <w:r w:rsidRPr="0044344D">
        <w:rPr>
          <w:rFonts w:ascii="Century" w:hAnsi="Century"/>
          <w:sz w:val="24"/>
          <w:szCs w:val="24"/>
          <w:lang w:val="en-US"/>
        </w:rPr>
        <w:t xml:space="preserve"> </w:t>
      </w:r>
      <w:proofErr w:type="spellStart"/>
      <w:r w:rsidR="00EA4B81" w:rsidRPr="0044344D">
        <w:rPr>
          <w:rFonts w:ascii="Century" w:hAnsi="Century"/>
          <w:sz w:val="24"/>
          <w:szCs w:val="24"/>
          <w:lang w:val="en-US"/>
        </w:rPr>
        <w:t>dalam</w:t>
      </w:r>
      <w:proofErr w:type="spellEnd"/>
      <w:r w:rsidR="00EA4B81" w:rsidRPr="0044344D">
        <w:rPr>
          <w:rFonts w:ascii="Century" w:hAnsi="Century"/>
          <w:sz w:val="24"/>
          <w:szCs w:val="24"/>
          <w:lang w:val="en-US"/>
        </w:rPr>
        <w:t xml:space="preserve"> </w:t>
      </w:r>
      <w:proofErr w:type="spellStart"/>
      <w:r w:rsidR="00773EF6" w:rsidRPr="0044344D">
        <w:rPr>
          <w:rFonts w:ascii="Century" w:hAnsi="Century"/>
          <w:sz w:val="24"/>
          <w:szCs w:val="24"/>
          <w:lang w:val="en-US"/>
        </w:rPr>
        <w:t>sekolah</w:t>
      </w:r>
      <w:proofErr w:type="spellEnd"/>
      <w:r w:rsidR="00773EF6" w:rsidRPr="0044344D">
        <w:rPr>
          <w:rFonts w:ascii="Century" w:hAnsi="Century"/>
          <w:sz w:val="24"/>
          <w:szCs w:val="24"/>
          <w:lang w:val="en-US"/>
        </w:rPr>
        <w:t xml:space="preserve"> </w:t>
      </w:r>
      <w:proofErr w:type="spellStart"/>
      <w:r w:rsidR="00773EF6" w:rsidRPr="0044344D">
        <w:rPr>
          <w:rFonts w:ascii="Century" w:hAnsi="Century"/>
          <w:sz w:val="24"/>
          <w:szCs w:val="24"/>
          <w:lang w:val="en-US"/>
        </w:rPr>
        <w:t>vokasi</w:t>
      </w:r>
      <w:proofErr w:type="spellEnd"/>
      <w:r w:rsidR="00773EF6" w:rsidRPr="0044344D">
        <w:rPr>
          <w:rFonts w:ascii="Century" w:hAnsi="Century"/>
          <w:sz w:val="24"/>
          <w:szCs w:val="24"/>
          <w:lang w:val="en-US"/>
        </w:rPr>
        <w:t xml:space="preserve"> </w:t>
      </w:r>
      <w:proofErr w:type="spellStart"/>
      <w:r w:rsidRPr="0044344D">
        <w:rPr>
          <w:rFonts w:ascii="Century" w:hAnsi="Century"/>
          <w:sz w:val="24"/>
          <w:szCs w:val="24"/>
          <w:lang w:val="en-US"/>
        </w:rPr>
        <w:t>adalah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keterbatasan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informasi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mengenai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teori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praktik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teknologi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khususnya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bidang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teknologi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terkini</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ada</w:t>
      </w:r>
      <w:proofErr w:type="spellEnd"/>
      <w:r w:rsidRPr="0044344D">
        <w:rPr>
          <w:rFonts w:ascii="Century" w:hAnsi="Century"/>
          <w:sz w:val="24"/>
          <w:szCs w:val="24"/>
          <w:lang w:val="en-US"/>
        </w:rPr>
        <w:t xml:space="preserve"> di dunia. </w:t>
      </w:r>
    </w:p>
    <w:p w14:paraId="03D66051" w14:textId="063F648C" w:rsidR="001A720C" w:rsidRPr="0044344D" w:rsidRDefault="00CE4FE8" w:rsidP="00070FDA">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Pembangkit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lebih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tersebar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mengurangi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kerugian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distribusi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biaya</w:t>
      </w:r>
      <w:proofErr w:type="spellEnd"/>
      <w:r w:rsidRPr="0044344D">
        <w:rPr>
          <w:rFonts w:ascii="Century" w:hAnsi="Century"/>
          <w:sz w:val="24"/>
          <w:szCs w:val="24"/>
          <w:lang w:val="en-US"/>
        </w:rPr>
        <w:t xml:space="preserve"> di masa </w:t>
      </w:r>
      <w:proofErr w:type="spellStart"/>
      <w:r w:rsidRPr="0044344D">
        <w:rPr>
          <w:rFonts w:ascii="Century" w:hAnsi="Century"/>
          <w:sz w:val="24"/>
          <w:szCs w:val="24"/>
          <w:lang w:val="en-US"/>
        </w:rPr>
        <w:t>depan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Pembangkit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skala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kecil</w:t>
      </w:r>
      <w:proofErr w:type="spellEnd"/>
      <w:r w:rsidRPr="0044344D">
        <w:rPr>
          <w:rFonts w:ascii="Century" w:hAnsi="Century"/>
          <w:sz w:val="24"/>
          <w:szCs w:val="24"/>
          <w:lang w:val="en-US"/>
        </w:rPr>
        <w:t xml:space="preserve">, </w:t>
      </w:r>
      <w:proofErr w:type="spellStart"/>
      <w:r w:rsidR="00056745" w:rsidRPr="0044344D">
        <w:rPr>
          <w:rFonts w:ascii="Century" w:hAnsi="Century"/>
          <w:sz w:val="24"/>
          <w:szCs w:val="24"/>
          <w:lang w:val="en-US"/>
        </w:rPr>
        <w:t>apabila</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diiringi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penurunan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harga</w:t>
      </w:r>
      <w:proofErr w:type="spellEnd"/>
      <w:r w:rsidRPr="0044344D">
        <w:rPr>
          <w:rFonts w:ascii="Century" w:hAnsi="Century"/>
          <w:sz w:val="24"/>
          <w:szCs w:val="24"/>
          <w:lang w:val="en-US"/>
        </w:rPr>
        <w:t xml:space="preserve"> </w:t>
      </w:r>
      <w:proofErr w:type="spellStart"/>
      <w:r w:rsidR="00056745" w:rsidRPr="0044344D">
        <w:rPr>
          <w:rFonts w:ascii="Century" w:hAnsi="Century"/>
          <w:sz w:val="24"/>
          <w:szCs w:val="24"/>
          <w:lang w:val="en-US"/>
        </w:rPr>
        <w:t>perangkat</w:t>
      </w:r>
      <w:proofErr w:type="spellEnd"/>
      <w:r w:rsidR="00056745" w:rsidRPr="0044344D">
        <w:rPr>
          <w:rFonts w:ascii="Century" w:hAnsi="Century"/>
          <w:sz w:val="24"/>
          <w:szCs w:val="24"/>
          <w:lang w:val="en-US"/>
        </w:rPr>
        <w:t xml:space="preserve"> dan </w:t>
      </w:r>
      <w:proofErr w:type="spellStart"/>
      <w:r w:rsidR="00056745" w:rsidRPr="0044344D">
        <w:rPr>
          <w:rFonts w:ascii="Century" w:hAnsi="Century"/>
          <w:sz w:val="24"/>
          <w:szCs w:val="24"/>
          <w:lang w:val="en-US"/>
        </w:rPr>
        <w:t>penggunaan</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kombinasi</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perangkat</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pendukungnya</w:t>
      </w:r>
      <w:proofErr w:type="spellEnd"/>
      <w:r w:rsidRPr="0044344D">
        <w:rPr>
          <w:rFonts w:ascii="Century" w:hAnsi="Century"/>
          <w:sz w:val="24"/>
          <w:szCs w:val="24"/>
          <w:lang w:val="en-US"/>
        </w:rPr>
        <w:t xml:space="preserve"> di pasar</w:t>
      </w:r>
      <w:r w:rsidR="00056745" w:rsidRPr="0044344D">
        <w:rPr>
          <w:rFonts w:ascii="Century" w:hAnsi="Century"/>
          <w:sz w:val="24"/>
          <w:szCs w:val="24"/>
          <w:lang w:val="en-US"/>
        </w:rPr>
        <w:t>,</w:t>
      </w:r>
      <w:r w:rsidRPr="0044344D">
        <w:rPr>
          <w:rFonts w:ascii="Century" w:hAnsi="Century"/>
          <w:sz w:val="24"/>
          <w:szCs w:val="24"/>
          <w:lang w:val="en-US"/>
        </w:rPr>
        <w:t xml:space="preserve"> </w:t>
      </w:r>
      <w:proofErr w:type="spellStart"/>
      <w:r w:rsidR="00056745" w:rsidRPr="0044344D">
        <w:rPr>
          <w:rFonts w:ascii="Century" w:hAnsi="Century"/>
          <w:sz w:val="24"/>
          <w:szCs w:val="24"/>
          <w:lang w:val="en-US"/>
        </w:rPr>
        <w:t>memiliki</w:t>
      </w:r>
      <w:proofErr w:type="spellEnd"/>
      <w:r w:rsidRPr="0044344D">
        <w:rPr>
          <w:rFonts w:ascii="Century" w:hAnsi="Century"/>
          <w:sz w:val="24"/>
          <w:szCs w:val="24"/>
          <w:lang w:val="en-US"/>
        </w:rPr>
        <w:t xml:space="preserve"> </w:t>
      </w:r>
      <w:proofErr w:type="spellStart"/>
      <w:r w:rsidR="00056745" w:rsidRPr="0044344D">
        <w:rPr>
          <w:rFonts w:ascii="Century" w:hAnsi="Century"/>
          <w:sz w:val="24"/>
          <w:szCs w:val="24"/>
          <w:lang w:val="en-US"/>
        </w:rPr>
        <w:t>peluang</w:t>
      </w:r>
      <w:proofErr w:type="spellEnd"/>
      <w:r w:rsidR="00056745" w:rsidRPr="0044344D">
        <w:rPr>
          <w:rFonts w:ascii="Century" w:hAnsi="Century"/>
          <w:sz w:val="24"/>
          <w:szCs w:val="24"/>
          <w:lang w:val="en-US"/>
        </w:rPr>
        <w:t xml:space="preserve"> </w:t>
      </w:r>
      <w:proofErr w:type="spellStart"/>
      <w:r w:rsidRPr="0044344D">
        <w:rPr>
          <w:rFonts w:ascii="Century" w:hAnsi="Century"/>
          <w:sz w:val="24"/>
          <w:szCs w:val="24"/>
          <w:lang w:val="en-US"/>
        </w:rPr>
        <w:t>menguntungkan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konsumen</w:t>
      </w:r>
      <w:proofErr w:type="spellEnd"/>
      <w:r w:rsidRPr="0044344D">
        <w:rPr>
          <w:rFonts w:ascii="Century" w:hAnsi="Century"/>
          <w:sz w:val="24"/>
          <w:szCs w:val="24"/>
          <w:lang w:val="en-US"/>
        </w:rPr>
        <w:t xml:space="preserve">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{"citationID":"R798vb9x","properties":{"formattedCitation":"(Hirvonen et al., 2016; Stecca et al., 2020)","plainCitation":"(Hirvonen et al., 2016; Stecca et al., 2020)","noteIndex":0},"citationItems":[{"id":25,"uris":["http://zotero.org/users/11229148/items/3AFVHM2T"],"itemData":{"id":25,"type":"article-journal","abstract":"Recent developments in the electricity sector encourage a high penetration of Renewable Energy Sources (RES). In addition, European policies are pushing for mass deployment of Electric Vehicles (EVs). Due to their non-controllable characteristics, these loads have brought new challenges in distribution networks, resulting in increased difﬁculty for Distribution System Operators (DSOs) to guarantee a safe and reliable operation of the grid. Battery Energy Storage Systems (BESSs) are promising solutions for mitigating the impact of the new loads and RES. In this paper, different aspects of the BESS’s integration in distribution grids are reviewed. At ﬁrst, the physical layer will be considered, focusing on the main battery technologies commercially available and on the power electronics converter. Secondly, the different functionalities that a grid-connected BESS can provide will be investigated, and then its sizing, location and control in distribution network will be discussed. In addition, an overview of actual BESSs installations is given. All in all, this paper aims at providing a comprehensive view of BESSs integration in distribution grids, highlighting the main focus, challenges, and research gaps for each one of these aspects.","container-title":"IEEE Open Journal of the Industrial Electronics Society","DOI":"10.1109/OJIES.2020.2981832","ISSN":"2644-1284","journalAbbreviation":"IEEE Open J. Ind. Electron. Soc.","language":"en","page":"1-1","source":"DOI.org (Crossref)","title":"A Comprehensive Review of the Integration of Battery Energy Storage Systems into Distribution Networks","author":[{"family":"Stecca","given":"Marco"},{"family":"Ramirez Elizondo","given":"Laura"},{"family":"Batista Soeiro","given":"Thiago"},{"family":"Bauer","given":"Pavol"},{"family":"Palensky","given":"Peter"}],"issued":{"date-parts":[["2020"]]}}},{"id":76,"uris":["http://zotero.org/users/11229148/items/K7BT4LHV"],"itemData":{"id":76,"type":"article-journal","abstract":"Solar electricity is growing very popular in the world, but it has some problems in matching of generation and demand both in hourly and seasonal levels. In northern latitudes the problem is especially signiﬁcant, as the difference between solar availability in winter and summer is very large. Cooling needs do not increase electricity demand in summer as much as in southern locations, while there is a high demand for heating in the winter when solar power is not available.","container-title":"Applied Energy","DOI":"10.1016/j.apenergy.2015.12.037","ISSN":"03062619","journalAbbreviation":"Applied Energy","language":"en","page":"255-269","source":"DOI.org (Crossref)","title":"Zero energy level and economic potential of small-scale building-integrated PV with different heating systems in Nordic conditions","volume":"167","author":[{"family":"Hirvonen","given":"Janne"},{"family":"Kayo","given":"Genku"},{"family":"Hasan","given":"Ala"},{"family":"Sirén","given":"Kai"}],"issued":{"date-parts":[["2016",4]]}}}],"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noProof/>
          <w:sz w:val="24"/>
          <w:szCs w:val="24"/>
          <w:lang w:val="en-US"/>
        </w:rPr>
        <w:t>(Hirvonen et al., 2016; Stecca et al., 2020)</w:t>
      </w:r>
      <w:r w:rsidRPr="0044344D">
        <w:rPr>
          <w:rFonts w:ascii="Century" w:hAnsi="Century"/>
          <w:sz w:val="24"/>
          <w:szCs w:val="24"/>
          <w:lang w:val="en-US"/>
        </w:rPr>
        <w:fldChar w:fldCharType="end"/>
      </w:r>
      <w:r w:rsidRPr="0044344D">
        <w:rPr>
          <w:rFonts w:ascii="Century" w:hAnsi="Century"/>
          <w:sz w:val="24"/>
          <w:szCs w:val="24"/>
          <w:lang w:val="en-US"/>
        </w:rPr>
        <w:t xml:space="preserve">. </w:t>
      </w:r>
      <w:proofErr w:type="spellStart"/>
      <w:r w:rsidR="00056745" w:rsidRPr="0044344D">
        <w:rPr>
          <w:rFonts w:ascii="Century" w:hAnsi="Century"/>
          <w:sz w:val="24"/>
          <w:szCs w:val="24"/>
          <w:lang w:val="en-US"/>
        </w:rPr>
        <w:t>Seiring</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dengan</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perkembangan</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teknologi</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j</w:t>
      </w:r>
      <w:r w:rsidRPr="0044344D">
        <w:rPr>
          <w:rFonts w:ascii="Century" w:hAnsi="Century"/>
          <w:sz w:val="24"/>
          <w:szCs w:val="24"/>
          <w:lang w:val="en-US"/>
        </w:rPr>
        <w:t>aringan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beralih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konsep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baru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pasar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Konsumen</w:t>
      </w:r>
      <w:proofErr w:type="spellEnd"/>
      <w:r w:rsidRPr="0044344D">
        <w:rPr>
          <w:rFonts w:ascii="Century" w:hAnsi="Century"/>
          <w:sz w:val="24"/>
          <w:szCs w:val="24"/>
          <w:lang w:val="en-US"/>
        </w:rPr>
        <w:t xml:space="preserve"> </w:t>
      </w:r>
      <w:proofErr w:type="spellStart"/>
      <w:r w:rsidR="00056745" w:rsidRPr="0044344D">
        <w:rPr>
          <w:rFonts w:ascii="Century" w:hAnsi="Century"/>
          <w:sz w:val="24"/>
          <w:szCs w:val="24"/>
          <w:lang w:val="en-US"/>
        </w:rPr>
        <w:t>berpeluang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menghasilkan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menjual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lastRenderedPageBreak/>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langsung</w:t>
      </w:r>
      <w:proofErr w:type="spellEnd"/>
      <w:r w:rsidRPr="0044344D">
        <w:rPr>
          <w:rFonts w:ascii="Century" w:hAnsi="Century"/>
          <w:sz w:val="24"/>
          <w:szCs w:val="24"/>
          <w:lang w:val="en-US"/>
        </w:rPr>
        <w:t xml:space="preserve">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{"citationID":"K5z6mZ7z","properties":{"formattedCitation":"(Dudkina et al., 2022)","plainCitation":"(Dudkina et al., 2022)","noteIndex":0},"citationItems":[{"id":339,"uris":["http://zotero.org/users/11229148/items/4IEDSE9H"],"itemData":{"id":339,"type":"article-journal","abstract":"The development of distributed energy generation, often aggregated to form micro- or nano- grids based on power generation from renewable sources, or small-size generators make it easier to electrify remote and isolated areas. In addition to privately owned generation capacities, it could be feasible and profitable to sell/buy the excess energy to/from the closest neighbors, giving rise to “peer-to-peer” forms of energy trades. Despite that peer-to-peer trading has been widely discussed in the literature, the organization of isolated markets with limited small capacities is still a subject of study and discussion in the power community. In this paper, we evaluate the functioning of an alternative shorter market scheme characterized by only one bidding period, closer to the delivery time, which is convenient as it profits from more accurate forecasts. Then, the final balancing is per­ formed internally within the same microgrids. Feasibility and cost-effectiveness of the proposed market is assessed for an isolated cluster of microgrids and compared with the currently operating markets, modelled as a day-ahead and real-time balancing markets. Two-stages stochastic optimization is implemented to compare the two market options. For this purpose, a grid of five villages is considered as a case-study and simulations are performed under two possible sets of installed capacities, including both diesel generators and renewable energy sources, to operate in either a dependent or a self-sufficient regime. Simulation results show that both markets succeed in supplying the required power demand, but the proposed simpler type of market may also be cost effective with a cost reduction up to 20%.","container-title":"Electric Power Systems Research","DOI":"10.1016/j.epsr.2022.108243","ISSN":"03787796","journalAbbreviation":"Electric Power Systems Research","language":"en","page":"108243","source":"DOI.org (Crossref)","title":"On the impact of different electricity markets on the operation of a network of microgrids in remote areas","volume":"212","author":[{"family":"Dudkina","given":"Ekaterina"},{"family":"Fioriti","given":"Davide"},{"family":"Crisostomi","given":"Emanuele"},{"family":"Poli","given":"Davide"}],"issued":{"date-parts":[["2022",11]]}}}],"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noProof/>
          <w:sz w:val="24"/>
          <w:szCs w:val="24"/>
          <w:lang w:val="en-US"/>
        </w:rPr>
        <w:t>(Dudkina et al., 2022)</w:t>
      </w:r>
      <w:r w:rsidRPr="0044344D">
        <w:rPr>
          <w:rFonts w:ascii="Century" w:hAnsi="Century"/>
          <w:sz w:val="24"/>
          <w:szCs w:val="24"/>
          <w:lang w:val="en-US"/>
        </w:rPr>
        <w:fldChar w:fldCharType="end"/>
      </w:r>
      <w:r w:rsidRPr="0044344D">
        <w:rPr>
          <w:rFonts w:ascii="Century" w:hAnsi="Century"/>
          <w:sz w:val="24"/>
          <w:szCs w:val="24"/>
          <w:lang w:val="en-US"/>
        </w:rPr>
        <w:t xml:space="preserve">. </w:t>
      </w:r>
      <w:proofErr w:type="spellStart"/>
      <w:r w:rsidR="001A720C" w:rsidRPr="0044344D">
        <w:rPr>
          <w:rFonts w:ascii="Century" w:hAnsi="Century"/>
          <w:sz w:val="24"/>
          <w:szCs w:val="24"/>
          <w:lang w:val="en-US"/>
        </w:rPr>
        <w:t>Sebagai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upaya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mendukung</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peralihan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ini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beberapa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pekerjaan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telah</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dilakukan</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seperti</w:t>
      </w:r>
      <w:proofErr w:type="spellEnd"/>
      <w:r w:rsidR="00A9261F" w:rsidRPr="0044344D">
        <w:rPr>
          <w:rFonts w:ascii="Century" w:hAnsi="Century"/>
          <w:sz w:val="24"/>
          <w:szCs w:val="24"/>
          <w:lang w:val="en-US"/>
        </w:rPr>
        <w:t xml:space="preserve"> </w:t>
      </w:r>
      <w:proofErr w:type="spellStart"/>
      <w:r w:rsidR="001A720C" w:rsidRPr="0044344D">
        <w:rPr>
          <w:rFonts w:ascii="Century" w:hAnsi="Century"/>
          <w:sz w:val="24"/>
          <w:szCs w:val="24"/>
          <w:lang w:val="en-US"/>
        </w:rPr>
        <w:t>mengembangkan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modul</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instalasi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kelistrikan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dengan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penerapan</w:t>
      </w:r>
      <w:proofErr w:type="spellEnd"/>
      <w:r w:rsidR="001A720C" w:rsidRPr="0044344D">
        <w:rPr>
          <w:rFonts w:ascii="Century" w:hAnsi="Century"/>
          <w:sz w:val="24"/>
          <w:szCs w:val="24"/>
          <w:lang w:val="en-US"/>
        </w:rPr>
        <w:t xml:space="preserve"> solar panel </w:t>
      </w:r>
      <w:proofErr w:type="spellStart"/>
      <w:r w:rsidR="001A720C" w:rsidRPr="0044344D">
        <w:rPr>
          <w:rFonts w:ascii="Century" w:hAnsi="Century"/>
          <w:sz w:val="24"/>
          <w:szCs w:val="24"/>
          <w:lang w:val="en-US"/>
        </w:rPr>
        <w:t>skala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laboratorium</w:t>
      </w:r>
      <w:proofErr w:type="spellEnd"/>
      <w:r w:rsidR="001A720C" w:rsidRPr="0044344D">
        <w:rPr>
          <w:rFonts w:ascii="Century" w:hAnsi="Century"/>
          <w:sz w:val="24"/>
          <w:szCs w:val="24"/>
          <w:lang w:val="en-US"/>
        </w:rPr>
        <w:t xml:space="preserve">, yang </w:t>
      </w:r>
      <w:proofErr w:type="spellStart"/>
      <w:r w:rsidR="001A720C" w:rsidRPr="0044344D">
        <w:rPr>
          <w:rFonts w:ascii="Century" w:hAnsi="Century"/>
          <w:sz w:val="24"/>
          <w:szCs w:val="24"/>
          <w:lang w:val="en-US"/>
        </w:rPr>
        <w:t>sehingga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dapat</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membantu</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pemahaman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masyarakat</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mengenai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penerapan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energi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surya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Kegiatan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tersebut</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diantaranya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integrasi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modul</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energi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surya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dapat</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membantu</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memperkuat</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sistem</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kelistrikan</w:t>
      </w:r>
      <w:proofErr w:type="spellEnd"/>
      <w:r w:rsidR="001A720C" w:rsidRPr="0044344D">
        <w:rPr>
          <w:rFonts w:ascii="Century" w:hAnsi="Century"/>
          <w:sz w:val="24"/>
          <w:szCs w:val="24"/>
          <w:lang w:val="en-US"/>
        </w:rPr>
        <w:t xml:space="preserve"> di </w:t>
      </w:r>
      <w:proofErr w:type="spellStart"/>
      <w:r w:rsidR="001A720C" w:rsidRPr="0044344D">
        <w:rPr>
          <w:rFonts w:ascii="Century" w:hAnsi="Century"/>
          <w:sz w:val="24"/>
          <w:szCs w:val="24"/>
          <w:lang w:val="en-US"/>
        </w:rPr>
        <w:t>lingkungan</w:t>
      </w:r>
      <w:proofErr w:type="spellEnd"/>
      <w:r w:rsidR="001A720C" w:rsidRPr="0044344D">
        <w:rPr>
          <w:rFonts w:ascii="Century" w:hAnsi="Century"/>
          <w:sz w:val="24"/>
          <w:szCs w:val="24"/>
          <w:lang w:val="en-US"/>
        </w:rPr>
        <w:t xml:space="preserve"> yang </w:t>
      </w:r>
      <w:proofErr w:type="spellStart"/>
      <w:r w:rsidR="001A720C" w:rsidRPr="0044344D">
        <w:rPr>
          <w:rFonts w:ascii="Century" w:hAnsi="Century"/>
          <w:sz w:val="24"/>
          <w:szCs w:val="24"/>
          <w:lang w:val="en-US"/>
        </w:rPr>
        <w:t>lebih</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luas</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seperti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desa</w:t>
      </w:r>
      <w:proofErr w:type="spellEnd"/>
      <w:r w:rsidR="001A720C" w:rsidRPr="0044344D">
        <w:rPr>
          <w:rFonts w:ascii="Century" w:hAnsi="Century"/>
          <w:sz w:val="24"/>
          <w:szCs w:val="24"/>
          <w:lang w:val="en-US"/>
        </w:rPr>
        <w:t xml:space="preserve"> dan </w:t>
      </w:r>
      <w:proofErr w:type="spellStart"/>
      <w:r w:rsidR="001A720C" w:rsidRPr="0044344D">
        <w:rPr>
          <w:rFonts w:ascii="Century" w:hAnsi="Century"/>
          <w:sz w:val="24"/>
          <w:szCs w:val="24"/>
          <w:lang w:val="en-US"/>
        </w:rPr>
        <w:t>pondok</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pesantren</w:t>
      </w:r>
      <w:proofErr w:type="spellEnd"/>
      <w:r w:rsidR="001A720C" w:rsidRPr="0044344D">
        <w:rPr>
          <w:rFonts w:ascii="Century" w:hAnsi="Century"/>
          <w:sz w:val="24"/>
          <w:szCs w:val="24"/>
          <w:lang w:val="en-US"/>
        </w:rPr>
        <w:t xml:space="preserve"> </w:t>
      </w:r>
      <w:r w:rsidR="001A720C" w:rsidRPr="0044344D">
        <w:rPr>
          <w:rFonts w:ascii="Century" w:hAnsi="Century"/>
          <w:sz w:val="24"/>
          <w:szCs w:val="24"/>
          <w:lang w:val="en-US"/>
        </w:rPr>
        <w:fldChar w:fldCharType="begin"/>
      </w:r>
      <w:r w:rsidR="001A720C" w:rsidRPr="0044344D">
        <w:rPr>
          <w:rFonts w:ascii="Century" w:hAnsi="Century"/>
          <w:sz w:val="24"/>
          <w:szCs w:val="24"/>
          <w:lang w:val="en-US"/>
        </w:rPr>
        <w:instrText xml:space="preserve"> ADDIN ZOTERO_ITEM CSL_CITATION {"citationID":"oKamsiPH","properties":{"formattedCitation":"(Amifia et al., 2022; Aprillia et al., 2023)","plainCitation":"(Amifia et al., 2022; Aprillia et al., 2023)","noteIndex":0},"citationItems":[{"id":5478,"uris":["http://zotero.org/users/11229148/items/SPPU4AU4"],"itemData":{"id":5478,"type":"article-journal","abstract":"The Ngeni Village community is a productive economic community with various sources of income. However, in this village, there are still fundamental problems. The main problem is accessing clean water and the lack of public street lighting. Two aspects of the problem in the community service activities have been carried out. The first aspect is about access to clean water, and this activity was implemented in 2020. The second aspect is the lack of public street lighting on the streets of Ngeni Village. Therefore, the service team has implemented appropriate science and technology to be utilized by the community, namely making solar street lighting. The purpose of this service activity is to build solar-powered public street lighting and provide ICT technology skills training so that people can be skilled in using ICT technology for their daily needs. The transfer of appropriate technology knowledge given to the community is hoped that the community can make their solar street lighting independently and can carry out maintenance independently in the future. The method applied in this activity is the Quantitative Method Approach, which emphasizes the in-depth understanding of a problem and is assisted by in-depth analysis techniques. The result of this activity is that 87 people attended the training well, and 20 expert teams succeeded and are skilled in advanced training by utilizing ICT technology as an alternative to solar-powered street lighting (PJU) at night.","issue":"4","language":"id","source":"Zotero","title":"Peningkatan Kapasitas dengan Penerangan Jalan Umum Tenaga Surya Berbasis ICT di Desa Ngeni","volume":"6","author":[{"family":"Amifia","given":"Lora Khaula"},{"family":"Adiputra","given":"Dimas"},{"family":"Hafidz","given":"Isa"},{"family":"Amiroh","given":"Khodijah"},{"family":"Farouq","given":"Ardiansyah Al"},{"family":"Samrat","given":"Robin Addwiyansyah Alfaro"},{"family":"Habibi","given":"Ahmad"}],"issued":{"date-parts":[["2022"]]}}},{"id":5464,"uris":["http://zotero.org/users/11229148/items/7C95RYPY"],"itemData":{"id":5464,"type":"article-journal","abstract":"Utilization of solar energy requires an active role from the community by providing information related to solar energy and the potential that can be obtainedIt is necessary to provide guidance to the community by providing basic knowledge about the conversion of solar energy into electricity. Followed by doing practice in proving the basic knowledge given in the form of simple practice. So that the public can understand information related to solar energy as a whole, both basic knowledge, conversion techniques, and installation techniques. The purpose of this community service is to provide training on solar power plant installations as a learning medium in the use of renewable energy in the form of solar energy. The training targets are MA teachers and students as the next generation who in the future will face greater challenges related to energy utilization. MA students are currently required to be more creative and innovative in utilizing all the potential of nature, especially the use of alternative technologies, one of which is solar energy. The Pangalengan area is also a challenge in itself in the use of electricity technology for the need for support by using solar energy for electricity use. In the community service program, an OnGrid 260 Wp solar power plant system has been installed which aims as a learning medium and helps reduce monthly school costs by integrating solar panels for the electrification of the Natural Sciences Laboratory (IPA).","container-title":"Warta LPM","DOI":"10.23917/warta.v26i2.1016","ISSN":"2549-5631, 1410-9344","journalAbbreviation":"warta","language":"id","license":"https://creativecommons.org/licenses/by/4.0","page":"166-173","source":"DOI.org (Crossref)","title":"Desiminasi Sistem Pembangkit Tenaga Surya untuk Guru dan Siswa di Kabupaten Bandung","author":[{"family":"Aprillia","given":"Bandiyah Sri"},{"literal":"Mohamad Ramdhani"},{"literal":"Irwan Purnama"}],"issued":{"date-parts":[["2023",4,1]]}}}],"schema":"https://github.com/citation-style-language/schema/raw/master/csl-citation.json"} </w:instrText>
      </w:r>
      <w:r w:rsidR="001A720C" w:rsidRPr="0044344D">
        <w:rPr>
          <w:rFonts w:ascii="Century" w:hAnsi="Century"/>
          <w:sz w:val="24"/>
          <w:szCs w:val="24"/>
          <w:lang w:val="en-US"/>
        </w:rPr>
        <w:fldChar w:fldCharType="separate"/>
      </w:r>
      <w:r w:rsidR="001A720C" w:rsidRPr="0044344D">
        <w:rPr>
          <w:rFonts w:ascii="Century" w:hAnsi="Century"/>
          <w:noProof/>
          <w:sz w:val="24"/>
          <w:szCs w:val="24"/>
          <w:lang w:val="en-US"/>
        </w:rPr>
        <w:t>(Amifia et al., 2022; Aprillia et al., 2023)</w:t>
      </w:r>
      <w:r w:rsidR="001A720C" w:rsidRPr="0044344D">
        <w:rPr>
          <w:rFonts w:ascii="Century" w:hAnsi="Century"/>
          <w:sz w:val="24"/>
          <w:szCs w:val="24"/>
          <w:lang w:val="en-US"/>
        </w:rPr>
        <w:fldChar w:fldCharType="end"/>
      </w:r>
      <w:r w:rsidR="001A720C" w:rsidRPr="0044344D">
        <w:rPr>
          <w:rFonts w:ascii="Century" w:hAnsi="Century"/>
          <w:sz w:val="24"/>
          <w:szCs w:val="24"/>
          <w:lang w:val="en-US"/>
        </w:rPr>
        <w:t>.</w:t>
      </w:r>
      <w:r w:rsidR="00A9261F" w:rsidRPr="0044344D">
        <w:rPr>
          <w:rFonts w:ascii="Century" w:hAnsi="Century"/>
          <w:sz w:val="24"/>
          <w:szCs w:val="24"/>
          <w:lang w:val="en-US"/>
        </w:rPr>
        <w:t xml:space="preserve"> </w:t>
      </w:r>
      <w:proofErr w:type="spellStart"/>
      <w:r w:rsidR="00945801" w:rsidRPr="0044344D">
        <w:rPr>
          <w:rFonts w:ascii="Century" w:hAnsi="Century"/>
          <w:sz w:val="24"/>
          <w:szCs w:val="24"/>
          <w:lang w:val="en-US"/>
        </w:rPr>
        <w:t>Edukasi</w:t>
      </w:r>
      <w:proofErr w:type="spellEnd"/>
      <w:r w:rsidR="00A9261F" w:rsidRPr="0044344D">
        <w:rPr>
          <w:rFonts w:ascii="Century" w:hAnsi="Century"/>
          <w:sz w:val="24"/>
          <w:szCs w:val="24"/>
          <w:lang w:val="en-US"/>
        </w:rPr>
        <w:t xml:space="preserve"> dan </w:t>
      </w:r>
      <w:proofErr w:type="spellStart"/>
      <w:r w:rsidR="00A9261F" w:rsidRPr="0044344D">
        <w:rPr>
          <w:rFonts w:ascii="Century" w:hAnsi="Century"/>
          <w:sz w:val="24"/>
          <w:szCs w:val="24"/>
          <w:lang w:val="en-US"/>
        </w:rPr>
        <w:t>penerapan</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pembangkit</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listrik</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skala</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kecil</w:t>
      </w:r>
      <w:proofErr w:type="spellEnd"/>
      <w:r w:rsidR="00A9261F" w:rsidRPr="0044344D">
        <w:rPr>
          <w:rFonts w:ascii="Century" w:hAnsi="Century"/>
          <w:sz w:val="24"/>
          <w:szCs w:val="24"/>
          <w:lang w:val="en-US"/>
        </w:rPr>
        <w:t xml:space="preserve"> dan </w:t>
      </w:r>
      <w:proofErr w:type="spellStart"/>
      <w:r w:rsidR="00A9261F" w:rsidRPr="0044344D">
        <w:rPr>
          <w:rFonts w:ascii="Century" w:hAnsi="Century"/>
          <w:sz w:val="24"/>
          <w:szCs w:val="24"/>
          <w:lang w:val="en-US"/>
        </w:rPr>
        <w:t>sistem</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terdesentralisasi</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dapat</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berpotensi</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mengurangi</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biaya</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listrik</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serta</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meningkatkan</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fleksibilitas</w:t>
      </w:r>
      <w:proofErr w:type="spellEnd"/>
      <w:r w:rsidR="00A9261F" w:rsidRPr="0044344D">
        <w:rPr>
          <w:rFonts w:ascii="Century" w:hAnsi="Century"/>
          <w:sz w:val="24"/>
          <w:szCs w:val="24"/>
          <w:lang w:val="en-US"/>
        </w:rPr>
        <w:t xml:space="preserve"> </w:t>
      </w:r>
      <w:proofErr w:type="spellStart"/>
      <w:r w:rsidR="00A9261F" w:rsidRPr="0044344D">
        <w:rPr>
          <w:rFonts w:ascii="Century" w:hAnsi="Century"/>
          <w:sz w:val="24"/>
          <w:szCs w:val="24"/>
          <w:lang w:val="en-US"/>
        </w:rPr>
        <w:t>energi</w:t>
      </w:r>
      <w:proofErr w:type="spellEnd"/>
      <w:r w:rsidR="00A9261F" w:rsidRPr="0044344D">
        <w:rPr>
          <w:rFonts w:ascii="Century" w:hAnsi="Century"/>
          <w:sz w:val="24"/>
          <w:szCs w:val="24"/>
          <w:lang w:val="en-US"/>
        </w:rPr>
        <w:t xml:space="preserve"> di </w:t>
      </w:r>
      <w:proofErr w:type="spellStart"/>
      <w:r w:rsidR="00A9261F" w:rsidRPr="0044344D">
        <w:rPr>
          <w:rFonts w:ascii="Century" w:hAnsi="Century"/>
          <w:sz w:val="24"/>
          <w:szCs w:val="24"/>
          <w:lang w:val="en-US"/>
        </w:rPr>
        <w:t>masyarakat</w:t>
      </w:r>
      <w:proofErr w:type="spellEnd"/>
      <w:r w:rsidR="00A9261F" w:rsidRPr="0044344D">
        <w:rPr>
          <w:rFonts w:ascii="Century" w:hAnsi="Century"/>
          <w:sz w:val="24"/>
          <w:szCs w:val="24"/>
          <w:lang w:val="en-US"/>
        </w:rPr>
        <w:t>.</w:t>
      </w:r>
    </w:p>
    <w:p w14:paraId="529F1BAA" w14:textId="62E8461B" w:rsidR="00CE4FE8" w:rsidRPr="0044344D" w:rsidRDefault="00CE4FE8" w:rsidP="00070FDA">
      <w:pPr>
        <w:pStyle w:val="BodyText"/>
        <w:tabs>
          <w:tab w:val="clear" w:pos="288"/>
        </w:tabs>
        <w:spacing w:after="0" w:line="276" w:lineRule="auto"/>
        <w:ind w:firstLine="426"/>
        <w:rPr>
          <w:rFonts w:ascii="Century" w:hAnsi="Century"/>
          <w:sz w:val="24"/>
          <w:szCs w:val="24"/>
          <w:lang w:val="en-US"/>
        </w:rPr>
      </w:pPr>
      <w:r w:rsidRPr="0044344D">
        <w:rPr>
          <w:rFonts w:ascii="Century" w:hAnsi="Century"/>
          <w:sz w:val="24"/>
          <w:szCs w:val="24"/>
          <w:lang w:val="en-US"/>
        </w:rPr>
        <w:t xml:space="preserve">Pada </w:t>
      </w:r>
      <w:proofErr w:type="spellStart"/>
      <w:r w:rsidRPr="0044344D">
        <w:rPr>
          <w:rFonts w:ascii="Century" w:hAnsi="Century"/>
          <w:sz w:val="24"/>
          <w:szCs w:val="24"/>
          <w:lang w:val="en-US"/>
        </w:rPr>
        <w:t>jaringan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konvensional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pembangkit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terpusat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sementara</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skema</w:t>
      </w:r>
      <w:proofErr w:type="spellEnd"/>
      <w:r w:rsidRPr="0044344D">
        <w:rPr>
          <w:rFonts w:ascii="Century" w:hAnsi="Century"/>
          <w:sz w:val="24"/>
          <w:szCs w:val="24"/>
          <w:lang w:val="en-US"/>
        </w:rPr>
        <w:t xml:space="preserve"> modern, </w:t>
      </w:r>
      <w:proofErr w:type="spellStart"/>
      <w:r w:rsidRPr="0044344D">
        <w:rPr>
          <w:rFonts w:ascii="Century" w:hAnsi="Century"/>
          <w:sz w:val="24"/>
          <w:szCs w:val="24"/>
          <w:lang w:val="en-US"/>
        </w:rPr>
        <w:t>konsumen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komersial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berperan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fleksibilitas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jaringan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r w:rsidR="001A720C" w:rsidRPr="0044344D">
        <w:rPr>
          <w:rFonts w:ascii="Century" w:hAnsi="Century"/>
          <w:sz w:val="24"/>
          <w:szCs w:val="24"/>
          <w:lang w:val="en-US"/>
        </w:rPr>
        <w:t xml:space="preserve">Pada </w:t>
      </w:r>
      <w:proofErr w:type="spellStart"/>
      <w:r w:rsidR="001A720C" w:rsidRPr="0044344D">
        <w:rPr>
          <w:rFonts w:ascii="Century" w:hAnsi="Century"/>
          <w:sz w:val="24"/>
          <w:szCs w:val="24"/>
          <w:lang w:val="en-US"/>
        </w:rPr>
        <w:t>pekerjaan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sebelumnya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telah</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dikembangkan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modul</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instalasi</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kelistrikan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dengan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penerapan</w:t>
      </w:r>
      <w:proofErr w:type="spellEnd"/>
      <w:r w:rsidR="001A720C" w:rsidRPr="0044344D">
        <w:rPr>
          <w:rFonts w:ascii="Century" w:hAnsi="Century"/>
          <w:sz w:val="24"/>
          <w:szCs w:val="24"/>
          <w:lang w:val="en-US"/>
        </w:rPr>
        <w:t xml:space="preserve"> solar panel </w:t>
      </w:r>
      <w:proofErr w:type="spellStart"/>
      <w:r w:rsidR="001A720C" w:rsidRPr="0044344D">
        <w:rPr>
          <w:rFonts w:ascii="Century" w:hAnsi="Century"/>
          <w:sz w:val="24"/>
          <w:szCs w:val="24"/>
          <w:lang w:val="en-US"/>
        </w:rPr>
        <w:t>skala</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laboratorium</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dapat</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meningkatkan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pemahaman</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masyarakat</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dalam</w:t>
      </w:r>
      <w:proofErr w:type="spellEnd"/>
      <w:r w:rsidR="001A720C" w:rsidRPr="0044344D">
        <w:rPr>
          <w:rFonts w:ascii="Century" w:hAnsi="Century"/>
          <w:sz w:val="24"/>
          <w:szCs w:val="24"/>
          <w:lang w:val="en-US"/>
        </w:rPr>
        <w:t xml:space="preserve"> </w:t>
      </w:r>
      <w:proofErr w:type="spellStart"/>
      <w:r w:rsidR="001A720C" w:rsidRPr="0044344D">
        <w:rPr>
          <w:rFonts w:ascii="Century" w:hAnsi="Century"/>
          <w:sz w:val="24"/>
          <w:szCs w:val="24"/>
          <w:lang w:val="en-US"/>
        </w:rPr>
        <w:t>penerapan</w:t>
      </w:r>
      <w:proofErr w:type="spellEnd"/>
      <w:r w:rsidR="001A720C" w:rsidRPr="0044344D">
        <w:rPr>
          <w:rFonts w:ascii="Century" w:hAnsi="Century"/>
          <w:sz w:val="24"/>
          <w:szCs w:val="24"/>
          <w:lang w:val="en-US"/>
        </w:rPr>
        <w:t xml:space="preserve"> PLTS </w:t>
      </w:r>
      <w:r w:rsidR="001A720C" w:rsidRPr="0044344D">
        <w:rPr>
          <w:rFonts w:ascii="Century" w:hAnsi="Century"/>
          <w:sz w:val="24"/>
          <w:szCs w:val="24"/>
          <w:lang w:val="en-US"/>
        </w:rPr>
        <w:fldChar w:fldCharType="begin"/>
      </w:r>
      <w:r w:rsidR="001A720C" w:rsidRPr="0044344D">
        <w:rPr>
          <w:rFonts w:ascii="Century" w:hAnsi="Century"/>
          <w:sz w:val="24"/>
          <w:szCs w:val="24"/>
          <w:lang w:val="en-US"/>
        </w:rPr>
        <w:instrText xml:space="preserve"> ADDIN ZOTERO_ITEM CSL_CITATION {"citationID":"Ls24nMGq","properties":{"formattedCitation":"(Amifia et al., 2022; Aprillia et al., 2023; Barri et al., 2021)","plainCitation":"(Amifia et al., 2022; Aprillia et al., 2023; Barri et al., 2021)","noteIndex":0},"citationItems":[{"id":5478,"uris":["http://zotero.org/users/11229148/items/SPPU4AU4"],"itemData":{"id":5478,"type":"article-journal","abstract":"The Ngeni Village community is a productive economic community with various sources of income. However, in this village, there are still fundamental problems. The main problem is accessing clean water and the lack of public street lighting. Two aspects of the problem in the community service activities have been carried out. The first aspect is about access to clean water, and this activity was implemented in 2020. The second aspect is the lack of public street lighting on the streets of Ngeni Village. Therefore, the service team has implemented appropriate science and technology to be utilized by the community, namely making solar street lighting. The purpose of this service activity is to build solar-powered public street lighting and provide ICT technology skills training so that people can be skilled in using ICT technology for their daily needs. The transfer of appropriate technology knowledge given to the community is hoped that the community can make their solar street lighting independently and can carry out maintenance independently in the future. The method applied in this activity is the Quantitative Method Approach, which emphasizes the in-depth understanding of a problem and is assisted by in-depth analysis techniques. The result of this activity is that 87 people attended the training well, and 20 expert teams succeeded and are skilled in advanced training by utilizing ICT technology as an alternative to solar-powered street lighting (PJU) at night.","issue":"4","language":"id","source":"Zotero","title":"Peningkatan Kapasitas dengan Penerangan Jalan Umum Tenaga Surya Berbasis ICT di Desa Ngeni","volume":"6","author":[{"family":"Amifia","given":"Lora Khaula"},{"family":"Adiputra","given":"Dimas"},{"family":"Hafidz","given":"Isa"},{"family":"Amiroh","given":"Khodijah"},{"family":"Farouq","given":"Ardiansyah Al"},{"family":"Samrat","given":"Robin Addwiyansyah Alfaro"},{"family":"Habibi","given":"Ahmad"}],"issued":{"date-parts":[["2022"]]}}},{"id":5464,"uris":["http://zotero.org/users/11229148/items/7C95RYPY"],"itemData":{"id":5464,"type":"article-journal","abstract":"Utilization of solar energy requires an active role from the community by providing information related to solar energy and the potential that can be obtainedIt is necessary to provide guidance to the community by providing basic knowledge about the conversion of solar energy into electricity. Followed by doing practice in proving the basic knowledge given in the form of simple practice. So that the public can understand information related to solar energy as a whole, both basic knowledge, conversion techniques, and installation techniques. The purpose of this community service is to provide training on solar power plant installations as a learning medium in the use of renewable energy in the form of solar energy. The training targets are MA teachers and students as the next generation who in the future will face greater challenges related to energy utilization. MA students are currently required to be more creative and innovative in utilizing all the potential of nature, especially the use of alternative technologies, one of which is solar energy. The Pangalengan area is also a challenge in itself in the use of electricity technology for the need for support by using solar energy for electricity use. In the community service program, an OnGrid 260 Wp solar power plant system has been installed which aims as a learning medium and helps reduce monthly school costs by integrating solar panels for the electrification of the Natural Sciences Laboratory (IPA).","container-title":"Warta LPM","DOI":"10.23917/warta.v26i2.1016","ISSN":"2549-5631, 1410-9344","journalAbbreviation":"warta","language":"id","license":"https://creativecommons.org/licenses/by/4.0","page":"166-173","source":"DOI.org (Crossref)","title":"Desiminasi Sistem Pembangkit Tenaga Surya untuk Guru dan Siswa di Kabupaten Bandung","author":[{"family":"Aprillia","given":"Bandiyah Sri"},{"literal":"Mohamad Ramdhani"},{"literal":"Irwan Purnama"}],"issued":{"date-parts":[["2023",4,1]]}}},{"id":5467,"uris":["http://zotero.org/users/11229148/items/H88WWQKG"],"itemData":{"id":5467,"type":"article-journal","abstract":"Darul Bayan Islamic Boarding School under the auspices of the Darul Bayan Pembangan Bangsa Foundation is located in Cilayung Village, Jatinangor District, Sumedang Regency, West Java. The land area owned by the Darul Bayan Islamic boarding school is around 3000 square meters. In addition to the formal activities, the Darul Bayan Pembangun Bangsa Foundation has created non-formal schools (madrasah al-quran), starting from elementary to high school levels, the number of students is approximately 250 students, two living families, and 20 teachers. The fulfilment of electrical energy for daily needs at this boarding comes from PLN with a total power of 4400 VA. The monthly fee for electricity usage reaches an average of IDR 1,500,000 (one and a half million rupiah) per month. Such a large fee is of course very burdensome, because not all students are sufficient to pay educational development contributions as a source of monthly operational costs. Therefore, efforts are needed to reduce the costs borne by the school. Another problem is the reliability of electricity or disruption of line cut outs and voltage drops, as well as inadequate lighting for the front gate and room lighting in the boarding school. To help reduce monthly costs and improve electrical reliability, a Solar Power Plant (PLTS) is installed. The system includes a solar cell panel (a combination of several solar cell modules), a battery, an inverter, a monitoring-controller, a switch, a socket, a photocell sensor, and other attachments. The solar cell panels will flow energy to the battery during the day, at night the lights can be turned on automatically or manually. The Power House or PLTS Power Centre will be installed in the main boarding school building, so that monitoring of the PLTS will be easier.","container-title":"J-Dinamika : Jurnal Pengabdian Masyarakat","DOI":"10.25047/j-dinamika.v6i1.2368","ISSN":"2503-1112, 2503-1031","issue":"1","journalAbbreviation":"j-dinamika","language":"id","license":"https://creativecommons.org/licenses/by/4.0","page":"117-122","source":"DOI.org (Crossref)","title":"Integrasi Modul Energi Surya untuk Membantu Sistem Kelistrikan di Pondok Pesantren Darul Bayan Kecamatan Jatinangor Kabupaten Bandung","volume":"6","author":[{"family":"Barri","given":"Muhammad Hablul"},{"family":"Aprillia","given":"Bandiyah Sri"},{"family":"Sugiana","given":"Ahmad"},{"family":"Adam","given":"Kharisma Bani"}],"issued":{"date-parts":[["2021",6,30]]}}}],"schema":"https://github.com/citation-style-language/schema/raw/master/csl-citation.json"} </w:instrText>
      </w:r>
      <w:r w:rsidR="001A720C" w:rsidRPr="0044344D">
        <w:rPr>
          <w:rFonts w:ascii="Century" w:hAnsi="Century"/>
          <w:sz w:val="24"/>
          <w:szCs w:val="24"/>
          <w:lang w:val="en-US"/>
        </w:rPr>
        <w:fldChar w:fldCharType="separate"/>
      </w:r>
      <w:r w:rsidR="001A720C" w:rsidRPr="0044344D">
        <w:rPr>
          <w:rFonts w:ascii="Century" w:hAnsi="Century"/>
          <w:noProof/>
          <w:sz w:val="24"/>
          <w:szCs w:val="24"/>
          <w:lang w:val="en-US"/>
        </w:rPr>
        <w:t>(Amifia et al., 2022; Aprillia et al., 2023; Barri et al., 2021)</w:t>
      </w:r>
      <w:r w:rsidR="001A720C" w:rsidRPr="0044344D">
        <w:rPr>
          <w:rFonts w:ascii="Century" w:hAnsi="Century"/>
          <w:sz w:val="24"/>
          <w:szCs w:val="24"/>
          <w:lang w:val="en-US"/>
        </w:rPr>
        <w:fldChar w:fldCharType="end"/>
      </w:r>
      <w:r w:rsidR="001A720C" w:rsidRPr="0044344D">
        <w:rPr>
          <w:rFonts w:ascii="Century" w:hAnsi="Century"/>
          <w:sz w:val="24"/>
          <w:szCs w:val="24"/>
          <w:lang w:val="en-US"/>
        </w:rPr>
        <w:t>.</w:t>
      </w:r>
    </w:p>
    <w:p w14:paraId="3CF5399A" w14:textId="50A6F2D0" w:rsidR="00CE4FE8" w:rsidRPr="0044344D" w:rsidRDefault="00CE4FE8" w:rsidP="00070FDA">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Kualitas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diartikan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fenomena-fenomena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elektromagnetik</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mempengaruhi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tegangan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periode</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waktu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tertenu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Kualitas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buruk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merusak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peralatan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mengurangi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umur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pakai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meningkatkan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biaya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00312EC2" w:rsidRPr="0044344D">
        <w:rPr>
          <w:rFonts w:ascii="Century" w:hAnsi="Century"/>
          <w:sz w:val="24"/>
          <w:szCs w:val="24"/>
          <w:lang w:val="en-US"/>
        </w:rPr>
        <w:t>Masalah</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kualitas</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daya</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adalah</w:t>
      </w:r>
      <w:proofErr w:type="spellEnd"/>
      <w:r w:rsidR="00312EC2" w:rsidRPr="0044344D">
        <w:rPr>
          <w:rFonts w:ascii="Century" w:hAnsi="Century"/>
          <w:sz w:val="24"/>
          <w:szCs w:val="24"/>
          <w:lang w:val="en-US"/>
        </w:rPr>
        <w:t xml:space="preserve"> salah </w:t>
      </w:r>
      <w:proofErr w:type="spellStart"/>
      <w:r w:rsidR="00312EC2" w:rsidRPr="0044344D">
        <w:rPr>
          <w:rFonts w:ascii="Century" w:hAnsi="Century"/>
          <w:sz w:val="24"/>
          <w:szCs w:val="24"/>
          <w:lang w:val="en-US"/>
        </w:rPr>
        <w:t>satu</w:t>
      </w:r>
      <w:proofErr w:type="spellEnd"/>
      <w:r w:rsidR="00312EC2" w:rsidRPr="0044344D">
        <w:rPr>
          <w:rFonts w:ascii="Century" w:hAnsi="Century"/>
          <w:sz w:val="24"/>
          <w:szCs w:val="24"/>
          <w:lang w:val="en-US"/>
        </w:rPr>
        <w:t xml:space="preserve"> </w:t>
      </w:r>
      <w:proofErr w:type="spellStart"/>
      <w:r w:rsidR="00737973" w:rsidRPr="0044344D">
        <w:rPr>
          <w:rFonts w:ascii="Century" w:hAnsi="Century"/>
          <w:sz w:val="24"/>
          <w:szCs w:val="24"/>
          <w:lang w:val="en-US"/>
        </w:rPr>
        <w:t>isu</w:t>
      </w:r>
      <w:proofErr w:type="spellEnd"/>
      <w:r w:rsidR="00312EC2" w:rsidRPr="0044344D">
        <w:rPr>
          <w:rFonts w:ascii="Century" w:hAnsi="Century"/>
          <w:sz w:val="24"/>
          <w:szCs w:val="24"/>
          <w:lang w:val="en-US"/>
        </w:rPr>
        <w:t xml:space="preserve"> yang </w:t>
      </w:r>
      <w:proofErr w:type="spellStart"/>
      <w:r w:rsidR="00312EC2" w:rsidRPr="0044344D">
        <w:rPr>
          <w:rFonts w:ascii="Century" w:hAnsi="Century"/>
          <w:sz w:val="24"/>
          <w:szCs w:val="24"/>
          <w:lang w:val="en-US"/>
        </w:rPr>
        <w:t>menjadi</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tantangan</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dalam</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sistem</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kelistrikan</w:t>
      </w:r>
      <w:proofErr w:type="spellEnd"/>
      <w:r w:rsidR="00312EC2" w:rsidRPr="0044344D">
        <w:rPr>
          <w:rFonts w:ascii="Century" w:hAnsi="Century"/>
          <w:sz w:val="24"/>
          <w:szCs w:val="24"/>
          <w:lang w:val="en-US"/>
        </w:rPr>
        <w:t xml:space="preserve"> modern, </w:t>
      </w:r>
      <w:proofErr w:type="spellStart"/>
      <w:r w:rsidR="00312EC2" w:rsidRPr="0044344D">
        <w:rPr>
          <w:rFonts w:ascii="Century" w:hAnsi="Century"/>
          <w:sz w:val="24"/>
          <w:szCs w:val="24"/>
          <w:lang w:val="en-US"/>
        </w:rPr>
        <w:t>seiring</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meningkatnya</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perangkat</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elektronik</w:t>
      </w:r>
      <w:proofErr w:type="spellEnd"/>
      <w:r w:rsidR="00312EC2" w:rsidRPr="0044344D">
        <w:rPr>
          <w:rFonts w:ascii="Century" w:hAnsi="Century"/>
          <w:sz w:val="24"/>
          <w:szCs w:val="24"/>
          <w:lang w:val="en-US"/>
        </w:rPr>
        <w:t xml:space="preserve"> dan </w:t>
      </w:r>
      <w:proofErr w:type="spellStart"/>
      <w:r w:rsidR="00312EC2" w:rsidRPr="0044344D">
        <w:rPr>
          <w:rFonts w:ascii="Century" w:hAnsi="Century"/>
          <w:sz w:val="24"/>
          <w:szCs w:val="24"/>
          <w:lang w:val="en-US"/>
        </w:rPr>
        <w:t>sumber</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energi</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terbarukan</w:t>
      </w:r>
      <w:proofErr w:type="spellEnd"/>
      <w:r w:rsidR="00312EC2" w:rsidRPr="0044344D">
        <w:rPr>
          <w:rFonts w:ascii="Century" w:hAnsi="Century"/>
          <w:sz w:val="24"/>
          <w:szCs w:val="24"/>
          <w:lang w:val="en-US"/>
        </w:rPr>
        <w:t xml:space="preserve"> di </w:t>
      </w:r>
      <w:proofErr w:type="spellStart"/>
      <w:r w:rsidR="00312EC2" w:rsidRPr="0044344D">
        <w:rPr>
          <w:rFonts w:ascii="Century" w:hAnsi="Century"/>
          <w:sz w:val="24"/>
          <w:szCs w:val="24"/>
          <w:lang w:val="en-US"/>
        </w:rPr>
        <w:t>masyarakat</w:t>
      </w:r>
      <w:proofErr w:type="spellEnd"/>
      <w:r w:rsidR="00312EC2" w:rsidRPr="0044344D">
        <w:rPr>
          <w:rFonts w:ascii="Century" w:hAnsi="Century"/>
          <w:sz w:val="24"/>
          <w:szCs w:val="24"/>
          <w:lang w:val="en-US"/>
        </w:rPr>
        <w:t xml:space="preserve">. </w:t>
      </w:r>
      <w:proofErr w:type="spellStart"/>
      <w:r w:rsidR="00E8576B" w:rsidRPr="0044344D">
        <w:rPr>
          <w:rFonts w:ascii="Century" w:hAnsi="Century"/>
          <w:sz w:val="24"/>
          <w:szCs w:val="24"/>
          <w:lang w:val="en-US"/>
        </w:rPr>
        <w:t>Kontribusi</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beban</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nonlinier</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perangkat</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elektronik</w:t>
      </w:r>
      <w:proofErr w:type="spellEnd"/>
      <w:r w:rsidR="00E8576B" w:rsidRPr="0044344D">
        <w:rPr>
          <w:rFonts w:ascii="Century" w:hAnsi="Century"/>
          <w:sz w:val="24"/>
          <w:szCs w:val="24"/>
          <w:lang w:val="en-US"/>
        </w:rPr>
        <w:t xml:space="preserve"> di </w:t>
      </w:r>
      <w:proofErr w:type="spellStart"/>
      <w:r w:rsidR="00E8576B" w:rsidRPr="0044344D">
        <w:rPr>
          <w:rFonts w:ascii="Century" w:hAnsi="Century"/>
          <w:sz w:val="24"/>
          <w:szCs w:val="24"/>
          <w:lang w:val="en-US"/>
        </w:rPr>
        <w:t>sisi</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konsumen</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dapat</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berpotensi</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meningkatkan</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resiko</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permasalahan</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kualitas</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daya</w:t>
      </w:r>
      <w:proofErr w:type="spellEnd"/>
      <w:r w:rsidR="00E8576B" w:rsidRPr="0044344D">
        <w:rPr>
          <w:rFonts w:ascii="Century" w:hAnsi="Century"/>
          <w:sz w:val="24"/>
          <w:szCs w:val="24"/>
          <w:lang w:val="en-US"/>
        </w:rPr>
        <w:t xml:space="preserve">. </w:t>
      </w:r>
      <w:proofErr w:type="spellStart"/>
      <w:r w:rsidR="00312EC2" w:rsidRPr="0044344D">
        <w:rPr>
          <w:rFonts w:ascii="Century" w:hAnsi="Century"/>
          <w:sz w:val="24"/>
          <w:szCs w:val="24"/>
          <w:lang w:val="en-US"/>
        </w:rPr>
        <w:t>Harmonisa</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dapat</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berpengaruh</w:t>
      </w:r>
      <w:proofErr w:type="spellEnd"/>
      <w:r w:rsidR="00312EC2" w:rsidRPr="0044344D">
        <w:rPr>
          <w:rFonts w:ascii="Century" w:hAnsi="Century"/>
          <w:sz w:val="24"/>
          <w:szCs w:val="24"/>
          <w:lang w:val="en-US"/>
        </w:rPr>
        <w:t xml:space="preserve"> pada </w:t>
      </w:r>
      <w:proofErr w:type="spellStart"/>
      <w:r w:rsidR="00312EC2" w:rsidRPr="0044344D">
        <w:rPr>
          <w:rFonts w:ascii="Century" w:hAnsi="Century"/>
          <w:sz w:val="24"/>
          <w:szCs w:val="24"/>
          <w:lang w:val="en-US"/>
        </w:rPr>
        <w:t>pemanasan</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perangkat</w:t>
      </w:r>
      <w:proofErr w:type="spellEnd"/>
      <w:r w:rsidR="00312EC2" w:rsidRPr="0044344D">
        <w:rPr>
          <w:rFonts w:ascii="Century" w:hAnsi="Century"/>
          <w:sz w:val="24"/>
          <w:szCs w:val="24"/>
          <w:lang w:val="en-US"/>
        </w:rPr>
        <w:t xml:space="preserve"> </w:t>
      </w:r>
      <w:proofErr w:type="spellStart"/>
      <w:r w:rsidR="00737973" w:rsidRPr="0044344D">
        <w:rPr>
          <w:rFonts w:ascii="Century" w:hAnsi="Century"/>
          <w:sz w:val="24"/>
          <w:szCs w:val="24"/>
          <w:lang w:val="en-US"/>
        </w:rPr>
        <w:t>elektrik</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yg</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berlebih</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sehingga</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beresiko</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mengurangi</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umur</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peralatan</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rumah</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tangga</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meningkatkan</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biaya</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pemeliharaan</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serta</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potensi</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gangguan</w:t>
      </w:r>
      <w:proofErr w:type="spellEnd"/>
      <w:r w:rsidR="00312EC2" w:rsidRPr="0044344D">
        <w:rPr>
          <w:rFonts w:ascii="Century" w:hAnsi="Century"/>
          <w:sz w:val="24"/>
          <w:szCs w:val="24"/>
          <w:lang w:val="en-US"/>
        </w:rPr>
        <w:t xml:space="preserve"> </w:t>
      </w:r>
      <w:proofErr w:type="spellStart"/>
      <w:r w:rsidR="00312EC2" w:rsidRPr="0044344D">
        <w:rPr>
          <w:rFonts w:ascii="Century" w:hAnsi="Century"/>
          <w:sz w:val="24"/>
          <w:szCs w:val="24"/>
          <w:lang w:val="en-US"/>
        </w:rPr>
        <w:t>listrik</w:t>
      </w:r>
      <w:proofErr w:type="spellEnd"/>
      <w:r w:rsidR="00312EC2" w:rsidRPr="0044344D">
        <w:rPr>
          <w:rFonts w:ascii="Century" w:hAnsi="Century"/>
          <w:sz w:val="24"/>
          <w:szCs w:val="24"/>
          <w:lang w:val="en-US"/>
        </w:rPr>
        <w:t xml:space="preserve"> </w:t>
      </w:r>
      <w:r w:rsidR="00312EC2"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{"citationID":"n8ElijaV","properties":{"formattedCitation":"(Ali et al., 2024)","plainCitation":"(Ali et al., 2024)","noteIndex":0},"citationItems":[{"id":5486,"uris":["http://zotero.org/users/11229148/items/8ANGJGYX"],"itemData":{"id":5486,"type":"article-journal","abstract":"The issue of power quality (PQ) has become increasingly critical in modern power systems due to the growing integration of sensitive electronic devices, electric vehicles, and renewable energy sources. Among the various PQ concerns, harmonics have emerged as a significant contributor to the overheating of power system components. This overheating phenomenon can have detrimental effects, including reduced equipment lifespan, increased maintenance costs, and unexpected failures. This comprehensive review paper provides an in-depth examination of the impact of harmonics on power system components, with a focus on the overheating problems they induce. The paper delves into an analysis of PQ indices and standards, underscoring the necessity for efficient mitigation techniques to address harmonic-related overheating and other PQ concerns. The review explores the key PQ devices employed to mitigate harmonics, such as passive power filters, active power filters, and advanced devices like D-STATCOM, unified PQ conditioners, and dynamic voltage restorers. Furthermore, it investigates the various control algorithms and optimization techniques utilized in the design of these power filters, emphasizing their pivotal role in addressing harmonics and preventing overheating. It also discusses the applicability of artificial intelligence techniques in mitigating power harmonics and improving PQ in modern power grid studies.","container-title":"IEEE Access","DOI":"10.1109/access.2024.3477729","ISSN":"2169-3536","language":"en","license":"https://creativecommons.org/licenses/by-nc-nd/4.0/","note":"publisher: Institute of Electrical and Electronics Engineers (IEEE)","page":"151554-151597","source":"Crossref","title":"Complexities of Power Quality and Harmonic-Induced Overheating in Modern Power Grids Studies: Challenges and Solutions","title-short":"Complexities of Power Quality and Harmonic-Induced Overheating in Modern Power Grids Studies","volume":"12","author":[{"family":"Ali","given":"Ziad M."},{"family":"Ćalasan","given":"Martin"},{"family":"Jurado","given":"Francisco"},{"family":"Abdel Aleem","given":"Shady H. E."}],"issued":{"date-parts":[["2024"]]}}}],"schema":"https://github.com/citation-style-language/schema/raw/master/csl-citation.json"} </w:instrText>
      </w:r>
      <w:r w:rsidR="00312EC2" w:rsidRPr="0044344D">
        <w:rPr>
          <w:rFonts w:ascii="Century" w:hAnsi="Century"/>
          <w:sz w:val="24"/>
          <w:szCs w:val="24"/>
          <w:lang w:val="en-US"/>
        </w:rPr>
        <w:fldChar w:fldCharType="separate"/>
      </w:r>
      <w:r w:rsidR="002A1BC7" w:rsidRPr="0044344D">
        <w:rPr>
          <w:rFonts w:ascii="Century" w:hAnsi="Century"/>
          <w:noProof/>
          <w:sz w:val="24"/>
          <w:szCs w:val="24"/>
          <w:lang w:val="en-US"/>
        </w:rPr>
        <w:t>(Ali et al., 2024)</w:t>
      </w:r>
      <w:r w:rsidR="00312EC2" w:rsidRPr="0044344D">
        <w:rPr>
          <w:rFonts w:ascii="Century" w:hAnsi="Century"/>
          <w:sz w:val="24"/>
          <w:szCs w:val="24"/>
          <w:lang w:val="en-US"/>
        </w:rPr>
        <w:fldChar w:fldCharType="end"/>
      </w:r>
      <w:r w:rsidRPr="0044344D">
        <w:rPr>
          <w:rFonts w:ascii="Century" w:hAnsi="Century"/>
          <w:sz w:val="24"/>
          <w:szCs w:val="24"/>
          <w:lang w:val="en-US"/>
        </w:rPr>
        <w:t xml:space="preserve">. </w:t>
      </w:r>
      <w:proofErr w:type="spellStart"/>
      <w:r w:rsidR="00737973" w:rsidRPr="0044344D">
        <w:rPr>
          <w:rFonts w:ascii="Century" w:hAnsi="Century"/>
          <w:sz w:val="24"/>
          <w:szCs w:val="24"/>
          <w:lang w:val="en-US"/>
        </w:rPr>
        <w:t>Selain</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perangkat</w:t>
      </w:r>
      <w:proofErr w:type="spellEnd"/>
      <w:r w:rsidR="00737973" w:rsidRPr="0044344D">
        <w:rPr>
          <w:rFonts w:ascii="Century" w:hAnsi="Century"/>
          <w:sz w:val="24"/>
          <w:szCs w:val="24"/>
          <w:lang w:val="en-US"/>
        </w:rPr>
        <w:t xml:space="preserve"> </w:t>
      </w:r>
      <w:proofErr w:type="spellStart"/>
      <w:r w:rsidR="00E8576B" w:rsidRPr="0044344D">
        <w:rPr>
          <w:rFonts w:ascii="Century" w:hAnsi="Century"/>
          <w:sz w:val="24"/>
          <w:szCs w:val="24"/>
          <w:lang w:val="en-US"/>
        </w:rPr>
        <w:t>elektronik</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tantangan</w:t>
      </w:r>
      <w:proofErr w:type="spellEnd"/>
      <w:r w:rsidR="00737973" w:rsidRPr="0044344D">
        <w:rPr>
          <w:rFonts w:ascii="Century" w:hAnsi="Century"/>
          <w:sz w:val="24"/>
          <w:szCs w:val="24"/>
          <w:lang w:val="en-US"/>
        </w:rPr>
        <w:t xml:space="preserve"> lain yang </w:t>
      </w:r>
      <w:proofErr w:type="spellStart"/>
      <w:r w:rsidR="00737973" w:rsidRPr="0044344D">
        <w:rPr>
          <w:rFonts w:ascii="Century" w:hAnsi="Century"/>
          <w:sz w:val="24"/>
          <w:szCs w:val="24"/>
          <w:lang w:val="en-US"/>
        </w:rPr>
        <w:t>muncul</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adalah</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meningkatnya</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penggunaan</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sumber</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daya</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listrik</w:t>
      </w:r>
      <w:proofErr w:type="spellEnd"/>
      <w:r w:rsidR="00737973" w:rsidRPr="0044344D">
        <w:rPr>
          <w:rFonts w:ascii="Century" w:hAnsi="Century"/>
          <w:sz w:val="24"/>
          <w:szCs w:val="24"/>
          <w:lang w:val="en-US"/>
        </w:rPr>
        <w:t xml:space="preserve"> </w:t>
      </w:r>
      <w:proofErr w:type="spellStart"/>
      <w:r w:rsidR="00E8576B" w:rsidRPr="0044344D">
        <w:rPr>
          <w:rFonts w:ascii="Century" w:hAnsi="Century"/>
          <w:sz w:val="24"/>
          <w:szCs w:val="24"/>
          <w:lang w:val="en-US"/>
        </w:rPr>
        <w:t>energi</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terbarukan</w:t>
      </w:r>
      <w:proofErr w:type="spellEnd"/>
      <w:r w:rsidR="00E8576B" w:rsidRPr="0044344D">
        <w:rPr>
          <w:rFonts w:ascii="Century" w:hAnsi="Century"/>
          <w:sz w:val="24"/>
          <w:szCs w:val="24"/>
          <w:lang w:val="en-US"/>
        </w:rPr>
        <w:t xml:space="preserve"> yang </w:t>
      </w:r>
      <w:proofErr w:type="spellStart"/>
      <w:r w:rsidR="00737973" w:rsidRPr="0044344D">
        <w:rPr>
          <w:rFonts w:ascii="Century" w:hAnsi="Century"/>
          <w:sz w:val="24"/>
          <w:szCs w:val="24"/>
          <w:lang w:val="en-US"/>
        </w:rPr>
        <w:t>bersifat</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itermitten</w:t>
      </w:r>
      <w:proofErr w:type="spellEnd"/>
      <w:r w:rsidR="00737973" w:rsidRPr="0044344D">
        <w:rPr>
          <w:rFonts w:ascii="Century" w:hAnsi="Century"/>
          <w:sz w:val="24"/>
          <w:szCs w:val="24"/>
          <w:lang w:val="en-US"/>
        </w:rPr>
        <w:t xml:space="preserve">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{"citationID":"avnL6EQD","properties":{"formattedCitation":"(Ahmad et al., 2023; Kow et al., 2016; Miao et al., 2020)","plainCitation":"(Ahmad et al., 2023; Kow et al., 2016; Miao et al., 2020)","noteIndex":0},"citationItems":[{"id":5488,"uris":["http://zotero.org/users/11229148/items/L3ME27Y8"],"itemData":{"id":5488,"type":"article-journal","abstract":"Several issues have been reported with the expansion of the electric power grid and the increasing use of intermittent power sources, such as the need for expensive transmission lines and the issue of cascading blackouts, which can adversely affect critical infrastructures. Microgrids (MG) have been widely accepted as a viable solution to improve grid reliability and resiliency, ensuring continuous power supply to loads. However, to ensure the effective operation of the Distributed Energy Resources (DER), Microgrids must have Energy Management and Control Systems (EMCS). Therefore, considerable research has been conducted to achieve smooth profiles in grid parameters during operation at optimum running cost. This paper aims to provide a review of EMCS techniques that have evolved in recent years. Firstly, the fundamentals of microgrids are discussed for a general overview of the field. Then, a critical literature review is undertaken for the various methods applied for EM optimization in microgrid applications. Multiple factors have been explored in the objective functions throughout this review, including MG daily operational costs, energy storage degradation, revenue through trading with the grid or other parties, and Greenhouse Gas (GHG) emissions. Control systems have been reviewed by categorizing them based on the different applications in MGs for stable operation. This paper also focuses on IEEE standards related to MG operation and control to facilitate other researchers to build upon a standardized set of rules and to enhance the interoperability of the diverse EMCS techniques.","container-title":"IEEE Access","DOI":"10.1109/access.2023.3248511","ISSN":"2169-3536","language":"en","license":"https://creativecommons.org/licenses/by-nc-nd/4.0/","note":"publisher: Institute of Electrical and Electronics Engineers (IEEE)","page":"21729-21757","source":"Crossref","title":"A Review of Microgrid Energy Management and Control Strategies","volume":"11","author":[{"family":"Ahmad","given":"Saad"},{"family":"Shafiullah","given":"Md"},{"family":"Ahmed","given":"Chokri Belhaj"},{"family":"Alowaifeer","given":"Maad"}],"issued":{"date-parts":[["2023"]]}}},{"id":5484,"uris":["http://zotero.org/users/11229148/items/2T2VBYS5"],"itemData":{"id":5484,"type":"article-journal","abstract":"Integration of renewable energy resources into power networks is the trend in power distribution system. It is to reduce burden of centralized power plant and global emissions, increase usage of renewable energy, and diverse energy supply market. However, solar photovoltaic which is a type of renewable energy resource, is found to generate peak capacity for a short duration only. Next, its output is intermittent and randomness. In addition, it changes behavior of power distribution system from unidirectional to bidirectional. As a result, it causes different types of power quality events to the power networks. Therefore, these power quality events are urged to be mitigated to further explore the potential of solar photovoltaic system. This paper aims to investigate negative impacts of photovoltaic (PV) grid-tied system to the power networks, and study on performance of artiﬁcial intelligence (AI) and conventional methods in mitigating power quality event. According to the surveys, power system monitoring, inverter, dynamic voltage regulator, static synchronous compensator, uniﬁed power quality conditioner and energy storage system are able to compensate power quality events which are caused by PV grid-tied system. From the studies, AI methods usually outperform conventional methods in terms of response time and controllability. They also show talent in multi-mode operation, which is to switch to different operation modes according to the environment. However, they require memory to achieve abovementioned tasks. It is believed that unsupervised learning AI is the future trend as it can adapt to the environment without the need of collecting large amount of data before the AI is implemented.","container-title":"Renewable and Sustainable Energy Reviews","DOI":"10.1016/j.rser.2015.11.064","ISSN":"13640321","journalAbbreviation":"Renewable and Sustainable Energy Reviews","language":"en","page":"334-346","source":"DOI.org (Crossref)","title":"A review on performance of artificial intelligence and conventional method in mitigating PV grid-tied related power quality events","volume":"56","author":[{"family":"Kow","given":"Ken Weng"},{"family":"Wong","given":"Yee Wan"},{"family":"Rajkumar","given":"Rajparthiban Kumar"},{"family":"Rajkumar","given":"Rajprasad Kumar"}],"issued":{"date-parts":[["2016",4]]}}},{"id":5483,"uris":["http://zotero.org/users/11229148/items/7ZDWSWB4"],"itemData":{"id":5483,"type":"article-journal","abstract":"Due to the environmental concerns and new energy policies, worldwide expectations for energy production utilizing photovoltaic (PV) systems are increasing significantly. The aluminum electrolytic capacitor (AEC) is extensively used in filtering application for power electronic converters in PV systems since they can achieve the highest energy density with the lowest cost. However, the lifetime of an AEC is limited due to the electrolyte vaporization. The degradation of AECs challenges the efficiency and reliability of a PV system. Therefore, the health-monitoring of AECs is indispensable for the PV systems to operate reliably. In this paper, an online AEC-monitoring scheme based on magnetic-field sensing is proposed for PV systems under various working conditions. The AEC-monitoring technique using the equivalent series resistance (ESR) and capacitance (C) as the health indicators were developed for the power electronic converters in PV systems. The proposed methodology considering the voltage drops on C can improve the accuracy in ESR-estimation and achieve the estimation of C. The simulation results with Simulink verified that the proposed method was capable of estimating the health indicators accurately over various levels of solar irradiance and ambient temperature. The tunneling magnetoresistive (TMR) sensors were pre-calibrated from -25 to 100 oC for implementation in PV systems. The experimental results proved that TMR sensors could measure the current of AECs effectively to achieve the precise estimations of the health indicators using the proposed technique. This technique is non-invasive, compact, and cost-effective since it can be realized with the TMR sensors or other MR sensors.","container-title":"IEEE Sensors Journal","DOI":"10.1109/JSEN.2019.2945943","ISSN":"1530-437X, 1558-1748, 2379-9153","issue":"2","journalAbbreviation":"IEEE Sensors J.","language":"en","license":"https://ieeexplore.ieee.org/Xplorehelp/downloads/license-information/IEEE.html","page":"767-777","source":"DOI.org (Crossref)","title":"Online Monitoring of Aluminum Electrolytic Capacitors in Photovoltaic Systems by Magnetoresistive Sensors","volume":"20","author":[{"family":"Miao","given":"Wenchao"},{"family":"Lam","given":"K. H."},{"family":"Pong","given":"Philip W. T."}],"issued":{"date-parts":[["2020",1,15]]}}}],"schema":"https://github.com/citation-style-language/schema/raw/master/csl-citation.json"}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noProof/>
          <w:sz w:val="24"/>
          <w:szCs w:val="24"/>
          <w:lang w:val="en-US"/>
        </w:rPr>
        <w:t>(Ahmad et al., 2023; Kow et al., 2016; Miao et al., 2020)</w:t>
      </w:r>
      <w:r w:rsidRPr="0044344D">
        <w:rPr>
          <w:rFonts w:ascii="Century" w:hAnsi="Century"/>
          <w:sz w:val="24"/>
          <w:szCs w:val="24"/>
          <w:lang w:val="en-US"/>
        </w:rPr>
        <w:fldChar w:fldCharType="end"/>
      </w:r>
      <w:r w:rsidRPr="0044344D">
        <w:rPr>
          <w:rFonts w:ascii="Century" w:hAnsi="Century"/>
          <w:sz w:val="24"/>
          <w:szCs w:val="24"/>
          <w:lang w:val="en-US"/>
        </w:rPr>
        <w:t xml:space="preserve">. </w:t>
      </w:r>
      <w:proofErr w:type="spellStart"/>
      <w:r w:rsidR="00E8576B" w:rsidRPr="0044344D">
        <w:rPr>
          <w:rFonts w:ascii="Century" w:hAnsi="Century"/>
          <w:sz w:val="24"/>
          <w:szCs w:val="24"/>
          <w:lang w:val="en-US"/>
        </w:rPr>
        <w:t>Maka</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diperlukan</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adanya</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solusi</w:t>
      </w:r>
      <w:proofErr w:type="spellEnd"/>
      <w:r w:rsidR="00E8576B" w:rsidRPr="0044344D">
        <w:rPr>
          <w:rFonts w:ascii="Century" w:hAnsi="Century"/>
          <w:sz w:val="24"/>
          <w:szCs w:val="24"/>
          <w:lang w:val="en-US"/>
        </w:rPr>
        <w:t xml:space="preserve"> </w:t>
      </w:r>
      <w:proofErr w:type="spellStart"/>
      <w:r w:rsidR="00E8576B" w:rsidRPr="0044344D">
        <w:rPr>
          <w:rFonts w:ascii="Century" w:hAnsi="Century"/>
          <w:sz w:val="24"/>
          <w:szCs w:val="24"/>
          <w:lang w:val="en-US"/>
        </w:rPr>
        <w:t>praktis</w:t>
      </w:r>
      <w:proofErr w:type="spellEnd"/>
      <w:r w:rsidR="00737973" w:rsidRPr="0044344D">
        <w:rPr>
          <w:rFonts w:ascii="Century" w:hAnsi="Century"/>
          <w:sz w:val="24"/>
          <w:szCs w:val="24"/>
          <w:lang w:val="en-US"/>
        </w:rPr>
        <w:t xml:space="preserve"> </w:t>
      </w:r>
      <w:proofErr w:type="spellStart"/>
      <w:r w:rsidR="00737973" w:rsidRPr="0044344D">
        <w:rPr>
          <w:rFonts w:ascii="Century" w:hAnsi="Century"/>
          <w:sz w:val="24"/>
          <w:szCs w:val="24"/>
          <w:lang w:val="en-US"/>
        </w:rPr>
        <w:t>serta</w:t>
      </w:r>
      <w:proofErr w:type="spellEnd"/>
      <w:r w:rsidR="00737973" w:rsidRPr="0044344D">
        <w:rPr>
          <w:rFonts w:ascii="Century" w:hAnsi="Century"/>
          <w:sz w:val="24"/>
          <w:szCs w:val="24"/>
          <w:lang w:val="en-US"/>
        </w:rPr>
        <w:t xml:space="preserve"> </w:t>
      </w:r>
      <w:proofErr w:type="spellStart"/>
      <w:r w:rsidRPr="0044344D">
        <w:rPr>
          <w:rFonts w:ascii="Century" w:hAnsi="Century"/>
          <w:sz w:val="24"/>
          <w:szCs w:val="24"/>
          <w:lang w:val="en-US"/>
        </w:rPr>
        <w:t>pemantauan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kualitas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sistem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kelistrikan</w:t>
      </w:r>
      <w:proofErr w:type="spellEnd"/>
      <w:r w:rsidR="00056745" w:rsidRPr="0044344D">
        <w:rPr>
          <w:rFonts w:ascii="Century" w:hAnsi="Century"/>
          <w:sz w:val="24"/>
          <w:szCs w:val="24"/>
          <w:lang w:val="en-US"/>
        </w:rPr>
        <w:t xml:space="preserve"> </w:t>
      </w:r>
      <w:proofErr w:type="spellStart"/>
      <w:r w:rsidR="006652E9" w:rsidRPr="0044344D">
        <w:rPr>
          <w:rFonts w:ascii="Century" w:hAnsi="Century"/>
          <w:sz w:val="24"/>
          <w:szCs w:val="24"/>
          <w:lang w:val="en-US"/>
        </w:rPr>
        <w:t>dengan</w:t>
      </w:r>
      <w:proofErr w:type="spellEnd"/>
      <w:r w:rsidR="006652E9" w:rsidRPr="0044344D">
        <w:rPr>
          <w:rFonts w:ascii="Century" w:hAnsi="Century"/>
          <w:sz w:val="24"/>
          <w:szCs w:val="24"/>
          <w:lang w:val="en-US"/>
        </w:rPr>
        <w:t xml:space="preserve"> </w:t>
      </w:r>
      <w:proofErr w:type="spellStart"/>
      <w:r w:rsidR="006652E9" w:rsidRPr="0044344D">
        <w:rPr>
          <w:rFonts w:ascii="Century" w:hAnsi="Century"/>
          <w:sz w:val="24"/>
          <w:szCs w:val="24"/>
          <w:lang w:val="en-US"/>
        </w:rPr>
        <w:t>harapan</w:t>
      </w:r>
      <w:proofErr w:type="spellEnd"/>
      <w:r w:rsidR="006652E9" w:rsidRPr="0044344D">
        <w:rPr>
          <w:rFonts w:ascii="Century" w:hAnsi="Century"/>
          <w:sz w:val="24"/>
          <w:szCs w:val="24"/>
          <w:lang w:val="en-US"/>
        </w:rPr>
        <w:t xml:space="preserve"> </w:t>
      </w:r>
      <w:proofErr w:type="spellStart"/>
      <w:r w:rsidR="00056745" w:rsidRPr="0044344D">
        <w:rPr>
          <w:rFonts w:ascii="Century" w:hAnsi="Century"/>
          <w:sz w:val="24"/>
          <w:szCs w:val="24"/>
          <w:lang w:val="en-US"/>
        </w:rPr>
        <w:t>dapat</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mengurangi</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resiko</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gangguan</w:t>
      </w:r>
      <w:proofErr w:type="spellEnd"/>
      <w:r w:rsidR="00056745" w:rsidRPr="0044344D">
        <w:rPr>
          <w:rFonts w:ascii="Century" w:hAnsi="Century"/>
          <w:sz w:val="24"/>
          <w:szCs w:val="24"/>
          <w:lang w:val="en-US"/>
        </w:rPr>
        <w:t xml:space="preserve"> </w:t>
      </w:r>
      <w:proofErr w:type="spellStart"/>
      <w:r w:rsidR="00056745" w:rsidRPr="0044344D">
        <w:rPr>
          <w:rFonts w:ascii="Century" w:hAnsi="Century"/>
          <w:sz w:val="24"/>
          <w:szCs w:val="24"/>
          <w:lang w:val="en-US"/>
        </w:rPr>
        <w:t>listrik</w:t>
      </w:r>
      <w:proofErr w:type="spellEnd"/>
      <w:r w:rsidRPr="0044344D">
        <w:rPr>
          <w:rFonts w:ascii="Century" w:hAnsi="Century"/>
          <w:sz w:val="24"/>
          <w:szCs w:val="24"/>
          <w:lang w:val="en-US"/>
        </w:rPr>
        <w:t xml:space="preserve">. Masyarakat </w:t>
      </w:r>
      <w:proofErr w:type="spellStart"/>
      <w:r w:rsidRPr="0044344D">
        <w:rPr>
          <w:rFonts w:ascii="Century" w:hAnsi="Century"/>
          <w:sz w:val="24"/>
          <w:szCs w:val="24"/>
          <w:lang w:val="en-US"/>
        </w:rPr>
        <w:t>perlu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menyadari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potensi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resiko</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kualitas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00737973" w:rsidRPr="0044344D">
        <w:rPr>
          <w:rFonts w:ascii="Century" w:hAnsi="Century"/>
          <w:sz w:val="24"/>
          <w:szCs w:val="24"/>
          <w:lang w:val="en-US"/>
        </w:rPr>
        <w:t>d</w:t>
      </w:r>
      <w:r w:rsidRPr="0044344D">
        <w:rPr>
          <w:rFonts w:ascii="Century" w:hAnsi="Century"/>
          <w:sz w:val="24"/>
          <w:szCs w:val="24"/>
          <w:lang w:val="en-US"/>
        </w:rPr>
        <w:t>imana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mempengaruhi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alat-alat</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sehari-hari</w:t>
      </w:r>
      <w:proofErr w:type="spellEnd"/>
      <w:r w:rsidRPr="0044344D">
        <w:rPr>
          <w:rFonts w:ascii="Century" w:hAnsi="Century"/>
          <w:sz w:val="24"/>
          <w:szCs w:val="24"/>
          <w:lang w:val="en-US"/>
        </w:rPr>
        <w:t>.</w:t>
      </w:r>
    </w:p>
    <w:p w14:paraId="26AF918D" w14:textId="2C7DBE4D" w:rsidR="00CE4FE8" w:rsidRPr="0044344D" w:rsidRDefault="001A720C" w:rsidP="00070FDA">
      <w:pPr>
        <w:pStyle w:val="BodyText"/>
        <w:tabs>
          <w:tab w:val="clear" w:pos="288"/>
        </w:tabs>
        <w:spacing w:after="0" w:line="276" w:lineRule="auto"/>
        <w:ind w:firstLine="426"/>
        <w:rPr>
          <w:rStyle w:val="longtext"/>
          <w:rFonts w:ascii="Century" w:hAnsi="Century"/>
          <w:sz w:val="24"/>
          <w:szCs w:val="24"/>
          <w:lang w:val="en-US"/>
        </w:rPr>
      </w:pPr>
      <w:proofErr w:type="spellStart"/>
      <w:r w:rsidRPr="0044344D">
        <w:rPr>
          <w:rFonts w:ascii="Century" w:hAnsi="Century"/>
          <w:sz w:val="24"/>
          <w:szCs w:val="24"/>
          <w:lang w:val="en-US"/>
        </w:rPr>
        <w:t>Tujuan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kegiatan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pengabdian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w:t>
      </w:r>
      <w:r w:rsidR="00A2629F" w:rsidRPr="0044344D">
        <w:rPr>
          <w:rFonts w:ascii="Century" w:hAnsi="Century"/>
          <w:sz w:val="24"/>
          <w:szCs w:val="24"/>
          <w:lang w:val="en-US"/>
        </w:rPr>
        <w:t xml:space="preserve">Tim </w:t>
      </w:r>
      <w:proofErr w:type="spellStart"/>
      <w:r w:rsidR="00A2629F" w:rsidRPr="0044344D">
        <w:rPr>
          <w:rFonts w:ascii="Century" w:hAnsi="Century"/>
          <w:sz w:val="24"/>
          <w:szCs w:val="24"/>
          <w:lang w:val="en-US"/>
        </w:rPr>
        <w:t>dari</w:t>
      </w:r>
      <w:proofErr w:type="spellEnd"/>
      <w:r w:rsidR="00A2629F" w:rsidRPr="0044344D">
        <w:rPr>
          <w:rFonts w:ascii="Century" w:hAnsi="Century"/>
          <w:sz w:val="24"/>
          <w:szCs w:val="24"/>
          <w:lang w:val="en-US"/>
        </w:rPr>
        <w:t xml:space="preserve"> Universitas Telkom </w:t>
      </w:r>
      <w:proofErr w:type="spellStart"/>
      <w:r w:rsidR="00A2629F" w:rsidRPr="0044344D">
        <w:rPr>
          <w:rFonts w:ascii="Century" w:hAnsi="Century"/>
          <w:sz w:val="24"/>
          <w:szCs w:val="24"/>
          <w:lang w:val="en-US"/>
        </w:rPr>
        <w:t>kampus</w:t>
      </w:r>
      <w:proofErr w:type="spellEnd"/>
      <w:r w:rsidR="00A2629F" w:rsidRPr="0044344D">
        <w:rPr>
          <w:rFonts w:ascii="Century" w:hAnsi="Century"/>
          <w:sz w:val="24"/>
          <w:szCs w:val="24"/>
          <w:lang w:val="en-US"/>
        </w:rPr>
        <w:t xml:space="preserve"> Surabaya</w:t>
      </w:r>
      <w:r w:rsidRPr="0044344D">
        <w:rPr>
          <w:rFonts w:ascii="Century" w:hAnsi="Century"/>
          <w:sz w:val="24"/>
          <w:szCs w:val="24"/>
          <w:lang w:val="en-US"/>
        </w:rPr>
        <w:t xml:space="preserve"> </w:t>
      </w:r>
      <w:proofErr w:type="spellStart"/>
      <w:r w:rsidRPr="0044344D">
        <w:rPr>
          <w:rFonts w:ascii="Century" w:hAnsi="Century"/>
          <w:sz w:val="24"/>
          <w:szCs w:val="24"/>
          <w:lang w:val="en-US"/>
        </w:rPr>
        <w:t>yaitu</w:t>
      </w:r>
      <w:proofErr w:type="spellEnd"/>
      <w:r w:rsidRPr="0044344D">
        <w:rPr>
          <w:rFonts w:ascii="Century" w:hAnsi="Century"/>
          <w:sz w:val="24"/>
          <w:szCs w:val="24"/>
          <w:lang w:val="en-US"/>
        </w:rPr>
        <w:t xml:space="preserve"> </w:t>
      </w:r>
      <w:proofErr w:type="spellStart"/>
      <w:r w:rsidR="00A2629F" w:rsidRPr="0044344D">
        <w:rPr>
          <w:rFonts w:ascii="Century" w:hAnsi="Century"/>
          <w:sz w:val="24"/>
          <w:szCs w:val="24"/>
          <w:lang w:val="en-US"/>
        </w:rPr>
        <w:t>meningkatkan</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keterampilan</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praktik</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siswa</w:t>
      </w:r>
      <w:proofErr w:type="spellEnd"/>
      <w:r w:rsidR="00A2629F" w:rsidRPr="0044344D">
        <w:rPr>
          <w:rFonts w:ascii="Century" w:hAnsi="Century"/>
          <w:sz w:val="24"/>
          <w:szCs w:val="24"/>
          <w:lang w:val="en-US"/>
        </w:rPr>
        <w:t xml:space="preserve"> dan guru </w:t>
      </w:r>
      <w:proofErr w:type="spellStart"/>
      <w:r w:rsidR="00A2629F" w:rsidRPr="0044344D">
        <w:rPr>
          <w:rFonts w:ascii="Century" w:hAnsi="Century"/>
          <w:sz w:val="24"/>
          <w:szCs w:val="24"/>
          <w:lang w:val="en-US"/>
        </w:rPr>
        <w:t>serta</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mendukung</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mata</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pelajaran</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terkait</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energi</w:t>
      </w:r>
      <w:proofErr w:type="spellEnd"/>
      <w:r w:rsidR="00A2629F" w:rsidRPr="0044344D">
        <w:rPr>
          <w:rFonts w:ascii="Century" w:hAnsi="Century"/>
          <w:sz w:val="24"/>
          <w:szCs w:val="24"/>
          <w:lang w:val="en-US"/>
        </w:rPr>
        <w:t xml:space="preserve"> </w:t>
      </w:r>
      <w:proofErr w:type="spellStart"/>
      <w:r w:rsidR="00A2629F" w:rsidRPr="0044344D">
        <w:rPr>
          <w:rFonts w:ascii="Century" w:hAnsi="Century"/>
          <w:sz w:val="24"/>
          <w:szCs w:val="24"/>
          <w:lang w:val="en-US"/>
        </w:rPr>
        <w:t>terbarukan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menyasar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sekolah</w:t>
      </w:r>
      <w:proofErr w:type="spellEnd"/>
      <w:r w:rsidRPr="0044344D">
        <w:rPr>
          <w:rFonts w:ascii="Century" w:hAnsi="Century"/>
          <w:sz w:val="24"/>
          <w:szCs w:val="24"/>
          <w:lang w:val="en-US"/>
        </w:rPr>
        <w:t xml:space="preserve"> wilayah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terutama</w:t>
      </w:r>
      <w:proofErr w:type="spellEnd"/>
      <w:r w:rsidRPr="0044344D">
        <w:rPr>
          <w:rFonts w:ascii="Century" w:hAnsi="Century"/>
          <w:sz w:val="24"/>
          <w:szCs w:val="24"/>
          <w:lang w:val="en-US"/>
        </w:rPr>
        <w:t xml:space="preserve"> SMKN 2 </w:t>
      </w:r>
      <w:proofErr w:type="spellStart"/>
      <w:r w:rsidRPr="0044344D">
        <w:rPr>
          <w:rFonts w:ascii="Century" w:hAnsi="Century"/>
          <w:sz w:val="24"/>
          <w:szCs w:val="24"/>
          <w:lang w:val="en-US"/>
        </w:rPr>
        <w:t>Lamongan</w:t>
      </w:r>
      <w:proofErr w:type="spellEnd"/>
      <w:r w:rsidR="00A2629F" w:rsidRPr="0044344D">
        <w:rPr>
          <w:rFonts w:ascii="Century" w:hAnsi="Century"/>
          <w:sz w:val="24"/>
          <w:szCs w:val="24"/>
          <w:lang w:val="en-US"/>
        </w:rPr>
        <w:t xml:space="preserve">. </w:t>
      </w:r>
      <w:proofErr w:type="spellStart"/>
      <w:r w:rsidR="00CE4FE8" w:rsidRPr="0044344D">
        <w:rPr>
          <w:rFonts w:ascii="Century" w:hAnsi="Century"/>
          <w:sz w:val="24"/>
          <w:szCs w:val="24"/>
          <w:lang w:val="en-US"/>
        </w:rPr>
        <w:t>Partisipasi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aktif</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masyarakat</w:t>
      </w:r>
      <w:proofErr w:type="spellEnd"/>
      <w:r w:rsidR="00CE4FE8" w:rsidRPr="0044344D">
        <w:rPr>
          <w:rFonts w:ascii="Century" w:hAnsi="Century"/>
          <w:sz w:val="24"/>
          <w:szCs w:val="24"/>
          <w:lang w:val="en-US"/>
        </w:rPr>
        <w:t xml:space="preserve"> dan </w:t>
      </w:r>
      <w:proofErr w:type="spellStart"/>
      <w:r w:rsidR="00CE4FE8" w:rsidRPr="0044344D">
        <w:rPr>
          <w:rFonts w:ascii="Century" w:hAnsi="Century"/>
          <w:sz w:val="24"/>
          <w:szCs w:val="24"/>
          <w:lang w:val="en-US"/>
        </w:rPr>
        <w:t>akademisi</w:t>
      </w:r>
      <w:proofErr w:type="spellEnd"/>
      <w:r w:rsidR="00CE4FE8" w:rsidRPr="0044344D">
        <w:rPr>
          <w:rFonts w:ascii="Century" w:hAnsi="Century"/>
          <w:sz w:val="24"/>
          <w:szCs w:val="24"/>
          <w:lang w:val="en-US"/>
        </w:rPr>
        <w:t xml:space="preserve"> </w:t>
      </w:r>
      <w:proofErr w:type="spellStart"/>
      <w:r w:rsidR="00A2629F" w:rsidRPr="0044344D">
        <w:rPr>
          <w:rFonts w:ascii="Century" w:hAnsi="Century"/>
          <w:sz w:val="24"/>
          <w:szCs w:val="24"/>
          <w:lang w:val="en-US"/>
        </w:rPr>
        <w:t>dilakukan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dengan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menyebarkan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informasi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tentang</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potensi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daerah</w:t>
      </w:r>
      <w:proofErr w:type="spellEnd"/>
      <w:r w:rsidR="00CE4FE8" w:rsidRPr="0044344D">
        <w:rPr>
          <w:rFonts w:ascii="Century" w:hAnsi="Century"/>
          <w:sz w:val="24"/>
          <w:szCs w:val="24"/>
          <w:lang w:val="en-US"/>
        </w:rPr>
        <w:t xml:space="preserve"> dan </w:t>
      </w:r>
      <w:proofErr w:type="spellStart"/>
      <w:r w:rsidR="00CE4FE8" w:rsidRPr="0044344D">
        <w:rPr>
          <w:rFonts w:ascii="Century" w:hAnsi="Century"/>
          <w:sz w:val="24"/>
          <w:szCs w:val="24"/>
          <w:lang w:val="en-US"/>
        </w:rPr>
        <w:t>aspek</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ekonomi</w:t>
      </w:r>
      <w:proofErr w:type="spellEnd"/>
      <w:r w:rsidR="00CE4FE8" w:rsidRPr="0044344D">
        <w:rPr>
          <w:rFonts w:ascii="Century" w:hAnsi="Century"/>
          <w:sz w:val="24"/>
          <w:szCs w:val="24"/>
          <w:lang w:val="en-US"/>
        </w:rPr>
        <w:t>.</w:t>
      </w:r>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Metode</w:t>
      </w:r>
      <w:proofErr w:type="spellEnd"/>
      <w:r w:rsidR="007939E6" w:rsidRPr="0044344D">
        <w:rPr>
          <w:rFonts w:ascii="Century" w:hAnsi="Century"/>
          <w:sz w:val="24"/>
          <w:szCs w:val="24"/>
          <w:lang w:val="en-US"/>
        </w:rPr>
        <w:t xml:space="preserve"> yang </w:t>
      </w:r>
      <w:proofErr w:type="spellStart"/>
      <w:r w:rsidR="007939E6" w:rsidRPr="0044344D">
        <w:rPr>
          <w:rFonts w:ascii="Century" w:hAnsi="Century"/>
          <w:sz w:val="24"/>
          <w:szCs w:val="24"/>
          <w:lang w:val="en-US"/>
        </w:rPr>
        <w:t>digunakan</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berupa</w:t>
      </w:r>
      <w:proofErr w:type="spellEnd"/>
      <w:r w:rsidR="007939E6" w:rsidRPr="0044344D">
        <w:rPr>
          <w:rFonts w:ascii="Century" w:hAnsi="Century"/>
          <w:sz w:val="24"/>
          <w:szCs w:val="24"/>
          <w:lang w:val="en-US"/>
        </w:rPr>
        <w:t xml:space="preserve"> workshop dan </w:t>
      </w:r>
      <w:proofErr w:type="spellStart"/>
      <w:r w:rsidR="007939E6" w:rsidRPr="0044344D">
        <w:rPr>
          <w:rFonts w:ascii="Century" w:hAnsi="Century"/>
          <w:sz w:val="24"/>
          <w:szCs w:val="24"/>
          <w:lang w:val="en-US"/>
        </w:rPr>
        <w:t>praktikum</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dengan</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peserta</w:t>
      </w:r>
      <w:proofErr w:type="spellEnd"/>
      <w:r w:rsidR="007939E6" w:rsidRPr="0044344D">
        <w:rPr>
          <w:rFonts w:ascii="Century" w:hAnsi="Century"/>
          <w:sz w:val="24"/>
          <w:szCs w:val="24"/>
          <w:lang w:val="en-US"/>
        </w:rPr>
        <w:t xml:space="preserve"> yang </w:t>
      </w:r>
      <w:proofErr w:type="spellStart"/>
      <w:r w:rsidR="007939E6" w:rsidRPr="0044344D">
        <w:rPr>
          <w:rFonts w:ascii="Century" w:hAnsi="Century"/>
          <w:sz w:val="24"/>
          <w:szCs w:val="24"/>
          <w:lang w:val="en-US"/>
        </w:rPr>
        <w:t>terdiri</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dari</w:t>
      </w:r>
      <w:proofErr w:type="spellEnd"/>
      <w:r w:rsidR="007939E6" w:rsidRPr="0044344D">
        <w:rPr>
          <w:rFonts w:ascii="Century" w:hAnsi="Century"/>
          <w:sz w:val="24"/>
          <w:szCs w:val="24"/>
          <w:lang w:val="en-US"/>
        </w:rPr>
        <w:t xml:space="preserve"> guru dan </w:t>
      </w:r>
      <w:proofErr w:type="spellStart"/>
      <w:r w:rsidR="007939E6" w:rsidRPr="0044344D">
        <w:rPr>
          <w:rFonts w:ascii="Century" w:hAnsi="Century"/>
          <w:sz w:val="24"/>
          <w:szCs w:val="24"/>
          <w:lang w:val="en-US"/>
        </w:rPr>
        <w:t>siswa</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Evaluasi</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dilakukan</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melalui</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pengamatan</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langsung</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penilaian</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keterampilan</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setelah</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pelatihan</w:t>
      </w:r>
      <w:proofErr w:type="spellEnd"/>
      <w:r w:rsidR="007939E6" w:rsidRPr="0044344D">
        <w:rPr>
          <w:rFonts w:ascii="Century" w:hAnsi="Century"/>
          <w:sz w:val="24"/>
          <w:szCs w:val="24"/>
          <w:lang w:val="en-US"/>
        </w:rPr>
        <w:t xml:space="preserve">, dan </w:t>
      </w:r>
      <w:proofErr w:type="spellStart"/>
      <w:r w:rsidR="007939E6" w:rsidRPr="0044344D">
        <w:rPr>
          <w:rFonts w:ascii="Century" w:hAnsi="Century"/>
          <w:sz w:val="24"/>
          <w:szCs w:val="24"/>
          <w:lang w:val="en-US"/>
        </w:rPr>
        <w:t>kuisioner</w:t>
      </w:r>
      <w:proofErr w:type="spellEnd"/>
      <w:r w:rsidR="007939E6" w:rsidRPr="0044344D">
        <w:rPr>
          <w:rFonts w:ascii="Century" w:hAnsi="Century"/>
          <w:sz w:val="24"/>
          <w:szCs w:val="24"/>
          <w:lang w:val="en-US"/>
        </w:rPr>
        <w:t xml:space="preserve"> </w:t>
      </w:r>
      <w:proofErr w:type="spellStart"/>
      <w:r w:rsidR="007939E6" w:rsidRPr="0044344D">
        <w:rPr>
          <w:rFonts w:ascii="Century" w:hAnsi="Century"/>
          <w:sz w:val="24"/>
          <w:szCs w:val="24"/>
          <w:lang w:val="en-US"/>
        </w:rPr>
        <w:t>kegiatan</w:t>
      </w:r>
      <w:proofErr w:type="spellEnd"/>
      <w:r w:rsidR="007939E6" w:rsidRPr="0044344D">
        <w:rPr>
          <w:rFonts w:ascii="Century" w:hAnsi="Century"/>
          <w:sz w:val="24"/>
          <w:szCs w:val="24"/>
          <w:lang w:val="en-US"/>
        </w:rPr>
        <w:t xml:space="preserve">. </w:t>
      </w:r>
      <w:proofErr w:type="spellStart"/>
      <w:r w:rsidR="00CE4FE8" w:rsidRPr="0044344D">
        <w:rPr>
          <w:rFonts w:ascii="Century" w:hAnsi="Century"/>
          <w:sz w:val="24"/>
          <w:szCs w:val="24"/>
          <w:lang w:val="en-US"/>
        </w:rPr>
        <w:t>Selain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itu</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pembinaan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tentang</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dasar-dasar</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konversi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energi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surya</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menjadi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listrik</w:t>
      </w:r>
      <w:proofErr w:type="spellEnd"/>
      <w:r w:rsidR="00CE4FE8" w:rsidRPr="0044344D">
        <w:rPr>
          <w:rFonts w:ascii="Century" w:hAnsi="Century"/>
          <w:sz w:val="24"/>
          <w:szCs w:val="24"/>
          <w:lang w:val="en-US"/>
        </w:rPr>
        <w:t xml:space="preserve"> dan </w:t>
      </w:r>
      <w:proofErr w:type="spellStart"/>
      <w:r w:rsidR="00CE4FE8" w:rsidRPr="0044344D">
        <w:rPr>
          <w:rFonts w:ascii="Century" w:hAnsi="Century"/>
          <w:sz w:val="24"/>
          <w:szCs w:val="24"/>
          <w:lang w:val="en-US"/>
        </w:rPr>
        <w:t>praktik</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langsung</w:t>
      </w:r>
      <w:proofErr w:type="spellEnd"/>
      <w:r w:rsidR="00CE4FE8" w:rsidRPr="0044344D">
        <w:rPr>
          <w:rFonts w:ascii="Century" w:hAnsi="Century"/>
          <w:sz w:val="24"/>
          <w:szCs w:val="24"/>
          <w:lang w:val="en-US"/>
        </w:rPr>
        <w:t xml:space="preserve"> juga </w:t>
      </w:r>
      <w:proofErr w:type="spellStart"/>
      <w:r w:rsidR="00CE4FE8" w:rsidRPr="0044344D">
        <w:rPr>
          <w:rFonts w:ascii="Century" w:hAnsi="Century"/>
          <w:sz w:val="24"/>
          <w:szCs w:val="24"/>
          <w:lang w:val="en-US"/>
        </w:rPr>
        <w:lastRenderedPageBreak/>
        <w:t>diperlukan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untuk</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meningkatkan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pemahaman</w:t>
      </w:r>
      <w:proofErr w:type="spellEnd"/>
      <w:r w:rsidR="00CE4FE8" w:rsidRPr="0044344D">
        <w:rPr>
          <w:rFonts w:ascii="Century" w:hAnsi="Century"/>
          <w:sz w:val="24"/>
          <w:szCs w:val="24"/>
          <w:lang w:val="en-US"/>
        </w:rPr>
        <w:t xml:space="preserve"> dan </w:t>
      </w:r>
      <w:proofErr w:type="spellStart"/>
      <w:r w:rsidR="00CE4FE8" w:rsidRPr="0044344D">
        <w:rPr>
          <w:rFonts w:ascii="Century" w:hAnsi="Century"/>
          <w:sz w:val="24"/>
          <w:szCs w:val="24"/>
          <w:lang w:val="en-US"/>
        </w:rPr>
        <w:t>keterampilan</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sehingga</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memberi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dampak</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positif</w:t>
      </w:r>
      <w:proofErr w:type="spellEnd"/>
      <w:r w:rsidR="00CE4FE8" w:rsidRPr="0044344D">
        <w:rPr>
          <w:rFonts w:ascii="Century" w:hAnsi="Century"/>
          <w:sz w:val="24"/>
          <w:szCs w:val="24"/>
          <w:lang w:val="en-US"/>
        </w:rPr>
        <w:t xml:space="preserve"> di </w:t>
      </w:r>
      <w:proofErr w:type="spellStart"/>
      <w:r w:rsidR="00CE4FE8" w:rsidRPr="0044344D">
        <w:rPr>
          <w:rFonts w:ascii="Century" w:hAnsi="Century"/>
          <w:sz w:val="24"/>
          <w:szCs w:val="24"/>
          <w:lang w:val="en-US"/>
        </w:rPr>
        <w:t>bidang</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ekonomi</w:t>
      </w:r>
      <w:proofErr w:type="spellEnd"/>
      <w:r w:rsidR="00CE4FE8" w:rsidRPr="0044344D">
        <w:rPr>
          <w:rFonts w:ascii="Century" w:hAnsi="Century"/>
          <w:sz w:val="24"/>
          <w:szCs w:val="24"/>
          <w:lang w:val="en-US"/>
        </w:rPr>
        <w:t xml:space="preserve">, </w:t>
      </w:r>
      <w:proofErr w:type="spellStart"/>
      <w:r w:rsidR="00CE4FE8" w:rsidRPr="0044344D">
        <w:rPr>
          <w:rFonts w:ascii="Century" w:hAnsi="Century"/>
          <w:sz w:val="24"/>
          <w:szCs w:val="24"/>
          <w:lang w:val="en-US"/>
        </w:rPr>
        <w:t>sosial</w:t>
      </w:r>
      <w:proofErr w:type="spellEnd"/>
      <w:r w:rsidR="00CE4FE8" w:rsidRPr="0044344D">
        <w:rPr>
          <w:rFonts w:ascii="Century" w:hAnsi="Century"/>
          <w:sz w:val="24"/>
          <w:szCs w:val="24"/>
          <w:lang w:val="en-US"/>
        </w:rPr>
        <w:t xml:space="preserve">, dan </w:t>
      </w:r>
      <w:proofErr w:type="spellStart"/>
      <w:r w:rsidR="00CE4FE8" w:rsidRPr="0044344D">
        <w:rPr>
          <w:rFonts w:ascii="Century" w:hAnsi="Century"/>
          <w:sz w:val="24"/>
          <w:szCs w:val="24"/>
          <w:lang w:val="en-US"/>
        </w:rPr>
        <w:t>lingkungan</w:t>
      </w:r>
      <w:proofErr w:type="spellEnd"/>
      <w:r w:rsidR="00CE4FE8" w:rsidRPr="0044344D">
        <w:rPr>
          <w:rFonts w:ascii="Century" w:hAnsi="Century"/>
          <w:sz w:val="24"/>
          <w:szCs w:val="24"/>
          <w:lang w:val="en-US"/>
        </w:rPr>
        <w:t>.</w:t>
      </w:r>
    </w:p>
    <w:p w14:paraId="386FA870" w14:textId="77777777" w:rsidR="003343DF" w:rsidRPr="0044344D" w:rsidRDefault="003343DF" w:rsidP="00070FDA">
      <w:pPr>
        <w:pStyle w:val="IEEEParagraph"/>
        <w:spacing w:line="276" w:lineRule="auto"/>
        <w:ind w:firstLine="426"/>
        <w:rPr>
          <w:rFonts w:ascii="Century" w:hAnsi="Century"/>
          <w:lang w:val="en-US"/>
        </w:rPr>
      </w:pPr>
    </w:p>
    <w:p w14:paraId="2E9D9ED7" w14:textId="77777777" w:rsidR="00F32839" w:rsidRPr="0044344D" w:rsidRDefault="00E70EE3" w:rsidP="00070FDA">
      <w:pPr>
        <w:pStyle w:val="IEEEHeading1"/>
        <w:numPr>
          <w:ilvl w:val="0"/>
          <w:numId w:val="11"/>
        </w:numPr>
        <w:spacing w:before="0" w:after="0" w:line="276" w:lineRule="auto"/>
        <w:ind w:left="426" w:hanging="426"/>
        <w:jc w:val="left"/>
        <w:rPr>
          <w:rFonts w:ascii="Century" w:hAnsi="Century"/>
          <w:b/>
          <w:sz w:val="25"/>
          <w:szCs w:val="25"/>
          <w:lang w:val="id-ID"/>
        </w:rPr>
      </w:pPr>
      <w:r w:rsidRPr="0044344D">
        <w:rPr>
          <w:rFonts w:ascii="Century" w:hAnsi="Century"/>
          <w:b/>
          <w:iCs/>
          <w:sz w:val="25"/>
          <w:szCs w:val="25"/>
          <w:lang w:val="id-ID"/>
        </w:rPr>
        <w:t>METODE</w:t>
      </w:r>
      <w:r w:rsidR="00B3521D" w:rsidRPr="0044344D">
        <w:rPr>
          <w:rFonts w:ascii="Century" w:hAnsi="Century"/>
          <w:b/>
          <w:iCs/>
          <w:sz w:val="25"/>
          <w:szCs w:val="25"/>
          <w:lang w:val="en-US"/>
        </w:rPr>
        <w:t xml:space="preserve"> </w:t>
      </w:r>
      <w:r w:rsidR="00922A80" w:rsidRPr="0044344D">
        <w:rPr>
          <w:rFonts w:ascii="Century" w:hAnsi="Century"/>
          <w:b/>
          <w:iCs/>
          <w:sz w:val="25"/>
          <w:szCs w:val="25"/>
          <w:lang w:val="en-US"/>
        </w:rPr>
        <w:t>PELAKSANAAN</w:t>
      </w:r>
    </w:p>
    <w:p w14:paraId="6FE362E3" w14:textId="77777777" w:rsidR="00773EF6" w:rsidRPr="0044344D" w:rsidRDefault="00773EF6" w:rsidP="00070FDA">
      <w:pPr>
        <w:pStyle w:val="IEEEFigure"/>
        <w:numPr>
          <w:ilvl w:val="3"/>
          <w:numId w:val="17"/>
        </w:numPr>
        <w:spacing w:line="276" w:lineRule="auto"/>
        <w:ind w:left="426" w:hanging="426"/>
        <w:jc w:val="left"/>
        <w:rPr>
          <w:rStyle w:val="mediumtext"/>
          <w:rFonts w:ascii="Century" w:hAnsi="Century"/>
          <w:b/>
          <w:shd w:val="clear" w:color="auto" w:fill="FFFFFF"/>
          <w:lang w:val="id-ID"/>
        </w:rPr>
      </w:pPr>
      <w:r w:rsidRPr="0044344D">
        <w:rPr>
          <w:rStyle w:val="mediumtext"/>
          <w:rFonts w:ascii="Century" w:hAnsi="Century"/>
          <w:b/>
          <w:shd w:val="clear" w:color="auto" w:fill="FFFFFF"/>
        </w:rPr>
        <w:t xml:space="preserve">Alur </w:t>
      </w:r>
      <w:proofErr w:type="spellStart"/>
      <w:r w:rsidRPr="0044344D">
        <w:rPr>
          <w:rStyle w:val="mediumtext"/>
          <w:rFonts w:ascii="Century" w:hAnsi="Century"/>
          <w:b/>
          <w:shd w:val="clear" w:color="auto" w:fill="FFFFFF"/>
        </w:rPr>
        <w:t>Pelaksanaan</w:t>
      </w:r>
      <w:proofErr w:type="spellEnd"/>
      <w:r w:rsidRPr="0044344D">
        <w:rPr>
          <w:rStyle w:val="mediumtext"/>
          <w:rFonts w:ascii="Century" w:hAnsi="Century"/>
          <w:b/>
          <w:shd w:val="clear" w:color="auto" w:fill="FFFFFF"/>
        </w:rPr>
        <w:t xml:space="preserve"> </w:t>
      </w:r>
      <w:proofErr w:type="spellStart"/>
      <w:r w:rsidRPr="0044344D">
        <w:rPr>
          <w:rStyle w:val="mediumtext"/>
          <w:rFonts w:ascii="Century" w:hAnsi="Century"/>
          <w:b/>
          <w:shd w:val="clear" w:color="auto" w:fill="FFFFFF"/>
        </w:rPr>
        <w:t>Kegiatan</w:t>
      </w:r>
      <w:proofErr w:type="spellEnd"/>
      <w:r w:rsidRPr="0044344D">
        <w:rPr>
          <w:rStyle w:val="mediumtext"/>
          <w:rFonts w:ascii="Century" w:hAnsi="Century"/>
          <w:b/>
          <w:shd w:val="clear" w:color="auto" w:fill="FFFFFF"/>
        </w:rPr>
        <w:t xml:space="preserve"> </w:t>
      </w:r>
      <w:proofErr w:type="spellStart"/>
      <w:r w:rsidRPr="0044344D">
        <w:rPr>
          <w:rStyle w:val="mediumtext"/>
          <w:rFonts w:ascii="Century" w:hAnsi="Century"/>
          <w:b/>
          <w:shd w:val="clear" w:color="auto" w:fill="FFFFFF"/>
        </w:rPr>
        <w:t>Pengabdian</w:t>
      </w:r>
      <w:proofErr w:type="spellEnd"/>
      <w:r w:rsidRPr="0044344D">
        <w:rPr>
          <w:rStyle w:val="mediumtext"/>
          <w:rFonts w:ascii="Century" w:hAnsi="Century"/>
          <w:b/>
          <w:shd w:val="clear" w:color="auto" w:fill="FFFFFF"/>
        </w:rPr>
        <w:t xml:space="preserve"> Masyarakat</w:t>
      </w:r>
    </w:p>
    <w:p w14:paraId="4B3F28AE" w14:textId="15F955D3" w:rsidR="004978A0" w:rsidRDefault="004978A0" w:rsidP="00070FDA">
      <w:pPr>
        <w:pStyle w:val="BodyText"/>
        <w:tabs>
          <w:tab w:val="clear" w:pos="288"/>
        </w:tabs>
        <w:spacing w:after="0" w:line="276" w:lineRule="auto"/>
        <w:ind w:firstLine="426"/>
        <w:rPr>
          <w:rFonts w:ascii="Century" w:hAnsi="Century"/>
          <w:sz w:val="24"/>
          <w:szCs w:val="24"/>
          <w:lang w:val="en-US"/>
        </w:rPr>
      </w:pPr>
      <w:r w:rsidRPr="0044344D">
        <w:rPr>
          <w:rFonts w:ascii="Century" w:hAnsi="Century"/>
          <w:sz w:val="24"/>
          <w:szCs w:val="24"/>
          <w:lang w:val="en-US"/>
        </w:rPr>
        <w:t xml:space="preserve">SMKN 2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merupakan</w:t>
      </w:r>
      <w:proofErr w:type="spellEnd"/>
      <w:r w:rsidRPr="0044344D">
        <w:rPr>
          <w:rFonts w:ascii="Century" w:hAnsi="Century"/>
          <w:sz w:val="24"/>
          <w:szCs w:val="24"/>
          <w:lang w:val="en-US"/>
        </w:rPr>
        <w:t xml:space="preserve"> salah </w:t>
      </w:r>
      <w:proofErr w:type="spellStart"/>
      <w:r w:rsidRPr="0044344D">
        <w:rPr>
          <w:rFonts w:ascii="Century" w:hAnsi="Century"/>
          <w:sz w:val="24"/>
          <w:szCs w:val="24"/>
          <w:lang w:val="en-US"/>
        </w:rPr>
        <w:t>satu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sekolah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menengah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kejuruan</w:t>
      </w:r>
      <w:proofErr w:type="spellEnd"/>
      <w:r w:rsidRPr="0044344D">
        <w:rPr>
          <w:rFonts w:ascii="Century" w:hAnsi="Century"/>
          <w:sz w:val="24"/>
          <w:szCs w:val="24"/>
          <w:lang w:val="en-US"/>
        </w:rPr>
        <w:t xml:space="preserve"> di </w:t>
      </w:r>
      <w:proofErr w:type="spellStart"/>
      <w:r w:rsidRPr="0044344D">
        <w:rPr>
          <w:rFonts w:ascii="Century" w:hAnsi="Century"/>
          <w:sz w:val="24"/>
          <w:szCs w:val="24"/>
          <w:lang w:val="en-US"/>
        </w:rPr>
        <w:t>Kabupaten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w:t>
      </w:r>
      <w:r w:rsidRPr="0044344D">
        <w:rPr>
          <w:rFonts w:ascii="Century" w:hAnsi="Century"/>
          <w:sz w:val="24"/>
          <w:szCs w:val="24"/>
          <w:lang w:val="en-US"/>
        </w:rPr>
        <w:fldChar w:fldCharType="begin"/>
      </w:r>
      <w:r w:rsidR="002A1BC7" w:rsidRPr="0044344D">
        <w:rPr>
          <w:rFonts w:ascii="Century" w:hAnsi="Century"/>
          <w:sz w:val="24"/>
          <w:szCs w:val="24"/>
          <w:lang w:val="en-US"/>
        </w:rPr>
        <w:instrText xml:space="preserve"> ADDIN ZOTERO_ITEM CSL_CITATION {"citationID":"UwHewYn5","properties":{"formattedCitation":"({\\i{}SMKN 2 Lamongan}, 2025)","plainCitation":"(SMKN 2 Lamongan, 2025)","noteIndex":0},"citationItems":[{"id":5475,"uris":["http://zotero.org/users/11229148/items/F2DCKJND"],"itemData":{"id":5475,"type":"post-weblog","language":"id-ID","title":"SMKN 2 Lamongan","URL":"https://smkn2-lmg.sch.id/","accessed":{"date-parts":[["2025",6,13]]},"issued":{"date-parts":[["2025",3,24]]}}}],"schema":"https://github.com/citation-style-language/schema/raw/master/csl-citation.json"} </w:instrText>
      </w:r>
      <w:r w:rsidRPr="0044344D">
        <w:rPr>
          <w:rFonts w:ascii="Century" w:hAnsi="Century"/>
          <w:sz w:val="24"/>
          <w:szCs w:val="24"/>
          <w:lang w:val="en-US"/>
        </w:rPr>
        <w:fldChar w:fldCharType="separate"/>
      </w:r>
      <w:r w:rsidR="002A1BC7" w:rsidRPr="0044344D">
        <w:rPr>
          <w:rFonts w:ascii="Century" w:hAnsi="Century"/>
          <w:sz w:val="24"/>
          <w:szCs w:val="24"/>
          <w:lang w:val="en-US"/>
        </w:rPr>
        <w:t>(</w:t>
      </w:r>
      <w:r w:rsidR="002A1BC7" w:rsidRPr="0044344D">
        <w:rPr>
          <w:rFonts w:ascii="Century" w:hAnsi="Century"/>
          <w:i/>
          <w:iCs/>
          <w:sz w:val="24"/>
          <w:szCs w:val="24"/>
          <w:lang w:val="en-US"/>
        </w:rPr>
        <w:t>SMKN 2 Lamongan</w:t>
      </w:r>
      <w:r w:rsidR="002A1BC7" w:rsidRPr="0044344D">
        <w:rPr>
          <w:rFonts w:ascii="Century" w:hAnsi="Century"/>
          <w:sz w:val="24"/>
          <w:szCs w:val="24"/>
          <w:lang w:val="en-US"/>
        </w:rPr>
        <w:t>, 2025)</w:t>
      </w:r>
      <w:r w:rsidRPr="0044344D">
        <w:rPr>
          <w:rFonts w:ascii="Century" w:hAnsi="Century"/>
          <w:sz w:val="24"/>
          <w:szCs w:val="24"/>
          <w:lang w:val="en-US"/>
        </w:rPr>
        <w:fldChar w:fldCharType="end"/>
      </w:r>
      <w:r w:rsidRPr="0044344D">
        <w:rPr>
          <w:rFonts w:ascii="Century" w:hAnsi="Century"/>
          <w:sz w:val="24"/>
          <w:szCs w:val="24"/>
          <w:lang w:val="en-US"/>
        </w:rPr>
        <w:t xml:space="preserve">. </w:t>
      </w:r>
      <w:proofErr w:type="spellStart"/>
      <w:r w:rsidRPr="0044344D">
        <w:rPr>
          <w:rFonts w:ascii="Century" w:hAnsi="Century"/>
          <w:sz w:val="24"/>
          <w:szCs w:val="24"/>
          <w:lang w:val="en-US"/>
        </w:rPr>
        <w:t>Fasilitas</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tersedia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meliputi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ruang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kelas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teori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bengkel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kejuruan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seperti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Bengkel</w:t>
      </w:r>
      <w:proofErr w:type="spellEnd"/>
      <w:r w:rsidRPr="0044344D">
        <w:rPr>
          <w:rFonts w:ascii="Century" w:hAnsi="Century"/>
          <w:sz w:val="24"/>
          <w:szCs w:val="24"/>
          <w:lang w:val="en-US"/>
        </w:rPr>
        <w:t xml:space="preserve"> Las, </w:t>
      </w:r>
      <w:proofErr w:type="spellStart"/>
      <w:r w:rsidRPr="0044344D">
        <w:rPr>
          <w:rFonts w:ascii="Century" w:hAnsi="Century"/>
          <w:sz w:val="24"/>
          <w:szCs w:val="24"/>
          <w:lang w:val="en-US"/>
        </w:rPr>
        <w:t>Bengkel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Kendaraan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Ringan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Bengkel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Elektronika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Industri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Bengkel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Komputer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beberapa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laboratorium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termasuk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Laboratorium</w:t>
      </w:r>
      <w:proofErr w:type="spellEnd"/>
      <w:r w:rsidRPr="0044344D">
        <w:rPr>
          <w:rFonts w:ascii="Century" w:hAnsi="Century"/>
          <w:sz w:val="24"/>
          <w:szCs w:val="24"/>
          <w:lang w:val="en-US"/>
        </w:rPr>
        <w:t xml:space="preserve"> Kimia </w:t>
      </w:r>
      <w:proofErr w:type="spellStart"/>
      <w:r w:rsidRPr="0044344D">
        <w:rPr>
          <w:rFonts w:ascii="Century" w:hAnsi="Century"/>
          <w:sz w:val="24"/>
          <w:szCs w:val="24"/>
          <w:lang w:val="en-US"/>
        </w:rPr>
        <w:t>Industri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Laboratorium</w:t>
      </w:r>
      <w:proofErr w:type="spellEnd"/>
      <w:r w:rsidRPr="0044344D">
        <w:rPr>
          <w:rFonts w:ascii="Century" w:hAnsi="Century"/>
          <w:sz w:val="24"/>
          <w:szCs w:val="24"/>
          <w:lang w:val="en-US"/>
        </w:rPr>
        <w:t xml:space="preserve"> Tata </w:t>
      </w:r>
      <w:proofErr w:type="spellStart"/>
      <w:r w:rsidRPr="0044344D">
        <w:rPr>
          <w:rFonts w:ascii="Century" w:hAnsi="Century"/>
          <w:sz w:val="24"/>
          <w:szCs w:val="24"/>
          <w:lang w:val="en-US"/>
        </w:rPr>
        <w:t>Busana</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Laboratorium</w:t>
      </w:r>
      <w:proofErr w:type="spellEnd"/>
      <w:r w:rsidRPr="0044344D">
        <w:rPr>
          <w:rFonts w:ascii="Century" w:hAnsi="Century"/>
          <w:sz w:val="24"/>
          <w:szCs w:val="24"/>
          <w:lang w:val="en-US"/>
        </w:rPr>
        <w:t xml:space="preserve"> IPA </w:t>
      </w:r>
      <w:proofErr w:type="spellStart"/>
      <w:r w:rsidRPr="0044344D">
        <w:rPr>
          <w:rFonts w:ascii="Century" w:hAnsi="Century"/>
          <w:sz w:val="24"/>
          <w:szCs w:val="24"/>
          <w:lang w:val="en-US"/>
        </w:rPr>
        <w:t>Terpadu</w:t>
      </w:r>
      <w:proofErr w:type="spellEnd"/>
      <w:r w:rsidRPr="0044344D">
        <w:rPr>
          <w:rFonts w:ascii="Century" w:hAnsi="Century"/>
          <w:sz w:val="24"/>
          <w:szCs w:val="24"/>
          <w:lang w:val="en-US"/>
        </w:rPr>
        <w:t xml:space="preserve">. SMKN 2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menawarkan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tujuh</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keahlian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yaitu</w:t>
      </w:r>
      <w:proofErr w:type="spellEnd"/>
      <w:r w:rsidRPr="0044344D">
        <w:rPr>
          <w:rFonts w:ascii="Century" w:hAnsi="Century"/>
          <w:sz w:val="24"/>
          <w:szCs w:val="24"/>
          <w:lang w:val="en-US"/>
        </w:rPr>
        <w:t xml:space="preserve"> Teknik </w:t>
      </w:r>
      <w:proofErr w:type="spellStart"/>
      <w:r w:rsidRPr="0044344D">
        <w:rPr>
          <w:rFonts w:ascii="Century" w:hAnsi="Century"/>
          <w:sz w:val="24"/>
          <w:szCs w:val="24"/>
          <w:lang w:val="en-US"/>
        </w:rPr>
        <w:t>Pengelasan</w:t>
      </w:r>
      <w:proofErr w:type="spellEnd"/>
      <w:r w:rsidRPr="0044344D">
        <w:rPr>
          <w:rFonts w:ascii="Century" w:hAnsi="Century"/>
          <w:sz w:val="24"/>
          <w:szCs w:val="24"/>
          <w:lang w:val="en-US"/>
        </w:rPr>
        <w:t xml:space="preserve">, Teknik </w:t>
      </w:r>
      <w:proofErr w:type="spellStart"/>
      <w:r w:rsidRPr="0044344D">
        <w:rPr>
          <w:rFonts w:ascii="Century" w:hAnsi="Century"/>
          <w:sz w:val="24"/>
          <w:szCs w:val="24"/>
          <w:lang w:val="en-US"/>
        </w:rPr>
        <w:t>Kendaraan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Ringan</w:t>
      </w:r>
      <w:proofErr w:type="spellEnd"/>
      <w:r w:rsidRPr="0044344D">
        <w:rPr>
          <w:rFonts w:ascii="Century" w:hAnsi="Century"/>
          <w:sz w:val="24"/>
          <w:szCs w:val="24"/>
          <w:lang w:val="en-US"/>
        </w:rPr>
        <w:t xml:space="preserve">, Teknik </w:t>
      </w:r>
      <w:proofErr w:type="spellStart"/>
      <w:r w:rsidRPr="0044344D">
        <w:rPr>
          <w:rFonts w:ascii="Century" w:hAnsi="Century"/>
          <w:sz w:val="24"/>
          <w:szCs w:val="24"/>
          <w:lang w:val="en-US"/>
        </w:rPr>
        <w:t>Elektronika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Industri</w:t>
      </w:r>
      <w:proofErr w:type="spellEnd"/>
      <w:r w:rsidRPr="0044344D">
        <w:rPr>
          <w:rFonts w:ascii="Century" w:hAnsi="Century"/>
          <w:sz w:val="24"/>
          <w:szCs w:val="24"/>
          <w:lang w:val="en-US"/>
        </w:rPr>
        <w:t xml:space="preserve">, Teknik </w:t>
      </w:r>
      <w:proofErr w:type="spellStart"/>
      <w:r w:rsidRPr="0044344D">
        <w:rPr>
          <w:rFonts w:ascii="Century" w:hAnsi="Century"/>
          <w:sz w:val="24"/>
          <w:szCs w:val="24"/>
          <w:lang w:val="en-US"/>
        </w:rPr>
        <w:t>Komputer</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Jaringan</w:t>
      </w:r>
      <w:proofErr w:type="spellEnd"/>
      <w:r w:rsidRPr="0044344D">
        <w:rPr>
          <w:rFonts w:ascii="Century" w:hAnsi="Century"/>
          <w:sz w:val="24"/>
          <w:szCs w:val="24"/>
          <w:lang w:val="en-US"/>
        </w:rPr>
        <w:t xml:space="preserve">, Kimia Industri, Tata </w:t>
      </w:r>
      <w:proofErr w:type="spellStart"/>
      <w:r w:rsidRPr="0044344D">
        <w:rPr>
          <w:rFonts w:ascii="Century" w:hAnsi="Century"/>
          <w:sz w:val="24"/>
          <w:szCs w:val="24"/>
          <w:lang w:val="en-US"/>
        </w:rPr>
        <w:t>Busana</w:t>
      </w:r>
      <w:proofErr w:type="spellEnd"/>
      <w:r w:rsidRPr="0044344D">
        <w:rPr>
          <w:rFonts w:ascii="Century" w:hAnsi="Century"/>
          <w:sz w:val="24"/>
          <w:szCs w:val="24"/>
          <w:lang w:val="en-US"/>
        </w:rPr>
        <w:t xml:space="preserve">, dan Teknik </w:t>
      </w:r>
      <w:proofErr w:type="spellStart"/>
      <w:r w:rsidRPr="0044344D">
        <w:rPr>
          <w:rFonts w:ascii="Century" w:hAnsi="Century"/>
          <w:sz w:val="24"/>
          <w:szCs w:val="24"/>
          <w:lang w:val="en-US"/>
        </w:rPr>
        <w:t>Instalasi</w:t>
      </w:r>
      <w:proofErr w:type="spellEnd"/>
      <w:r w:rsidRPr="0044344D">
        <w:rPr>
          <w:rFonts w:ascii="Century" w:hAnsi="Century"/>
          <w:sz w:val="24"/>
          <w:szCs w:val="24"/>
          <w:lang w:val="en-US"/>
        </w:rPr>
        <w:t xml:space="preserve"> Tenaga Listrik.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fasilitas</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tenaga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pengajar</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tersedia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sekolah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berfokus</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peningkatan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kompetensi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siswa</w:t>
      </w:r>
      <w:proofErr w:type="spellEnd"/>
      <w:r w:rsidRPr="0044344D">
        <w:rPr>
          <w:rFonts w:ascii="Century" w:hAnsi="Century"/>
          <w:sz w:val="24"/>
          <w:szCs w:val="24"/>
          <w:lang w:val="en-US"/>
        </w:rPr>
        <w:t xml:space="preserve"> agar </w:t>
      </w:r>
      <w:proofErr w:type="spellStart"/>
      <w:r w:rsidRPr="0044344D">
        <w:rPr>
          <w:rFonts w:ascii="Century" w:hAnsi="Century"/>
          <w:sz w:val="24"/>
          <w:szCs w:val="24"/>
          <w:lang w:val="en-US"/>
        </w:rPr>
        <w:t>siap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memasuki</w:t>
      </w:r>
      <w:proofErr w:type="spellEnd"/>
      <w:r w:rsidRPr="0044344D">
        <w:rPr>
          <w:rFonts w:ascii="Century" w:hAnsi="Century"/>
          <w:sz w:val="24"/>
          <w:szCs w:val="24"/>
          <w:lang w:val="en-US"/>
        </w:rPr>
        <w:t xml:space="preserve"> dunia </w:t>
      </w:r>
      <w:proofErr w:type="spellStart"/>
      <w:r w:rsidRPr="0044344D">
        <w:rPr>
          <w:rFonts w:ascii="Century" w:hAnsi="Century"/>
          <w:sz w:val="24"/>
          <w:szCs w:val="24"/>
          <w:lang w:val="en-US"/>
        </w:rPr>
        <w:t>industri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wirausaha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Pelaksanaan</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pengabdian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sebagaimana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ditunjukkan</w:t>
      </w:r>
      <w:proofErr w:type="spellEnd"/>
      <w:r w:rsidRPr="0044344D">
        <w:rPr>
          <w:rFonts w:ascii="Century" w:hAnsi="Century"/>
          <w:sz w:val="24"/>
          <w:szCs w:val="24"/>
          <w:lang w:val="en-US"/>
        </w:rPr>
        <w:t xml:space="preserve"> pada Gambar 1, </w:t>
      </w:r>
      <w:proofErr w:type="spellStart"/>
      <w:r w:rsidRPr="0044344D">
        <w:rPr>
          <w:rFonts w:ascii="Century" w:hAnsi="Century"/>
          <w:sz w:val="24"/>
          <w:szCs w:val="24"/>
          <w:lang w:val="en-US"/>
        </w:rPr>
        <w:t>terdiri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beberapa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tahapan</w:t>
      </w:r>
      <w:proofErr w:type="spellEnd"/>
      <w:r w:rsidRPr="0044344D">
        <w:rPr>
          <w:rFonts w:ascii="Century" w:hAnsi="Century"/>
          <w:sz w:val="24"/>
          <w:szCs w:val="24"/>
          <w:lang w:val="en-US"/>
        </w:rPr>
        <w:t>.</w:t>
      </w:r>
    </w:p>
    <w:p w14:paraId="195E3B99" w14:textId="77777777" w:rsidR="00070FDA" w:rsidRDefault="00070FDA" w:rsidP="00070FDA">
      <w:pPr>
        <w:pStyle w:val="BodyText"/>
        <w:tabs>
          <w:tab w:val="clear" w:pos="288"/>
        </w:tabs>
        <w:spacing w:after="0" w:line="276" w:lineRule="auto"/>
        <w:ind w:firstLine="426"/>
        <w:rPr>
          <w:rFonts w:ascii="Century" w:hAnsi="Century"/>
          <w:sz w:val="24"/>
          <w:szCs w:val="24"/>
          <w:lang w:val="en-US"/>
        </w:rPr>
      </w:pPr>
    </w:p>
    <w:p w14:paraId="6B5B3CD3" w14:textId="77777777" w:rsidR="00070FDA" w:rsidRPr="00070FDA" w:rsidRDefault="00070FDA" w:rsidP="00070FDA">
      <w:pPr>
        <w:pStyle w:val="BodyText"/>
        <w:tabs>
          <w:tab w:val="clear" w:pos="288"/>
        </w:tabs>
        <w:spacing w:after="0" w:line="276" w:lineRule="auto"/>
        <w:ind w:firstLine="0"/>
        <w:jc w:val="center"/>
        <w:rPr>
          <w:rFonts w:ascii="Century" w:hAnsi="Century"/>
          <w:sz w:val="22"/>
          <w:szCs w:val="22"/>
          <w:lang w:val="en-US"/>
        </w:rPr>
      </w:pPr>
      <w:r w:rsidRPr="00070FDA">
        <w:rPr>
          <w:rFonts w:ascii="Century" w:hAnsi="Century"/>
          <w:noProof/>
          <w:sz w:val="22"/>
          <w:szCs w:val="22"/>
        </w:rPr>
        <w:drawing>
          <wp:inline distT="0" distB="0" distL="0" distR="0" wp14:anchorId="031E6CCF" wp14:editId="196CCE40">
            <wp:extent cx="2155902" cy="4622150"/>
            <wp:effectExtent l="0" t="0" r="0" b="7620"/>
            <wp:docPr id="172363930" name="Picture 1" descr="A black screen with white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3930" name="Picture 1" descr="A black screen with white arrows&#10;&#10;AI-generated content may be incorrect."/>
                    <pic:cNvPicPr/>
                  </pic:nvPicPr>
                  <pic:blipFill rotWithShape="1">
                    <a:blip r:embed="rId15" cstate="hqprint">
                      <a:extLst>
                        <a:ext uri="{28A0092B-C50C-407E-A947-70E740481C1C}">
                          <a14:useLocalDpi xmlns:a14="http://schemas.microsoft.com/office/drawing/2010/main"/>
                        </a:ext>
                      </a:extLst>
                    </a:blip>
                    <a:srcRect/>
                    <a:stretch/>
                  </pic:blipFill>
                  <pic:spPr bwMode="auto">
                    <a:xfrm>
                      <a:off x="0" y="0"/>
                      <a:ext cx="2168649" cy="4649479"/>
                    </a:xfrm>
                    <a:prstGeom prst="rect">
                      <a:avLst/>
                    </a:prstGeom>
                    <a:ln>
                      <a:noFill/>
                    </a:ln>
                    <a:extLst>
                      <a:ext uri="{53640926-AAD7-44D8-BBD7-CCE9431645EC}">
                        <a14:shadowObscured xmlns:a14="http://schemas.microsoft.com/office/drawing/2010/main"/>
                      </a:ext>
                    </a:extLst>
                  </pic:spPr>
                </pic:pic>
              </a:graphicData>
            </a:graphic>
          </wp:inline>
        </w:drawing>
      </w:r>
    </w:p>
    <w:p w14:paraId="26396683" w14:textId="77777777" w:rsidR="00070FDA" w:rsidRPr="00070FDA" w:rsidRDefault="00070FDA" w:rsidP="00070FDA">
      <w:pPr>
        <w:pStyle w:val="BodyText"/>
        <w:tabs>
          <w:tab w:val="clear" w:pos="288"/>
        </w:tabs>
        <w:spacing w:after="0" w:line="276" w:lineRule="auto"/>
        <w:ind w:firstLine="0"/>
        <w:jc w:val="center"/>
        <w:rPr>
          <w:rFonts w:ascii="Century" w:hAnsi="Century"/>
          <w:sz w:val="22"/>
          <w:szCs w:val="22"/>
          <w:lang w:val="en-US"/>
        </w:rPr>
      </w:pPr>
      <w:r w:rsidRPr="00070FDA">
        <w:rPr>
          <w:rFonts w:ascii="Century" w:hAnsi="Century"/>
          <w:b/>
          <w:bCs/>
          <w:sz w:val="22"/>
          <w:szCs w:val="22"/>
          <w:lang w:val="en-US"/>
        </w:rPr>
        <w:t>Gambar 1.</w:t>
      </w:r>
      <w:r>
        <w:rPr>
          <w:rFonts w:ascii="Century" w:hAnsi="Century"/>
          <w:sz w:val="22"/>
          <w:szCs w:val="22"/>
          <w:lang w:val="en-US"/>
        </w:rPr>
        <w:t xml:space="preserve"> </w:t>
      </w:r>
      <w:proofErr w:type="spellStart"/>
      <w:r w:rsidRPr="00070FDA">
        <w:rPr>
          <w:rFonts w:ascii="Century" w:hAnsi="Century"/>
          <w:sz w:val="22"/>
          <w:szCs w:val="22"/>
          <w:lang w:val="en-US"/>
        </w:rPr>
        <w:t>Tahapan</w:t>
      </w:r>
      <w:proofErr w:type="spellEnd"/>
      <w:r w:rsidRPr="00070FDA">
        <w:rPr>
          <w:rFonts w:ascii="Century" w:hAnsi="Century"/>
          <w:sz w:val="22"/>
          <w:szCs w:val="22"/>
          <w:lang w:val="en-US"/>
        </w:rPr>
        <w:t xml:space="preserve"> </w:t>
      </w:r>
      <w:proofErr w:type="spellStart"/>
      <w:r w:rsidRPr="00070FDA">
        <w:rPr>
          <w:rFonts w:ascii="Century" w:hAnsi="Century"/>
          <w:sz w:val="22"/>
          <w:szCs w:val="22"/>
          <w:lang w:val="en-US"/>
        </w:rPr>
        <w:t>Pelaksanaan</w:t>
      </w:r>
      <w:proofErr w:type="spellEnd"/>
      <w:r w:rsidRPr="00070FDA">
        <w:rPr>
          <w:rFonts w:ascii="Century" w:hAnsi="Century"/>
          <w:sz w:val="22"/>
          <w:szCs w:val="22"/>
          <w:lang w:val="en-US"/>
        </w:rPr>
        <w:t xml:space="preserve"> </w:t>
      </w:r>
      <w:proofErr w:type="spellStart"/>
      <w:r w:rsidRPr="00070FDA">
        <w:rPr>
          <w:rFonts w:ascii="Century" w:hAnsi="Century"/>
          <w:sz w:val="22"/>
          <w:szCs w:val="22"/>
          <w:lang w:val="en-US"/>
        </w:rPr>
        <w:t>Pengabdian</w:t>
      </w:r>
      <w:proofErr w:type="spellEnd"/>
      <w:r w:rsidRPr="00070FDA">
        <w:rPr>
          <w:rFonts w:ascii="Century" w:hAnsi="Century"/>
          <w:sz w:val="22"/>
          <w:szCs w:val="22"/>
          <w:lang w:val="en-US"/>
        </w:rPr>
        <w:t xml:space="preserve"> Masyarakat</w:t>
      </w:r>
    </w:p>
    <w:p w14:paraId="6C0733CD" w14:textId="77777777" w:rsidR="00070FDA" w:rsidRPr="0044344D" w:rsidRDefault="00070FDA" w:rsidP="00070FDA">
      <w:pPr>
        <w:pStyle w:val="BodyText"/>
        <w:tabs>
          <w:tab w:val="clear" w:pos="288"/>
        </w:tabs>
        <w:spacing w:after="0" w:line="276" w:lineRule="auto"/>
        <w:ind w:firstLine="426"/>
        <w:rPr>
          <w:rFonts w:ascii="Century" w:hAnsi="Century"/>
          <w:sz w:val="24"/>
          <w:szCs w:val="24"/>
          <w:lang w:val="en-US"/>
        </w:rPr>
      </w:pPr>
    </w:p>
    <w:p w14:paraId="748F8C00" w14:textId="4B7FF587" w:rsidR="00C6468B" w:rsidRPr="0044344D" w:rsidRDefault="00C6468B" w:rsidP="00070FDA">
      <w:pPr>
        <w:pStyle w:val="BodyText"/>
        <w:tabs>
          <w:tab w:val="clear" w:pos="288"/>
        </w:tabs>
        <w:spacing w:after="0" w:line="276" w:lineRule="auto"/>
        <w:ind w:firstLine="426"/>
        <w:rPr>
          <w:rFonts w:ascii="Century" w:hAnsi="Century"/>
          <w:sz w:val="24"/>
          <w:szCs w:val="24"/>
          <w:lang w:val="en-US"/>
        </w:rPr>
      </w:pPr>
      <w:r w:rsidRPr="0044344D">
        <w:rPr>
          <w:rFonts w:ascii="Century" w:hAnsi="Century"/>
          <w:sz w:val="24"/>
          <w:szCs w:val="24"/>
          <w:lang w:val="en-US"/>
        </w:rPr>
        <w:lastRenderedPageBreak/>
        <w:t xml:space="preserve">Program </w:t>
      </w:r>
      <w:proofErr w:type="spellStart"/>
      <w:r w:rsidRPr="0044344D">
        <w:rPr>
          <w:rFonts w:ascii="Century" w:hAnsi="Century"/>
          <w:sz w:val="24"/>
          <w:szCs w:val="24"/>
          <w:lang w:val="en-US"/>
        </w:rPr>
        <w:t>pengabdian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diusulkan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berfokus</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siswa</w:t>
      </w:r>
      <w:proofErr w:type="spellEnd"/>
      <w:r w:rsidRPr="0044344D">
        <w:rPr>
          <w:rFonts w:ascii="Century" w:hAnsi="Century"/>
          <w:sz w:val="24"/>
          <w:szCs w:val="24"/>
          <w:lang w:val="en-US"/>
        </w:rPr>
        <w:t xml:space="preserve"> dan guru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meningkatkan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inovasi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menghadapi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tantangan</w:t>
      </w:r>
      <w:proofErr w:type="spellEnd"/>
      <w:r w:rsidRPr="0044344D">
        <w:rPr>
          <w:rFonts w:ascii="Century" w:hAnsi="Century"/>
          <w:sz w:val="24"/>
          <w:szCs w:val="24"/>
          <w:lang w:val="en-US"/>
        </w:rPr>
        <w:t xml:space="preserve"> masa </w:t>
      </w:r>
      <w:proofErr w:type="spellStart"/>
      <w:r w:rsidRPr="0044344D">
        <w:rPr>
          <w:rFonts w:ascii="Century" w:hAnsi="Century"/>
          <w:sz w:val="24"/>
          <w:szCs w:val="24"/>
          <w:lang w:val="en-US"/>
        </w:rPr>
        <w:t>depan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khususnya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pemanfaatan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keterampilan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diperoleh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mereka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diharapkan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menjadi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agen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perubahan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menyebarluaskan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informasi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pemanfaatan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di </w:t>
      </w:r>
      <w:proofErr w:type="spellStart"/>
      <w:r w:rsidRPr="0044344D">
        <w:rPr>
          <w:rFonts w:ascii="Century" w:hAnsi="Century"/>
          <w:sz w:val="24"/>
          <w:szCs w:val="24"/>
          <w:lang w:val="en-US"/>
        </w:rPr>
        <w:t>lingkungan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sekitar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Selain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itu</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membantu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mengurangi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biaya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bulanan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sekolah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melalui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pemasangan</w:t>
      </w:r>
      <w:proofErr w:type="spellEnd"/>
      <w:r w:rsidRPr="0044344D">
        <w:rPr>
          <w:rFonts w:ascii="Century" w:hAnsi="Century"/>
          <w:sz w:val="24"/>
          <w:szCs w:val="24"/>
          <w:lang w:val="en-US"/>
        </w:rPr>
        <w:t xml:space="preserve"> PLTS dan power station portable yang </w:t>
      </w:r>
      <w:proofErr w:type="spellStart"/>
      <w:r w:rsidRPr="0044344D">
        <w:rPr>
          <w:rFonts w:ascii="Century" w:hAnsi="Century"/>
          <w:sz w:val="24"/>
          <w:szCs w:val="24"/>
          <w:lang w:val="en-US"/>
        </w:rPr>
        <w:t>berfungsi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penerangan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cadangan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saat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terjadi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pemadaman</w:t>
      </w:r>
      <w:proofErr w:type="spellEnd"/>
      <w:r w:rsidRPr="0044344D">
        <w:rPr>
          <w:rFonts w:ascii="Century" w:hAnsi="Century"/>
          <w:sz w:val="24"/>
          <w:szCs w:val="24"/>
          <w:lang w:val="en-US"/>
        </w:rPr>
        <w:t xml:space="preserve"> PLN</w:t>
      </w:r>
      <w:r w:rsidR="00070FDA">
        <w:rPr>
          <w:rFonts w:ascii="Century" w:hAnsi="Century"/>
          <w:sz w:val="24"/>
          <w:szCs w:val="24"/>
          <w:lang w:val="en-US"/>
        </w:rPr>
        <w:t>.</w:t>
      </w:r>
    </w:p>
    <w:p w14:paraId="6827941D" w14:textId="77777777" w:rsidR="004978A0" w:rsidRPr="0044344D" w:rsidRDefault="004978A0" w:rsidP="00070FDA">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Tahap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pertama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adalah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survei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lokasi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mengumpulkan</w:t>
      </w:r>
      <w:proofErr w:type="spellEnd"/>
      <w:r w:rsidRPr="0044344D">
        <w:rPr>
          <w:rFonts w:ascii="Century" w:hAnsi="Century"/>
          <w:sz w:val="24"/>
          <w:szCs w:val="24"/>
          <w:lang w:val="en-US"/>
        </w:rPr>
        <w:t xml:space="preserve"> data dan </w:t>
      </w:r>
      <w:proofErr w:type="spellStart"/>
      <w:r w:rsidRPr="0044344D">
        <w:rPr>
          <w:rFonts w:ascii="Century" w:hAnsi="Century"/>
          <w:sz w:val="24"/>
          <w:szCs w:val="24"/>
          <w:lang w:val="en-US"/>
        </w:rPr>
        <w:t>menentukan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modul</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sesuai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Tahap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kedua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melibatkan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persiapan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komponen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tahap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ketiga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dilakukan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pengenalan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sistem</w:t>
      </w:r>
      <w:proofErr w:type="spellEnd"/>
      <w:r w:rsidRPr="0044344D">
        <w:rPr>
          <w:rFonts w:ascii="Century" w:hAnsi="Century"/>
          <w:sz w:val="24"/>
          <w:szCs w:val="24"/>
          <w:lang w:val="en-US"/>
        </w:rPr>
        <w:t xml:space="preserve"> PLTS </w:t>
      </w:r>
      <w:proofErr w:type="spellStart"/>
      <w:r w:rsidRPr="0044344D">
        <w:rPr>
          <w:rFonts w:ascii="Century" w:hAnsi="Century"/>
          <w:sz w:val="24"/>
          <w:szCs w:val="24"/>
          <w:lang w:val="en-US"/>
        </w:rPr>
        <w:t>kepada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siswa</w:t>
      </w:r>
      <w:proofErr w:type="spellEnd"/>
      <w:r w:rsidRPr="0044344D">
        <w:rPr>
          <w:rFonts w:ascii="Century" w:hAnsi="Century"/>
          <w:sz w:val="24"/>
          <w:szCs w:val="24"/>
          <w:lang w:val="en-US"/>
        </w:rPr>
        <w:t xml:space="preserve"> dan guru, yang </w:t>
      </w:r>
      <w:proofErr w:type="spellStart"/>
      <w:r w:rsidRPr="0044344D">
        <w:rPr>
          <w:rFonts w:ascii="Century" w:hAnsi="Century"/>
          <w:sz w:val="24"/>
          <w:szCs w:val="24"/>
          <w:lang w:val="en-US"/>
        </w:rPr>
        <w:t>diikuti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instalasi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pemasangan</w:t>
      </w:r>
      <w:proofErr w:type="spellEnd"/>
      <w:r w:rsidRPr="0044344D">
        <w:rPr>
          <w:rFonts w:ascii="Century" w:hAnsi="Century"/>
          <w:sz w:val="24"/>
          <w:szCs w:val="24"/>
          <w:lang w:val="en-US"/>
        </w:rPr>
        <w:t xml:space="preserve"> power station portable. </w:t>
      </w:r>
      <w:proofErr w:type="spellStart"/>
      <w:r w:rsidRPr="0044344D">
        <w:rPr>
          <w:rFonts w:ascii="Century" w:hAnsi="Century"/>
          <w:sz w:val="24"/>
          <w:szCs w:val="24"/>
          <w:lang w:val="en-US"/>
        </w:rPr>
        <w:t>Selanjutnya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tahap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keempat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adalah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langsung</w:t>
      </w:r>
      <w:proofErr w:type="spellEnd"/>
      <w:r w:rsidRPr="0044344D">
        <w:rPr>
          <w:rFonts w:ascii="Century" w:hAnsi="Century"/>
          <w:sz w:val="24"/>
          <w:szCs w:val="24"/>
          <w:lang w:val="en-US"/>
        </w:rPr>
        <w:t xml:space="preserve"> oleh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diakhiri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evaluasi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sebelum</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setelah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terima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media </w:t>
      </w:r>
      <w:proofErr w:type="spellStart"/>
      <w:r w:rsidRPr="0044344D">
        <w:rPr>
          <w:rFonts w:ascii="Century" w:hAnsi="Century"/>
          <w:sz w:val="24"/>
          <w:szCs w:val="24"/>
          <w:lang w:val="en-US"/>
        </w:rPr>
        <w:t>pembelajaran</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tahap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awal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edukasi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dasar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terkait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instalasi</w:t>
      </w:r>
      <w:proofErr w:type="spellEnd"/>
      <w:r w:rsidRPr="0044344D">
        <w:rPr>
          <w:rFonts w:ascii="Century" w:hAnsi="Century"/>
          <w:sz w:val="24"/>
          <w:szCs w:val="24"/>
          <w:lang w:val="en-US"/>
        </w:rPr>
        <w:t xml:space="preserve"> PLTS </w:t>
      </w:r>
      <w:proofErr w:type="spellStart"/>
      <w:r w:rsidRPr="0044344D">
        <w:rPr>
          <w:rFonts w:ascii="Century" w:hAnsi="Century"/>
          <w:sz w:val="24"/>
          <w:szCs w:val="24"/>
          <w:lang w:val="en-US"/>
        </w:rPr>
        <w:t>sederhana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Tahap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terakhir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mencakup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perawatan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penggantian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sistem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tenaga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agar </w:t>
      </w:r>
      <w:proofErr w:type="spellStart"/>
      <w:r w:rsidRPr="0044344D">
        <w:rPr>
          <w:rFonts w:ascii="Century" w:hAnsi="Century"/>
          <w:sz w:val="24"/>
          <w:szCs w:val="24"/>
          <w:lang w:val="en-US"/>
        </w:rPr>
        <w:t>keberlanjutan</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terjaga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Melalui</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diharapkan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siswa</w:t>
      </w:r>
      <w:proofErr w:type="spellEnd"/>
      <w:r w:rsidRPr="0044344D">
        <w:rPr>
          <w:rFonts w:ascii="Century" w:hAnsi="Century"/>
          <w:sz w:val="24"/>
          <w:szCs w:val="24"/>
          <w:lang w:val="en-US"/>
        </w:rPr>
        <w:t xml:space="preserve"> dan guru di </w:t>
      </w:r>
      <w:proofErr w:type="spellStart"/>
      <w:r w:rsidRPr="0044344D">
        <w:rPr>
          <w:rFonts w:ascii="Century" w:hAnsi="Century"/>
          <w:sz w:val="24"/>
          <w:szCs w:val="24"/>
          <w:lang w:val="en-US"/>
        </w:rPr>
        <w:t>sekolah</w:t>
      </w:r>
      <w:proofErr w:type="spellEnd"/>
      <w:r w:rsidRPr="0044344D">
        <w:rPr>
          <w:rFonts w:ascii="Century" w:hAnsi="Century"/>
          <w:sz w:val="24"/>
          <w:szCs w:val="24"/>
          <w:lang w:val="en-US"/>
        </w:rPr>
        <w:t xml:space="preserve"> wilayah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memahami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mengadopsi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teknologi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kehidupan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sehari-hari</w:t>
      </w:r>
      <w:proofErr w:type="spellEnd"/>
      <w:r w:rsidRPr="0044344D">
        <w:rPr>
          <w:rFonts w:ascii="Century" w:hAnsi="Century"/>
          <w:sz w:val="24"/>
          <w:szCs w:val="24"/>
          <w:lang w:val="en-US"/>
        </w:rPr>
        <w:t>.</w:t>
      </w:r>
    </w:p>
    <w:p w14:paraId="516A14CB" w14:textId="77777777" w:rsidR="004978A0" w:rsidRPr="0044344D" w:rsidRDefault="004978A0" w:rsidP="00070FDA">
      <w:pPr>
        <w:pStyle w:val="IEEEParagraph"/>
        <w:spacing w:line="276" w:lineRule="auto"/>
        <w:ind w:firstLine="360"/>
        <w:rPr>
          <w:rFonts w:ascii="Century" w:hAnsi="Century"/>
          <w:lang w:val="sv-SE"/>
        </w:rPr>
      </w:pPr>
    </w:p>
    <w:p w14:paraId="6DAC9E0A" w14:textId="77777777" w:rsidR="004978A0" w:rsidRPr="0044344D" w:rsidRDefault="007939E6" w:rsidP="00070FDA">
      <w:pPr>
        <w:pStyle w:val="IEEEFigure"/>
        <w:numPr>
          <w:ilvl w:val="3"/>
          <w:numId w:val="17"/>
        </w:numPr>
        <w:spacing w:line="276" w:lineRule="auto"/>
        <w:ind w:left="426" w:hanging="426"/>
        <w:jc w:val="left"/>
        <w:rPr>
          <w:rStyle w:val="mediumtext"/>
          <w:rFonts w:ascii="Century" w:hAnsi="Century"/>
          <w:b/>
          <w:shd w:val="clear" w:color="auto" w:fill="FFFFFF"/>
          <w:lang w:val="id-ID"/>
        </w:rPr>
      </w:pPr>
      <w:proofErr w:type="spellStart"/>
      <w:r w:rsidRPr="0044344D">
        <w:rPr>
          <w:rStyle w:val="mediumtext"/>
          <w:rFonts w:ascii="Century" w:hAnsi="Century"/>
          <w:b/>
          <w:shd w:val="clear" w:color="auto" w:fill="FFFFFF"/>
        </w:rPr>
        <w:t>Konsep</w:t>
      </w:r>
      <w:proofErr w:type="spellEnd"/>
      <w:r w:rsidRPr="0044344D">
        <w:rPr>
          <w:rStyle w:val="mediumtext"/>
          <w:rFonts w:ascii="Century" w:hAnsi="Century"/>
          <w:b/>
          <w:shd w:val="clear" w:color="auto" w:fill="FFFFFF"/>
        </w:rPr>
        <w:t xml:space="preserve"> </w:t>
      </w:r>
      <w:proofErr w:type="spellStart"/>
      <w:r w:rsidRPr="0044344D">
        <w:rPr>
          <w:rStyle w:val="mediumtext"/>
          <w:rFonts w:ascii="Century" w:hAnsi="Century"/>
          <w:b/>
          <w:shd w:val="clear" w:color="auto" w:fill="FFFFFF"/>
        </w:rPr>
        <w:t>Materi</w:t>
      </w:r>
      <w:proofErr w:type="spellEnd"/>
      <w:r w:rsidRPr="0044344D">
        <w:rPr>
          <w:rStyle w:val="mediumtext"/>
          <w:rFonts w:ascii="Century" w:hAnsi="Century"/>
          <w:b/>
          <w:shd w:val="clear" w:color="auto" w:fill="FFFFFF"/>
        </w:rPr>
        <w:t xml:space="preserve"> </w:t>
      </w:r>
      <w:proofErr w:type="spellStart"/>
      <w:r w:rsidR="004978A0" w:rsidRPr="0044344D">
        <w:rPr>
          <w:rStyle w:val="mediumtext"/>
          <w:rFonts w:ascii="Century" w:hAnsi="Century"/>
          <w:b/>
          <w:shd w:val="clear" w:color="auto" w:fill="FFFFFF"/>
        </w:rPr>
        <w:t>Penggunaan</w:t>
      </w:r>
      <w:proofErr w:type="spellEnd"/>
      <w:r w:rsidR="004978A0" w:rsidRPr="0044344D">
        <w:rPr>
          <w:rStyle w:val="mediumtext"/>
          <w:rFonts w:ascii="Century" w:hAnsi="Century"/>
          <w:b/>
          <w:shd w:val="clear" w:color="auto" w:fill="FFFFFF"/>
        </w:rPr>
        <w:t xml:space="preserve"> Power Station </w:t>
      </w:r>
      <w:proofErr w:type="spellStart"/>
      <w:r w:rsidR="004978A0" w:rsidRPr="0044344D">
        <w:rPr>
          <w:rStyle w:val="mediumtext"/>
          <w:rFonts w:ascii="Century" w:hAnsi="Century"/>
          <w:b/>
          <w:shd w:val="clear" w:color="auto" w:fill="FFFFFF"/>
        </w:rPr>
        <w:t>dengan</w:t>
      </w:r>
      <w:proofErr w:type="spellEnd"/>
      <w:r w:rsidR="004978A0" w:rsidRPr="0044344D">
        <w:rPr>
          <w:rStyle w:val="mediumtext"/>
          <w:rFonts w:ascii="Century" w:hAnsi="Century"/>
          <w:b/>
          <w:shd w:val="clear" w:color="auto" w:fill="FFFFFF"/>
        </w:rPr>
        <w:t xml:space="preserve"> Portable Solar Panel</w:t>
      </w:r>
    </w:p>
    <w:p w14:paraId="1237CDDC" w14:textId="77777777" w:rsidR="004978A0" w:rsidRPr="0044344D" w:rsidRDefault="004978A0" w:rsidP="00070FDA">
      <w:pPr>
        <w:pStyle w:val="BodyText"/>
        <w:tabs>
          <w:tab w:val="clear" w:pos="288"/>
        </w:tabs>
        <w:spacing w:after="0" w:line="276" w:lineRule="auto"/>
        <w:ind w:firstLine="426"/>
        <w:rPr>
          <w:rFonts w:ascii="Century" w:hAnsi="Century"/>
          <w:sz w:val="24"/>
          <w:szCs w:val="24"/>
          <w:lang w:val="en-US"/>
        </w:rPr>
      </w:pPr>
      <w:r w:rsidRPr="0044344D">
        <w:rPr>
          <w:rFonts w:ascii="Century" w:hAnsi="Century"/>
          <w:sz w:val="24"/>
          <w:szCs w:val="24"/>
          <w:lang w:val="en-US"/>
        </w:rPr>
        <w:t xml:space="preserve">Power Station P66 </w:t>
      </w:r>
      <w:proofErr w:type="spellStart"/>
      <w:r w:rsidRPr="0044344D">
        <w:rPr>
          <w:rFonts w:ascii="Century" w:hAnsi="Century"/>
          <w:sz w:val="24"/>
          <w:szCs w:val="24"/>
          <w:lang w:val="en-US"/>
        </w:rPr>
        <w:t>adalah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portabel</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dirancang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menyediakan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sumber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cadangan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situasi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darurat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maupun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kegiatan</w:t>
      </w:r>
      <w:proofErr w:type="spellEnd"/>
      <w:r w:rsidRPr="0044344D">
        <w:rPr>
          <w:rFonts w:ascii="Century" w:hAnsi="Century"/>
          <w:sz w:val="24"/>
          <w:szCs w:val="24"/>
          <w:lang w:val="en-US"/>
        </w:rPr>
        <w:t xml:space="preserve"> di </w:t>
      </w:r>
      <w:proofErr w:type="spellStart"/>
      <w:r w:rsidRPr="0044344D">
        <w:rPr>
          <w:rFonts w:ascii="Century" w:hAnsi="Century"/>
          <w:sz w:val="24"/>
          <w:szCs w:val="24"/>
          <w:lang w:val="en-US"/>
        </w:rPr>
        <w:t>luar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ruangan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kapasitas</w:t>
      </w:r>
      <w:proofErr w:type="spellEnd"/>
      <w:r w:rsidRPr="0044344D">
        <w:rPr>
          <w:rFonts w:ascii="Century" w:hAnsi="Century"/>
          <w:sz w:val="24"/>
          <w:szCs w:val="24"/>
          <w:lang w:val="en-US"/>
        </w:rPr>
        <w:t xml:space="preserve"> 230Wh,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mampu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menyediakan</w:t>
      </w:r>
      <w:proofErr w:type="spellEnd"/>
      <w:r w:rsidRPr="0044344D">
        <w:rPr>
          <w:rFonts w:ascii="Century" w:hAnsi="Century"/>
          <w:sz w:val="24"/>
          <w:szCs w:val="24"/>
          <w:lang w:val="en-US"/>
        </w:rPr>
        <w:t xml:space="preserve"> output AC </w:t>
      </w:r>
      <w:proofErr w:type="spellStart"/>
      <w:r w:rsidRPr="0044344D">
        <w:rPr>
          <w:rFonts w:ascii="Century" w:hAnsi="Century"/>
          <w:sz w:val="24"/>
          <w:szCs w:val="24"/>
          <w:lang w:val="en-US"/>
        </w:rPr>
        <w:t>gelombang</w:t>
      </w:r>
      <w:proofErr w:type="spellEnd"/>
      <w:r w:rsidRPr="0044344D">
        <w:rPr>
          <w:rFonts w:ascii="Century" w:hAnsi="Century"/>
          <w:sz w:val="24"/>
          <w:szCs w:val="24"/>
          <w:lang w:val="en-US"/>
        </w:rPr>
        <w:t xml:space="preserve"> sinus </w:t>
      </w:r>
      <w:proofErr w:type="spellStart"/>
      <w:r w:rsidRPr="0044344D">
        <w:rPr>
          <w:rFonts w:ascii="Century" w:hAnsi="Century"/>
          <w:sz w:val="24"/>
          <w:szCs w:val="24"/>
          <w:lang w:val="en-US"/>
        </w:rPr>
        <w:t>murni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sebesar</w:t>
      </w:r>
      <w:proofErr w:type="spellEnd"/>
      <w:r w:rsidRPr="0044344D">
        <w:rPr>
          <w:rFonts w:ascii="Century" w:hAnsi="Century"/>
          <w:sz w:val="24"/>
          <w:szCs w:val="24"/>
          <w:lang w:val="en-US"/>
        </w:rPr>
        <w:t xml:space="preserve"> 300W (</w:t>
      </w:r>
      <w:proofErr w:type="spellStart"/>
      <w:r w:rsidRPr="0044344D">
        <w:rPr>
          <w:rFonts w:ascii="Century" w:hAnsi="Century"/>
          <w:sz w:val="24"/>
          <w:szCs w:val="24"/>
          <w:lang w:val="en-US"/>
        </w:rPr>
        <w:t>puncak</w:t>
      </w:r>
      <w:proofErr w:type="spellEnd"/>
      <w:r w:rsidRPr="0044344D">
        <w:rPr>
          <w:rFonts w:ascii="Century" w:hAnsi="Century"/>
          <w:sz w:val="24"/>
          <w:szCs w:val="24"/>
          <w:lang w:val="en-US"/>
        </w:rPr>
        <w:t xml:space="preserve"> 500W) yang </w:t>
      </w:r>
      <w:proofErr w:type="spellStart"/>
      <w:r w:rsidRPr="0044344D">
        <w:rPr>
          <w:rFonts w:ascii="Century" w:hAnsi="Century"/>
          <w:sz w:val="24"/>
          <w:szCs w:val="24"/>
          <w:lang w:val="en-US"/>
        </w:rPr>
        <w:t>cukup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mengoperasikan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elektronik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kapasitas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kecil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Selain</w:t>
      </w:r>
      <w:proofErr w:type="spellEnd"/>
      <w:r w:rsidRPr="0044344D">
        <w:rPr>
          <w:rFonts w:ascii="Century" w:hAnsi="Century"/>
          <w:sz w:val="24"/>
          <w:szCs w:val="24"/>
          <w:lang w:val="en-US"/>
        </w:rPr>
        <w:t xml:space="preserve"> output AC,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dilengkapi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3 output DC, 3 port USB, dan 1 port </w:t>
      </w:r>
      <w:proofErr w:type="spellStart"/>
      <w:r w:rsidRPr="0044344D">
        <w:rPr>
          <w:rFonts w:ascii="Century" w:hAnsi="Century"/>
          <w:sz w:val="24"/>
          <w:szCs w:val="24"/>
          <w:lang w:val="en-US"/>
        </w:rPr>
        <w:t>tipe</w:t>
      </w:r>
      <w:proofErr w:type="spellEnd"/>
      <w:r w:rsidRPr="0044344D">
        <w:rPr>
          <w:rFonts w:ascii="Century" w:hAnsi="Century"/>
          <w:sz w:val="24"/>
          <w:szCs w:val="24"/>
          <w:lang w:val="en-US"/>
        </w:rPr>
        <w:t xml:space="preserve">-C, yang </w:t>
      </w:r>
      <w:proofErr w:type="spellStart"/>
      <w:r w:rsidRPr="0044344D">
        <w:rPr>
          <w:rFonts w:ascii="Century" w:hAnsi="Century"/>
          <w:sz w:val="24"/>
          <w:szCs w:val="24"/>
          <w:lang w:val="en-US"/>
        </w:rPr>
        <w:t>memungkinkan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pengisian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seperti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ponsel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atau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lampu</w:t>
      </w:r>
      <w:proofErr w:type="spellEnd"/>
      <w:r w:rsidRPr="0044344D">
        <w:rPr>
          <w:rFonts w:ascii="Century" w:hAnsi="Century"/>
          <w:sz w:val="24"/>
          <w:szCs w:val="24"/>
          <w:lang w:val="en-US"/>
        </w:rPr>
        <w:t xml:space="preserve">. Fitur </w:t>
      </w:r>
      <w:proofErr w:type="spellStart"/>
      <w:r w:rsidRPr="0044344D">
        <w:rPr>
          <w:rFonts w:ascii="Century" w:hAnsi="Century"/>
          <w:sz w:val="24"/>
          <w:szCs w:val="24"/>
          <w:lang w:val="en-US"/>
        </w:rPr>
        <w:t>tambahan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berupa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senter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darurat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cahaya</w:t>
      </w:r>
      <w:proofErr w:type="spellEnd"/>
      <w:r w:rsidRPr="0044344D">
        <w:rPr>
          <w:rFonts w:ascii="Century" w:hAnsi="Century"/>
          <w:sz w:val="24"/>
          <w:szCs w:val="24"/>
          <w:lang w:val="en-US"/>
        </w:rPr>
        <w:t xml:space="preserve"> LED yang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disesuaikan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intensitasnya</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berguna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kondisi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tanpa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dilengkapi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teknologi</w:t>
      </w:r>
      <w:proofErr w:type="spellEnd"/>
      <w:r w:rsidRPr="0044344D">
        <w:rPr>
          <w:rFonts w:ascii="Century" w:hAnsi="Century"/>
          <w:sz w:val="24"/>
          <w:szCs w:val="24"/>
          <w:lang w:val="en-US"/>
        </w:rPr>
        <w:t xml:space="preserve"> MPPT, yang </w:t>
      </w:r>
      <w:proofErr w:type="spellStart"/>
      <w:r w:rsidRPr="0044344D">
        <w:rPr>
          <w:rFonts w:ascii="Century" w:hAnsi="Century"/>
          <w:sz w:val="24"/>
          <w:szCs w:val="24"/>
          <w:lang w:val="en-US"/>
        </w:rPr>
        <w:t>meningkatkan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efisiensi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pengisian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tenaga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Ada </w:t>
      </w:r>
      <w:proofErr w:type="spellStart"/>
      <w:r w:rsidRPr="0044344D">
        <w:rPr>
          <w:rFonts w:ascii="Century" w:hAnsi="Century"/>
          <w:sz w:val="24"/>
          <w:szCs w:val="24"/>
          <w:lang w:val="en-US"/>
        </w:rPr>
        <w:t>tiga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mengisi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ulang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yaitu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melalui</w:t>
      </w:r>
      <w:proofErr w:type="spellEnd"/>
      <w:r w:rsidRPr="0044344D">
        <w:rPr>
          <w:rFonts w:ascii="Century" w:hAnsi="Century"/>
          <w:sz w:val="24"/>
          <w:szCs w:val="24"/>
          <w:lang w:val="en-US"/>
        </w:rPr>
        <w:t xml:space="preserve"> panel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soket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dinding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atau</w:t>
      </w:r>
      <w:proofErr w:type="spellEnd"/>
      <w:r w:rsidRPr="0044344D">
        <w:rPr>
          <w:rFonts w:ascii="Century" w:hAnsi="Century"/>
          <w:sz w:val="24"/>
          <w:szCs w:val="24"/>
          <w:lang w:val="en-US"/>
        </w:rPr>
        <w:t xml:space="preserve"> port </w:t>
      </w:r>
      <w:proofErr w:type="spellStart"/>
      <w:r w:rsidRPr="0044344D">
        <w:rPr>
          <w:rFonts w:ascii="Century" w:hAnsi="Century"/>
          <w:sz w:val="24"/>
          <w:szCs w:val="24"/>
          <w:lang w:val="en-US"/>
        </w:rPr>
        <w:t>mobil</w:t>
      </w:r>
      <w:proofErr w:type="spellEnd"/>
      <w:r w:rsidRPr="0044344D">
        <w:rPr>
          <w:rFonts w:ascii="Century" w:hAnsi="Century"/>
          <w:sz w:val="24"/>
          <w:szCs w:val="24"/>
          <w:lang w:val="en-US"/>
        </w:rPr>
        <w:t>.</w:t>
      </w:r>
    </w:p>
    <w:p w14:paraId="01E13DE1" w14:textId="5C82E865" w:rsidR="004978A0" w:rsidRPr="0044344D" w:rsidRDefault="004978A0" w:rsidP="005D0273">
      <w:pPr>
        <w:pStyle w:val="BodyText"/>
        <w:tabs>
          <w:tab w:val="clear" w:pos="288"/>
        </w:tabs>
        <w:spacing w:after="0" w:line="276" w:lineRule="auto"/>
        <w:ind w:firstLine="426"/>
        <w:rPr>
          <w:rFonts w:ascii="Century" w:hAnsi="Century"/>
          <w:sz w:val="24"/>
          <w:szCs w:val="24"/>
          <w:lang w:val="en-US"/>
        </w:rPr>
      </w:pPr>
      <w:r w:rsidRPr="0044344D">
        <w:rPr>
          <w:rFonts w:ascii="Century" w:hAnsi="Century"/>
          <w:sz w:val="24"/>
          <w:szCs w:val="24"/>
          <w:lang w:val="en-US"/>
        </w:rPr>
        <w:t xml:space="preserve">Power station juga </w:t>
      </w:r>
      <w:proofErr w:type="spellStart"/>
      <w:r w:rsidRPr="0044344D">
        <w:rPr>
          <w:rFonts w:ascii="Century" w:hAnsi="Century"/>
          <w:sz w:val="24"/>
          <w:szCs w:val="24"/>
          <w:lang w:val="en-US"/>
        </w:rPr>
        <w:t>didukung</w:t>
      </w:r>
      <w:proofErr w:type="spellEnd"/>
      <w:r w:rsidRPr="0044344D">
        <w:rPr>
          <w:rFonts w:ascii="Century" w:hAnsi="Century"/>
          <w:sz w:val="24"/>
          <w:szCs w:val="24"/>
          <w:lang w:val="en-US"/>
        </w:rPr>
        <w:t xml:space="preserve"> oleh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Portable Solar Panel yang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dilipat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sehingga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mengisi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aktivitas</w:t>
      </w:r>
      <w:proofErr w:type="spellEnd"/>
      <w:r w:rsidRPr="0044344D">
        <w:rPr>
          <w:rFonts w:ascii="Century" w:hAnsi="Century"/>
          <w:sz w:val="24"/>
          <w:szCs w:val="24"/>
          <w:lang w:val="en-US"/>
        </w:rPr>
        <w:t xml:space="preserve"> di </w:t>
      </w:r>
      <w:proofErr w:type="spellStart"/>
      <w:r w:rsidRPr="0044344D">
        <w:rPr>
          <w:rFonts w:ascii="Century" w:hAnsi="Century"/>
          <w:sz w:val="24"/>
          <w:szCs w:val="24"/>
          <w:lang w:val="en-US"/>
        </w:rPr>
        <w:t>luar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ruangan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efisiensi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konversi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antara</w:t>
      </w:r>
      <w:proofErr w:type="spellEnd"/>
      <w:r w:rsidRPr="0044344D">
        <w:rPr>
          <w:rFonts w:ascii="Century" w:hAnsi="Century"/>
          <w:sz w:val="24"/>
          <w:szCs w:val="24"/>
          <w:lang w:val="en-US"/>
        </w:rPr>
        <w:t xml:space="preserve"> 21,5% </w:t>
      </w:r>
      <w:proofErr w:type="spellStart"/>
      <w:r w:rsidRPr="0044344D">
        <w:rPr>
          <w:rFonts w:ascii="Century" w:hAnsi="Century"/>
          <w:sz w:val="24"/>
          <w:szCs w:val="24"/>
          <w:lang w:val="en-US"/>
        </w:rPr>
        <w:t>hingga</w:t>
      </w:r>
      <w:proofErr w:type="spellEnd"/>
      <w:r w:rsidRPr="0044344D">
        <w:rPr>
          <w:rFonts w:ascii="Century" w:hAnsi="Century"/>
          <w:sz w:val="24"/>
          <w:szCs w:val="24"/>
          <w:lang w:val="en-US"/>
        </w:rPr>
        <w:t xml:space="preserve"> 23,5%, panel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mengubah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sinar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matahari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menjadi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cukup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mengisi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output </w:t>
      </w:r>
      <w:proofErr w:type="spellStart"/>
      <w:r w:rsidRPr="0044344D">
        <w:rPr>
          <w:rFonts w:ascii="Century" w:hAnsi="Century"/>
          <w:sz w:val="24"/>
          <w:szCs w:val="24"/>
          <w:lang w:val="en-US"/>
        </w:rPr>
        <w:t>pengisian</w:t>
      </w:r>
      <w:proofErr w:type="spellEnd"/>
      <w:r w:rsidRPr="0044344D">
        <w:rPr>
          <w:rFonts w:ascii="Century" w:hAnsi="Century"/>
          <w:sz w:val="24"/>
          <w:szCs w:val="24"/>
          <w:lang w:val="en-US"/>
        </w:rPr>
        <w:t xml:space="preserve"> DC 18V dan USB 5V/2,1A. </w:t>
      </w:r>
      <w:proofErr w:type="spellStart"/>
      <w:r w:rsidRPr="0044344D">
        <w:rPr>
          <w:rFonts w:ascii="Century" w:hAnsi="Century"/>
          <w:sz w:val="24"/>
          <w:szCs w:val="24"/>
          <w:lang w:val="en-US"/>
        </w:rPr>
        <w:t>Terdapat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desain</w:t>
      </w:r>
      <w:proofErr w:type="spellEnd"/>
      <w:r w:rsidRPr="0044344D">
        <w:rPr>
          <w:rFonts w:ascii="Century" w:hAnsi="Century"/>
          <w:sz w:val="24"/>
          <w:szCs w:val="24"/>
          <w:lang w:val="en-US"/>
        </w:rPr>
        <w:t xml:space="preserve"> kickstand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memudahkan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penempatan</w:t>
      </w:r>
      <w:proofErr w:type="spellEnd"/>
      <w:r w:rsidRPr="0044344D">
        <w:rPr>
          <w:rFonts w:ascii="Century" w:hAnsi="Century"/>
          <w:sz w:val="24"/>
          <w:szCs w:val="24"/>
          <w:lang w:val="en-US"/>
        </w:rPr>
        <w:t xml:space="preserve"> panel </w:t>
      </w:r>
      <w:proofErr w:type="spellStart"/>
      <w:r w:rsidRPr="0044344D">
        <w:rPr>
          <w:rFonts w:ascii="Century" w:hAnsi="Century"/>
          <w:sz w:val="24"/>
          <w:szCs w:val="24"/>
          <w:lang w:val="en-US"/>
        </w:rPr>
        <w:t>sehingga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bisa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memperoleh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paparan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sinar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matahari</w:t>
      </w:r>
      <w:proofErr w:type="spellEnd"/>
      <w:r w:rsidRPr="0044344D">
        <w:rPr>
          <w:rFonts w:ascii="Century" w:hAnsi="Century"/>
          <w:sz w:val="24"/>
          <w:szCs w:val="24"/>
          <w:lang w:val="en-US"/>
        </w:rPr>
        <w:t xml:space="preserve"> </w:t>
      </w:r>
      <w:r w:rsidRPr="0044344D">
        <w:rPr>
          <w:rFonts w:ascii="Century" w:hAnsi="Century"/>
          <w:sz w:val="24"/>
          <w:szCs w:val="24"/>
          <w:lang w:val="en-US"/>
        </w:rPr>
        <w:lastRenderedPageBreak/>
        <w:t xml:space="preserve">optimal, </w:t>
      </w:r>
      <w:proofErr w:type="spellStart"/>
      <w:r w:rsidRPr="0044344D">
        <w:rPr>
          <w:rFonts w:ascii="Century" w:hAnsi="Century"/>
          <w:sz w:val="24"/>
          <w:szCs w:val="24"/>
          <w:lang w:val="en-US"/>
        </w:rPr>
        <w:t>sementara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ukurannya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kompak</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beratnya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ringan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memungkinkan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dibawa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mudah</w:t>
      </w:r>
      <w:proofErr w:type="spellEnd"/>
      <w:r w:rsidRPr="0044344D">
        <w:rPr>
          <w:rFonts w:ascii="Century" w:hAnsi="Century"/>
          <w:sz w:val="24"/>
          <w:szCs w:val="24"/>
          <w:lang w:val="en-US"/>
        </w:rPr>
        <w:t xml:space="preserve">. Panel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dilengkapi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kabel</w:t>
      </w:r>
      <w:proofErr w:type="spellEnd"/>
      <w:r w:rsidRPr="0044344D">
        <w:rPr>
          <w:rFonts w:ascii="Century" w:hAnsi="Century"/>
          <w:sz w:val="24"/>
          <w:szCs w:val="24"/>
          <w:lang w:val="en-US"/>
        </w:rPr>
        <w:t xml:space="preserve"> DC dan </w:t>
      </w:r>
      <w:proofErr w:type="spellStart"/>
      <w:r w:rsidRPr="0044344D">
        <w:rPr>
          <w:rFonts w:ascii="Century" w:hAnsi="Century"/>
          <w:sz w:val="24"/>
          <w:szCs w:val="24"/>
          <w:lang w:val="en-US"/>
        </w:rPr>
        <w:t>konektor</w:t>
      </w:r>
      <w:proofErr w:type="spellEnd"/>
      <w:r w:rsidRPr="0044344D">
        <w:rPr>
          <w:rFonts w:ascii="Century" w:hAnsi="Century"/>
          <w:sz w:val="24"/>
          <w:szCs w:val="24"/>
          <w:lang w:val="en-US"/>
        </w:rPr>
        <w:t xml:space="preserve"> DC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memudahkan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penghubungan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membutuhkan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TSP100W </w:t>
      </w:r>
      <w:proofErr w:type="spellStart"/>
      <w:r w:rsidRPr="0044344D">
        <w:rPr>
          <w:rFonts w:ascii="Century" w:hAnsi="Century"/>
          <w:sz w:val="24"/>
          <w:szCs w:val="24"/>
          <w:lang w:val="en-US"/>
        </w:rPr>
        <w:t>menawarkan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solusi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pengisian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efisien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praktis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cocok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kegiatan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luar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ruangan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atau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situasi</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membutuhkan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sumber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w:t>
      </w:r>
    </w:p>
    <w:p w14:paraId="390F82C2" w14:textId="77777777" w:rsidR="004978A0" w:rsidRPr="0044344D" w:rsidRDefault="004978A0" w:rsidP="00070FDA">
      <w:pPr>
        <w:pStyle w:val="IEEEParagraph"/>
        <w:spacing w:line="276" w:lineRule="auto"/>
        <w:ind w:firstLine="360"/>
        <w:rPr>
          <w:rFonts w:ascii="Century" w:hAnsi="Century"/>
          <w:lang w:val="sv-SE"/>
        </w:rPr>
      </w:pPr>
    </w:p>
    <w:p w14:paraId="231811CA" w14:textId="77777777" w:rsidR="004978A0" w:rsidRPr="0044344D" w:rsidRDefault="007939E6" w:rsidP="005D0273">
      <w:pPr>
        <w:pStyle w:val="IEEEFigure"/>
        <w:numPr>
          <w:ilvl w:val="3"/>
          <w:numId w:val="17"/>
        </w:numPr>
        <w:spacing w:line="276" w:lineRule="auto"/>
        <w:ind w:left="426" w:hanging="426"/>
        <w:jc w:val="left"/>
        <w:rPr>
          <w:rStyle w:val="mediumtext"/>
          <w:rFonts w:ascii="Century" w:hAnsi="Century"/>
          <w:b/>
          <w:shd w:val="clear" w:color="auto" w:fill="FFFFFF"/>
          <w:lang w:val="id-ID"/>
        </w:rPr>
      </w:pPr>
      <w:proofErr w:type="spellStart"/>
      <w:r w:rsidRPr="0044344D">
        <w:rPr>
          <w:rStyle w:val="mediumtext"/>
          <w:rFonts w:ascii="Century" w:hAnsi="Century"/>
          <w:b/>
          <w:shd w:val="clear" w:color="auto" w:fill="FFFFFF"/>
        </w:rPr>
        <w:t>Konsep</w:t>
      </w:r>
      <w:proofErr w:type="spellEnd"/>
      <w:r w:rsidRPr="0044344D">
        <w:rPr>
          <w:rStyle w:val="mediumtext"/>
          <w:rFonts w:ascii="Century" w:hAnsi="Century"/>
          <w:b/>
          <w:shd w:val="clear" w:color="auto" w:fill="FFFFFF"/>
        </w:rPr>
        <w:t xml:space="preserve"> </w:t>
      </w:r>
      <w:proofErr w:type="spellStart"/>
      <w:r w:rsidRPr="0044344D">
        <w:rPr>
          <w:rStyle w:val="mediumtext"/>
          <w:rFonts w:ascii="Century" w:hAnsi="Century"/>
          <w:b/>
          <w:shd w:val="clear" w:color="auto" w:fill="FFFFFF"/>
        </w:rPr>
        <w:t>Materi</w:t>
      </w:r>
      <w:proofErr w:type="spellEnd"/>
      <w:r w:rsidRPr="0044344D">
        <w:rPr>
          <w:rStyle w:val="mediumtext"/>
          <w:rFonts w:ascii="Century" w:hAnsi="Century"/>
          <w:b/>
          <w:shd w:val="clear" w:color="auto" w:fill="FFFFFF"/>
        </w:rPr>
        <w:t xml:space="preserve"> </w:t>
      </w:r>
      <w:proofErr w:type="spellStart"/>
      <w:r w:rsidR="004978A0" w:rsidRPr="0044344D">
        <w:rPr>
          <w:rStyle w:val="mediumtext"/>
          <w:rFonts w:ascii="Century" w:hAnsi="Century"/>
          <w:b/>
          <w:shd w:val="clear" w:color="auto" w:fill="FFFFFF"/>
        </w:rPr>
        <w:t>Pengukuran</w:t>
      </w:r>
      <w:proofErr w:type="spellEnd"/>
      <w:r w:rsidR="004978A0" w:rsidRPr="0044344D">
        <w:rPr>
          <w:rStyle w:val="mediumtext"/>
          <w:rFonts w:ascii="Century" w:hAnsi="Century"/>
          <w:b/>
          <w:shd w:val="clear" w:color="auto" w:fill="FFFFFF"/>
        </w:rPr>
        <w:t xml:space="preserve"> </w:t>
      </w:r>
      <w:proofErr w:type="spellStart"/>
      <w:r w:rsidR="004978A0" w:rsidRPr="0044344D">
        <w:rPr>
          <w:rStyle w:val="mediumtext"/>
          <w:rFonts w:ascii="Century" w:hAnsi="Century"/>
          <w:b/>
          <w:shd w:val="clear" w:color="auto" w:fill="FFFFFF"/>
        </w:rPr>
        <w:t>Kualitas</w:t>
      </w:r>
      <w:proofErr w:type="spellEnd"/>
      <w:r w:rsidR="004978A0" w:rsidRPr="0044344D">
        <w:rPr>
          <w:rStyle w:val="mediumtext"/>
          <w:rFonts w:ascii="Century" w:hAnsi="Century"/>
          <w:b/>
          <w:shd w:val="clear" w:color="auto" w:fill="FFFFFF"/>
        </w:rPr>
        <w:t xml:space="preserve"> Daya Listrik </w:t>
      </w:r>
    </w:p>
    <w:p w14:paraId="6D6F3D89" w14:textId="77777777" w:rsidR="004978A0" w:rsidRPr="0044344D" w:rsidRDefault="004978A0" w:rsidP="005D0273">
      <w:pPr>
        <w:pStyle w:val="BodyText"/>
        <w:tabs>
          <w:tab w:val="clear" w:pos="288"/>
        </w:tabs>
        <w:spacing w:after="0" w:line="276" w:lineRule="auto"/>
        <w:ind w:firstLine="426"/>
        <w:rPr>
          <w:rFonts w:ascii="Century" w:hAnsi="Century"/>
          <w:sz w:val="24"/>
          <w:szCs w:val="24"/>
          <w:lang w:val="en-US"/>
        </w:rPr>
      </w:pPr>
      <w:r w:rsidRPr="0044344D">
        <w:rPr>
          <w:rFonts w:ascii="Century" w:hAnsi="Century"/>
          <w:sz w:val="24"/>
          <w:szCs w:val="24"/>
          <w:lang w:val="en-US"/>
        </w:rPr>
        <w:t xml:space="preserve">Alat </w:t>
      </w:r>
      <w:proofErr w:type="spellStart"/>
      <w:r w:rsidRPr="0044344D">
        <w:rPr>
          <w:rFonts w:ascii="Century" w:hAnsi="Century"/>
          <w:sz w:val="24"/>
          <w:szCs w:val="24"/>
          <w:lang w:val="en-US"/>
        </w:rPr>
        <w:t>ukur</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instalasi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adalah</w:t>
      </w:r>
      <w:proofErr w:type="spellEnd"/>
      <w:r w:rsidRPr="0044344D">
        <w:rPr>
          <w:rFonts w:ascii="Century" w:hAnsi="Century"/>
          <w:sz w:val="24"/>
          <w:szCs w:val="24"/>
          <w:lang w:val="en-US"/>
        </w:rPr>
        <w:t xml:space="preserve"> CM3286, yang </w:t>
      </w:r>
      <w:proofErr w:type="spellStart"/>
      <w:r w:rsidRPr="0044344D">
        <w:rPr>
          <w:rFonts w:ascii="Century" w:hAnsi="Century"/>
          <w:sz w:val="24"/>
          <w:szCs w:val="24"/>
          <w:lang w:val="en-US"/>
        </w:rPr>
        <w:t>dirancang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menawarkan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fungsi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pengukuran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kompak</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mudah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digunakan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terutama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mendeteksi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pencurian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khususnya</w:t>
      </w:r>
      <w:proofErr w:type="spellEnd"/>
      <w:r w:rsidRPr="0044344D">
        <w:rPr>
          <w:rFonts w:ascii="Century" w:hAnsi="Century"/>
          <w:sz w:val="24"/>
          <w:szCs w:val="24"/>
          <w:lang w:val="en-US"/>
        </w:rPr>
        <w:t xml:space="preserve"> di negara-negara </w:t>
      </w:r>
      <w:proofErr w:type="spellStart"/>
      <w:r w:rsidRPr="0044344D">
        <w:rPr>
          <w:rFonts w:ascii="Century" w:hAnsi="Century"/>
          <w:sz w:val="24"/>
          <w:szCs w:val="24"/>
          <w:lang w:val="en-US"/>
        </w:rPr>
        <w:t>berkembang</w:t>
      </w:r>
      <w:proofErr w:type="spellEnd"/>
      <w:r w:rsidRPr="0044344D">
        <w:rPr>
          <w:rFonts w:ascii="Century" w:hAnsi="Century"/>
          <w:sz w:val="24"/>
          <w:szCs w:val="24"/>
          <w:lang w:val="en-US"/>
        </w:rPr>
        <w:t xml:space="preserve">. Alat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memiliki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kemampuan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mengukur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rentang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luas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5 W pada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serendah</w:t>
      </w:r>
      <w:proofErr w:type="spellEnd"/>
      <w:r w:rsidRPr="0044344D">
        <w:rPr>
          <w:rFonts w:ascii="Century" w:hAnsi="Century"/>
          <w:sz w:val="24"/>
          <w:szCs w:val="24"/>
          <w:lang w:val="en-US"/>
        </w:rPr>
        <w:t xml:space="preserve"> 60 mA </w:t>
      </w:r>
      <w:proofErr w:type="spellStart"/>
      <w:r w:rsidRPr="0044344D">
        <w:rPr>
          <w:rFonts w:ascii="Century" w:hAnsi="Century"/>
          <w:sz w:val="24"/>
          <w:szCs w:val="24"/>
          <w:lang w:val="en-US"/>
        </w:rPr>
        <w:t>hingga</w:t>
      </w:r>
      <w:proofErr w:type="spellEnd"/>
      <w:r w:rsidRPr="0044344D">
        <w:rPr>
          <w:rFonts w:ascii="Century" w:hAnsi="Century"/>
          <w:sz w:val="24"/>
          <w:szCs w:val="24"/>
          <w:lang w:val="en-US"/>
        </w:rPr>
        <w:t xml:space="preserve"> 360 kW pada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maksimum</w:t>
      </w:r>
      <w:proofErr w:type="spellEnd"/>
      <w:r w:rsidRPr="0044344D">
        <w:rPr>
          <w:rFonts w:ascii="Century" w:hAnsi="Century"/>
          <w:sz w:val="24"/>
          <w:szCs w:val="24"/>
          <w:lang w:val="en-US"/>
        </w:rPr>
        <w:t xml:space="preserve"> 600 A, dan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digunakan</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sirkuit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satu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fase</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maupun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tiga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fase</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seimbang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Selain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pengukuran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mengukur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tegangan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konsumsi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integral,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dilengkapi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fitur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deteksi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pencurian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memungkinkan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pengguna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membandingkan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pembacaan</w:t>
      </w:r>
      <w:proofErr w:type="spellEnd"/>
      <w:r w:rsidRPr="0044344D">
        <w:rPr>
          <w:rFonts w:ascii="Century" w:hAnsi="Century"/>
          <w:sz w:val="24"/>
          <w:szCs w:val="24"/>
          <w:lang w:val="en-US"/>
        </w:rPr>
        <w:t xml:space="preserve"> meter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nilai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pengukuran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mengukur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sisi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pasokan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sambungan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ilegal</w:t>
      </w:r>
      <w:proofErr w:type="spellEnd"/>
      <w:r w:rsidRPr="0044344D">
        <w:rPr>
          <w:rFonts w:ascii="Century" w:hAnsi="Century"/>
          <w:sz w:val="24"/>
          <w:szCs w:val="24"/>
          <w:lang w:val="en-US"/>
        </w:rPr>
        <w:t xml:space="preserve">. Fitur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kemudahan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mendeteksi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penyalahgunaan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menghasilkan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laporan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grafis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lengkap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tanda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waktu</w:t>
      </w:r>
      <w:proofErr w:type="spellEnd"/>
      <w:r w:rsidRPr="0044344D">
        <w:rPr>
          <w:rFonts w:ascii="Century" w:hAnsi="Century"/>
          <w:sz w:val="24"/>
          <w:szCs w:val="24"/>
          <w:lang w:val="en-US"/>
        </w:rPr>
        <w:t xml:space="preserve">, data GPS, </w:t>
      </w:r>
      <w:proofErr w:type="spellStart"/>
      <w:r w:rsidRPr="0044344D">
        <w:rPr>
          <w:rFonts w:ascii="Century" w:hAnsi="Century"/>
          <w:sz w:val="24"/>
          <w:szCs w:val="24"/>
          <w:lang w:val="en-US"/>
        </w:rPr>
        <w:t>foto</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lokasi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pengukuran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nilai</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terukur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membantu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verifikasi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dokumentasi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pencurian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w:t>
      </w:r>
    </w:p>
    <w:p w14:paraId="5F9891BA" w14:textId="77777777" w:rsidR="00773EF6" w:rsidRPr="0044344D" w:rsidRDefault="004978A0" w:rsidP="005D0273">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Selain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kemampuan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pengukuran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luas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dilengkapi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fitur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analisis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harmonik</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kemampuan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memeriksa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urutan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fase</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berguna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mendiagnosis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ketidakseimbangan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sistem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kelistrikan</w:t>
      </w:r>
      <w:proofErr w:type="spellEnd"/>
      <w:r w:rsidRPr="0044344D">
        <w:rPr>
          <w:rFonts w:ascii="Century" w:hAnsi="Century"/>
          <w:sz w:val="24"/>
          <w:szCs w:val="24"/>
          <w:lang w:val="en-US"/>
        </w:rPr>
        <w:t xml:space="preserve">. Hasil </w:t>
      </w:r>
      <w:proofErr w:type="spellStart"/>
      <w:r w:rsidRPr="0044344D">
        <w:rPr>
          <w:rFonts w:ascii="Century" w:hAnsi="Century"/>
          <w:sz w:val="24"/>
          <w:szCs w:val="24"/>
          <w:lang w:val="en-US"/>
        </w:rPr>
        <w:t>pengukuran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dipindahkan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mobile </w:t>
      </w:r>
      <w:proofErr w:type="spellStart"/>
      <w:r w:rsidRPr="0044344D">
        <w:rPr>
          <w:rFonts w:ascii="Century" w:hAnsi="Century"/>
          <w:sz w:val="24"/>
          <w:szCs w:val="24"/>
          <w:lang w:val="en-US"/>
        </w:rPr>
        <w:t>melalui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aplikasi</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memungkinkan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pembuatan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laporan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instan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efisien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kemampuan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membantu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mengurangi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pencurian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meningkatkan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kesadaran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tentang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penyalahgunaan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mendukung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peningkatan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keandalan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sistem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kelistrikan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keseluruhan</w:t>
      </w:r>
      <w:proofErr w:type="spellEnd"/>
      <w:r w:rsidRPr="0044344D">
        <w:rPr>
          <w:rFonts w:ascii="Century" w:hAnsi="Century"/>
          <w:sz w:val="24"/>
          <w:szCs w:val="24"/>
          <w:lang w:val="en-US"/>
        </w:rPr>
        <w:t>.</w:t>
      </w:r>
    </w:p>
    <w:p w14:paraId="7B1B680E" w14:textId="77777777" w:rsidR="00773EF6" w:rsidRPr="0044344D" w:rsidRDefault="00773EF6" w:rsidP="00070FDA">
      <w:pPr>
        <w:pStyle w:val="IEEEParagraph"/>
        <w:spacing w:line="276" w:lineRule="auto"/>
        <w:ind w:firstLine="360"/>
        <w:rPr>
          <w:rFonts w:ascii="Century" w:hAnsi="Century"/>
          <w:lang w:val="sv-SE"/>
        </w:rPr>
      </w:pPr>
    </w:p>
    <w:p w14:paraId="6573D8F8" w14:textId="77777777" w:rsidR="001E0DEE" w:rsidRPr="0044344D" w:rsidRDefault="00E70EE3" w:rsidP="005D0273">
      <w:pPr>
        <w:pStyle w:val="IEEEHeading1"/>
        <w:numPr>
          <w:ilvl w:val="0"/>
          <w:numId w:val="11"/>
        </w:numPr>
        <w:spacing w:before="0" w:after="0" w:line="276" w:lineRule="auto"/>
        <w:ind w:left="426" w:hanging="426"/>
        <w:jc w:val="left"/>
        <w:rPr>
          <w:rFonts w:ascii="Century" w:hAnsi="Century"/>
          <w:b/>
          <w:iCs/>
          <w:sz w:val="25"/>
          <w:szCs w:val="25"/>
          <w:lang w:val="en-US"/>
        </w:rPr>
      </w:pPr>
      <w:r w:rsidRPr="0044344D">
        <w:rPr>
          <w:rFonts w:ascii="Century" w:hAnsi="Century"/>
          <w:b/>
          <w:iCs/>
          <w:sz w:val="25"/>
          <w:szCs w:val="25"/>
          <w:lang w:val="id-ID"/>
        </w:rPr>
        <w:t>HASIL</w:t>
      </w:r>
      <w:r w:rsidR="0000069A" w:rsidRPr="0044344D">
        <w:rPr>
          <w:rFonts w:ascii="Century" w:hAnsi="Century"/>
          <w:b/>
          <w:iCs/>
          <w:sz w:val="25"/>
          <w:szCs w:val="25"/>
          <w:lang w:val="en-US"/>
        </w:rPr>
        <w:t xml:space="preserve"> DAN PEMBAHASAN</w:t>
      </w:r>
    </w:p>
    <w:p w14:paraId="285793E9" w14:textId="77777777" w:rsidR="004978A0" w:rsidRPr="0044344D" w:rsidRDefault="00845A15" w:rsidP="005D0273">
      <w:pPr>
        <w:pStyle w:val="IEEEFigure"/>
        <w:numPr>
          <w:ilvl w:val="6"/>
          <w:numId w:val="17"/>
        </w:numPr>
        <w:spacing w:line="276" w:lineRule="auto"/>
        <w:ind w:left="426" w:hanging="426"/>
        <w:jc w:val="left"/>
        <w:rPr>
          <w:rFonts w:ascii="Century" w:hAnsi="Century"/>
          <w:b/>
          <w:shd w:val="clear" w:color="auto" w:fill="FFFFFF"/>
          <w:lang w:val="id-ID"/>
        </w:rPr>
      </w:pPr>
      <w:proofErr w:type="spellStart"/>
      <w:r w:rsidRPr="0044344D">
        <w:rPr>
          <w:rStyle w:val="mediumtext"/>
          <w:rFonts w:ascii="Century" w:hAnsi="Century"/>
          <w:b/>
          <w:shd w:val="clear" w:color="auto" w:fill="FFFFFF"/>
        </w:rPr>
        <w:t>Persiapan</w:t>
      </w:r>
      <w:proofErr w:type="spellEnd"/>
      <w:r w:rsidR="001E0DEE" w:rsidRPr="0044344D">
        <w:rPr>
          <w:rStyle w:val="mediumtext"/>
          <w:rFonts w:ascii="Century" w:hAnsi="Century"/>
          <w:b/>
          <w:shd w:val="clear" w:color="auto" w:fill="FFFFFF"/>
        </w:rPr>
        <w:t xml:space="preserve"> </w:t>
      </w:r>
      <w:proofErr w:type="spellStart"/>
      <w:r w:rsidR="001E0DEE" w:rsidRPr="0044344D">
        <w:rPr>
          <w:rStyle w:val="mediumtext"/>
          <w:rFonts w:ascii="Century" w:hAnsi="Century"/>
          <w:b/>
          <w:shd w:val="clear" w:color="auto" w:fill="FFFFFF"/>
        </w:rPr>
        <w:t>Kegiatan</w:t>
      </w:r>
      <w:proofErr w:type="spellEnd"/>
      <w:r w:rsidR="001E0DEE" w:rsidRPr="0044344D">
        <w:rPr>
          <w:rStyle w:val="mediumtext"/>
          <w:rFonts w:ascii="Century" w:hAnsi="Century"/>
          <w:b/>
          <w:shd w:val="clear" w:color="auto" w:fill="FFFFFF"/>
        </w:rPr>
        <w:t xml:space="preserve"> </w:t>
      </w:r>
      <w:proofErr w:type="spellStart"/>
      <w:r w:rsidR="001E0DEE" w:rsidRPr="0044344D">
        <w:rPr>
          <w:rStyle w:val="mediumtext"/>
          <w:rFonts w:ascii="Century" w:hAnsi="Century"/>
          <w:b/>
          <w:shd w:val="clear" w:color="auto" w:fill="FFFFFF"/>
        </w:rPr>
        <w:t>Pelatihan</w:t>
      </w:r>
      <w:proofErr w:type="spellEnd"/>
      <w:r w:rsidR="001E0DEE" w:rsidRPr="0044344D">
        <w:rPr>
          <w:rStyle w:val="mediumtext"/>
          <w:rFonts w:ascii="Century" w:hAnsi="Century"/>
          <w:b/>
          <w:shd w:val="clear" w:color="auto" w:fill="FFFFFF"/>
        </w:rPr>
        <w:t xml:space="preserve"> dan </w:t>
      </w:r>
      <w:proofErr w:type="spellStart"/>
      <w:r w:rsidR="001E0DEE" w:rsidRPr="0044344D">
        <w:rPr>
          <w:rStyle w:val="mediumtext"/>
          <w:rFonts w:ascii="Century" w:hAnsi="Century"/>
          <w:b/>
          <w:shd w:val="clear" w:color="auto" w:fill="FFFFFF"/>
        </w:rPr>
        <w:t>Diseminasi</w:t>
      </w:r>
      <w:proofErr w:type="spellEnd"/>
    </w:p>
    <w:p w14:paraId="42D2281D" w14:textId="21EE397D" w:rsidR="004978A0" w:rsidRDefault="004978A0" w:rsidP="005D0273">
      <w:pPr>
        <w:pStyle w:val="IEEEParagraph"/>
        <w:spacing w:line="276" w:lineRule="auto"/>
        <w:ind w:firstLine="426"/>
        <w:rPr>
          <w:rFonts w:ascii="Century" w:hAnsi="Century"/>
        </w:rPr>
      </w:pPr>
      <w:proofErr w:type="spellStart"/>
      <w:r w:rsidRPr="0044344D">
        <w:rPr>
          <w:rFonts w:ascii="Century" w:hAnsi="Century"/>
        </w:rPr>
        <w:t>Kegiatan</w:t>
      </w:r>
      <w:proofErr w:type="spellEnd"/>
      <w:r w:rsidRPr="0044344D">
        <w:rPr>
          <w:rFonts w:ascii="Century" w:hAnsi="Century"/>
        </w:rPr>
        <w:t xml:space="preserve"> </w:t>
      </w:r>
      <w:proofErr w:type="spellStart"/>
      <w:r w:rsidRPr="0044344D">
        <w:rPr>
          <w:rFonts w:ascii="Century" w:hAnsi="Century"/>
        </w:rPr>
        <w:t>pengabdian</w:t>
      </w:r>
      <w:proofErr w:type="spellEnd"/>
      <w:r w:rsidRPr="0044344D">
        <w:rPr>
          <w:rFonts w:ascii="Century" w:hAnsi="Century"/>
        </w:rPr>
        <w:t xml:space="preserve"> </w:t>
      </w:r>
      <w:proofErr w:type="spellStart"/>
      <w:r w:rsidRPr="0044344D">
        <w:rPr>
          <w:rFonts w:ascii="Century" w:hAnsi="Century"/>
        </w:rPr>
        <w:t>masyarakat</w:t>
      </w:r>
      <w:proofErr w:type="spellEnd"/>
      <w:r w:rsidRPr="0044344D">
        <w:rPr>
          <w:rFonts w:ascii="Century" w:hAnsi="Century"/>
        </w:rPr>
        <w:t xml:space="preserve"> </w:t>
      </w:r>
      <w:proofErr w:type="spellStart"/>
      <w:r w:rsidRPr="0044344D">
        <w:rPr>
          <w:rFonts w:ascii="Century" w:hAnsi="Century"/>
        </w:rPr>
        <w:t>dilaksanakan</w:t>
      </w:r>
      <w:proofErr w:type="spellEnd"/>
      <w:r w:rsidRPr="0044344D">
        <w:rPr>
          <w:rFonts w:ascii="Century" w:hAnsi="Century"/>
        </w:rPr>
        <w:t xml:space="preserve"> di SMK</w:t>
      </w:r>
      <w:r w:rsidR="00A074C1" w:rsidRPr="0044344D">
        <w:rPr>
          <w:rFonts w:ascii="Century" w:hAnsi="Century"/>
        </w:rPr>
        <w:t xml:space="preserve">N </w:t>
      </w:r>
      <w:r w:rsidRPr="0044344D">
        <w:rPr>
          <w:rFonts w:ascii="Century" w:hAnsi="Century"/>
        </w:rPr>
        <w:t xml:space="preserve">2 </w:t>
      </w:r>
      <w:proofErr w:type="spellStart"/>
      <w:r w:rsidRPr="0044344D">
        <w:rPr>
          <w:rFonts w:ascii="Century" w:hAnsi="Century"/>
        </w:rPr>
        <w:t>Lamongan</w:t>
      </w:r>
      <w:proofErr w:type="spellEnd"/>
      <w:r w:rsidRPr="0044344D">
        <w:rPr>
          <w:rFonts w:ascii="Century" w:hAnsi="Century"/>
        </w:rPr>
        <w:t xml:space="preserve"> yang </w:t>
      </w:r>
      <w:proofErr w:type="spellStart"/>
      <w:r w:rsidRPr="0044344D">
        <w:rPr>
          <w:rFonts w:ascii="Century" w:hAnsi="Century"/>
        </w:rPr>
        <w:t>berlokasi</w:t>
      </w:r>
      <w:proofErr w:type="spellEnd"/>
      <w:r w:rsidRPr="0044344D">
        <w:rPr>
          <w:rFonts w:ascii="Century" w:hAnsi="Century"/>
        </w:rPr>
        <w:t xml:space="preserve"> di Jl. Veteran No. 7a, </w:t>
      </w:r>
      <w:proofErr w:type="spellStart"/>
      <w:r w:rsidRPr="0044344D">
        <w:rPr>
          <w:rFonts w:ascii="Century" w:hAnsi="Century"/>
        </w:rPr>
        <w:t>Lamongan</w:t>
      </w:r>
      <w:proofErr w:type="spellEnd"/>
      <w:r w:rsidRPr="0044344D">
        <w:rPr>
          <w:rFonts w:ascii="Century" w:hAnsi="Century"/>
        </w:rPr>
        <w:t xml:space="preserve">, </w:t>
      </w:r>
      <w:proofErr w:type="spellStart"/>
      <w:r w:rsidRPr="0044344D">
        <w:rPr>
          <w:rFonts w:ascii="Century" w:hAnsi="Century"/>
        </w:rPr>
        <w:t>Jawa</w:t>
      </w:r>
      <w:proofErr w:type="spellEnd"/>
      <w:r w:rsidRPr="0044344D">
        <w:rPr>
          <w:rFonts w:ascii="Century" w:hAnsi="Century"/>
        </w:rPr>
        <w:t xml:space="preserve"> Timur pada </w:t>
      </w:r>
      <w:proofErr w:type="spellStart"/>
      <w:r w:rsidRPr="0044344D">
        <w:rPr>
          <w:rFonts w:ascii="Century" w:hAnsi="Century"/>
        </w:rPr>
        <w:t>tanggal</w:t>
      </w:r>
      <w:proofErr w:type="spellEnd"/>
      <w:r w:rsidRPr="0044344D">
        <w:rPr>
          <w:rFonts w:ascii="Century" w:hAnsi="Century"/>
        </w:rPr>
        <w:t xml:space="preserve"> 22 Mei 2025. </w:t>
      </w:r>
      <w:proofErr w:type="spellStart"/>
      <w:r w:rsidRPr="0044344D">
        <w:rPr>
          <w:rFonts w:ascii="Century" w:hAnsi="Century"/>
        </w:rPr>
        <w:t>Pelaksanaan</w:t>
      </w:r>
      <w:proofErr w:type="spellEnd"/>
      <w:r w:rsidRPr="0044344D">
        <w:rPr>
          <w:rFonts w:ascii="Century" w:hAnsi="Century"/>
        </w:rPr>
        <w:t xml:space="preserve"> </w:t>
      </w:r>
      <w:proofErr w:type="spellStart"/>
      <w:r w:rsidRPr="0044344D">
        <w:rPr>
          <w:rFonts w:ascii="Century" w:hAnsi="Century"/>
        </w:rPr>
        <w:t>kegiatan</w:t>
      </w:r>
      <w:proofErr w:type="spellEnd"/>
      <w:r w:rsidRPr="0044344D">
        <w:rPr>
          <w:rFonts w:ascii="Century" w:hAnsi="Century"/>
        </w:rPr>
        <w:t xml:space="preserve"> </w:t>
      </w:r>
      <w:proofErr w:type="spellStart"/>
      <w:r w:rsidRPr="0044344D">
        <w:rPr>
          <w:rFonts w:ascii="Century" w:hAnsi="Century"/>
        </w:rPr>
        <w:t>diawali</w:t>
      </w:r>
      <w:proofErr w:type="spellEnd"/>
      <w:r w:rsidRPr="0044344D">
        <w:rPr>
          <w:rFonts w:ascii="Century" w:hAnsi="Century"/>
        </w:rPr>
        <w:t xml:space="preserve"> </w:t>
      </w:r>
      <w:proofErr w:type="spellStart"/>
      <w:r w:rsidRPr="0044344D">
        <w:rPr>
          <w:rFonts w:ascii="Century" w:hAnsi="Century"/>
        </w:rPr>
        <w:t>dengan</w:t>
      </w:r>
      <w:proofErr w:type="spellEnd"/>
      <w:r w:rsidRPr="0044344D">
        <w:rPr>
          <w:rFonts w:ascii="Century" w:hAnsi="Century"/>
        </w:rPr>
        <w:t xml:space="preserve"> </w:t>
      </w:r>
      <w:proofErr w:type="spellStart"/>
      <w:r w:rsidRPr="0044344D">
        <w:rPr>
          <w:rFonts w:ascii="Century" w:hAnsi="Century"/>
        </w:rPr>
        <w:t>sambutan</w:t>
      </w:r>
      <w:proofErr w:type="spellEnd"/>
      <w:r w:rsidRPr="0044344D">
        <w:rPr>
          <w:rFonts w:ascii="Century" w:hAnsi="Century"/>
        </w:rPr>
        <w:t xml:space="preserve"> dan </w:t>
      </w:r>
      <w:proofErr w:type="spellStart"/>
      <w:r w:rsidRPr="0044344D">
        <w:rPr>
          <w:rFonts w:ascii="Century" w:hAnsi="Century"/>
        </w:rPr>
        <w:t>diakhiri</w:t>
      </w:r>
      <w:proofErr w:type="spellEnd"/>
      <w:r w:rsidRPr="0044344D">
        <w:rPr>
          <w:rFonts w:ascii="Century" w:hAnsi="Century"/>
        </w:rPr>
        <w:t xml:space="preserve"> </w:t>
      </w:r>
      <w:proofErr w:type="spellStart"/>
      <w:r w:rsidRPr="0044344D">
        <w:rPr>
          <w:rFonts w:ascii="Century" w:hAnsi="Century"/>
        </w:rPr>
        <w:t>dengan</w:t>
      </w:r>
      <w:proofErr w:type="spellEnd"/>
      <w:r w:rsidRPr="0044344D">
        <w:rPr>
          <w:rFonts w:ascii="Century" w:hAnsi="Century"/>
        </w:rPr>
        <w:t xml:space="preserve"> </w:t>
      </w:r>
      <w:proofErr w:type="spellStart"/>
      <w:r w:rsidRPr="0044344D">
        <w:rPr>
          <w:rFonts w:ascii="Century" w:hAnsi="Century"/>
        </w:rPr>
        <w:t>penyerahan</w:t>
      </w:r>
      <w:proofErr w:type="spellEnd"/>
      <w:r w:rsidRPr="0044344D">
        <w:rPr>
          <w:rFonts w:ascii="Century" w:hAnsi="Century"/>
        </w:rPr>
        <w:t xml:space="preserve"> </w:t>
      </w:r>
      <w:proofErr w:type="spellStart"/>
      <w:r w:rsidRPr="0044344D">
        <w:rPr>
          <w:rFonts w:ascii="Century" w:hAnsi="Century"/>
        </w:rPr>
        <w:t>perangkat</w:t>
      </w:r>
      <w:proofErr w:type="spellEnd"/>
      <w:r w:rsidRPr="0044344D">
        <w:rPr>
          <w:rFonts w:ascii="Century" w:hAnsi="Century"/>
        </w:rPr>
        <w:t xml:space="preserve"> power station portable</w:t>
      </w:r>
      <w:r w:rsidR="000C3CE4" w:rsidRPr="0044344D">
        <w:rPr>
          <w:rFonts w:ascii="Century" w:hAnsi="Century"/>
        </w:rPr>
        <w:t xml:space="preserve">. </w:t>
      </w:r>
      <w:proofErr w:type="spellStart"/>
      <w:r w:rsidR="000C3CE4" w:rsidRPr="0044344D">
        <w:rPr>
          <w:rFonts w:ascii="Century" w:hAnsi="Century"/>
        </w:rPr>
        <w:t>Perangkat</w:t>
      </w:r>
      <w:proofErr w:type="spellEnd"/>
      <w:r w:rsidR="000C3CE4" w:rsidRPr="0044344D">
        <w:rPr>
          <w:rFonts w:ascii="Century" w:hAnsi="Century"/>
        </w:rPr>
        <w:t xml:space="preserve"> yang </w:t>
      </w:r>
      <w:proofErr w:type="spellStart"/>
      <w:r w:rsidR="000C3CE4" w:rsidRPr="0044344D">
        <w:rPr>
          <w:rFonts w:ascii="Century" w:hAnsi="Century"/>
        </w:rPr>
        <w:t>diserahkan</w:t>
      </w:r>
      <w:proofErr w:type="spellEnd"/>
      <w:r w:rsidR="000C3CE4" w:rsidRPr="0044344D">
        <w:rPr>
          <w:rFonts w:ascii="Century" w:hAnsi="Century"/>
        </w:rPr>
        <w:t xml:space="preserve"> </w:t>
      </w:r>
      <w:proofErr w:type="spellStart"/>
      <w:r w:rsidR="000C3CE4" w:rsidRPr="0044344D">
        <w:rPr>
          <w:rFonts w:ascii="Century" w:hAnsi="Century"/>
        </w:rPr>
        <w:t>adalah</w:t>
      </w:r>
      <w:proofErr w:type="spellEnd"/>
      <w:r w:rsidRPr="0044344D">
        <w:rPr>
          <w:rFonts w:ascii="Century" w:hAnsi="Century"/>
        </w:rPr>
        <w:t xml:space="preserve"> </w:t>
      </w:r>
      <w:proofErr w:type="spellStart"/>
      <w:r w:rsidR="000C3CE4" w:rsidRPr="0044344D">
        <w:rPr>
          <w:rFonts w:ascii="Century" w:hAnsi="Century"/>
        </w:rPr>
        <w:t>satu</w:t>
      </w:r>
      <w:proofErr w:type="spellEnd"/>
      <w:r w:rsidR="000C3CE4" w:rsidRPr="0044344D">
        <w:rPr>
          <w:rFonts w:ascii="Century" w:hAnsi="Century"/>
        </w:rPr>
        <w:t xml:space="preserve"> set </w:t>
      </w:r>
      <w:r w:rsidRPr="0044344D">
        <w:rPr>
          <w:rFonts w:ascii="Century" w:hAnsi="Century"/>
        </w:rPr>
        <w:t xml:space="preserve">solar panel </w:t>
      </w:r>
      <w:proofErr w:type="spellStart"/>
      <w:r w:rsidRPr="0044344D">
        <w:rPr>
          <w:rFonts w:ascii="Century" w:hAnsi="Century"/>
        </w:rPr>
        <w:t>untuk</w:t>
      </w:r>
      <w:proofErr w:type="spellEnd"/>
      <w:r w:rsidRPr="0044344D">
        <w:rPr>
          <w:rFonts w:ascii="Century" w:hAnsi="Century"/>
        </w:rPr>
        <w:t xml:space="preserve"> </w:t>
      </w:r>
      <w:proofErr w:type="spellStart"/>
      <w:r w:rsidRPr="0044344D">
        <w:rPr>
          <w:rFonts w:ascii="Century" w:hAnsi="Century"/>
        </w:rPr>
        <w:t>mendukung</w:t>
      </w:r>
      <w:proofErr w:type="spellEnd"/>
      <w:r w:rsidRPr="0044344D">
        <w:rPr>
          <w:rFonts w:ascii="Century" w:hAnsi="Century"/>
        </w:rPr>
        <w:t xml:space="preserve"> </w:t>
      </w:r>
      <w:proofErr w:type="spellStart"/>
      <w:r w:rsidRPr="0044344D">
        <w:rPr>
          <w:rFonts w:ascii="Century" w:hAnsi="Century"/>
        </w:rPr>
        <w:t>kegiatan</w:t>
      </w:r>
      <w:proofErr w:type="spellEnd"/>
      <w:r w:rsidRPr="0044344D">
        <w:rPr>
          <w:rFonts w:ascii="Century" w:hAnsi="Century"/>
        </w:rPr>
        <w:t xml:space="preserve"> </w:t>
      </w:r>
      <w:proofErr w:type="spellStart"/>
      <w:r w:rsidRPr="0044344D">
        <w:rPr>
          <w:rFonts w:ascii="Century" w:hAnsi="Century"/>
        </w:rPr>
        <w:t>pengajaran</w:t>
      </w:r>
      <w:proofErr w:type="spellEnd"/>
      <w:r w:rsidRPr="0044344D">
        <w:rPr>
          <w:rFonts w:ascii="Century" w:hAnsi="Century"/>
        </w:rPr>
        <w:t xml:space="preserve"> </w:t>
      </w:r>
      <w:proofErr w:type="spellStart"/>
      <w:r w:rsidRPr="0044344D">
        <w:rPr>
          <w:rFonts w:ascii="Century" w:hAnsi="Century"/>
        </w:rPr>
        <w:t>sebagaimana</w:t>
      </w:r>
      <w:proofErr w:type="spellEnd"/>
      <w:r w:rsidRPr="0044344D">
        <w:rPr>
          <w:rFonts w:ascii="Century" w:hAnsi="Century"/>
        </w:rPr>
        <w:t xml:space="preserve"> </w:t>
      </w:r>
      <w:proofErr w:type="spellStart"/>
      <w:r w:rsidRPr="0044344D">
        <w:rPr>
          <w:rFonts w:ascii="Century" w:hAnsi="Century"/>
        </w:rPr>
        <w:t>ditujukkan</w:t>
      </w:r>
      <w:proofErr w:type="spellEnd"/>
      <w:r w:rsidRPr="0044344D">
        <w:rPr>
          <w:rFonts w:ascii="Century" w:hAnsi="Century"/>
        </w:rPr>
        <w:t xml:space="preserve"> pada Gambar 2. </w:t>
      </w:r>
      <w:proofErr w:type="spellStart"/>
      <w:r w:rsidRPr="0044344D">
        <w:rPr>
          <w:rFonts w:ascii="Century" w:hAnsi="Century"/>
        </w:rPr>
        <w:t>Secara</w:t>
      </w:r>
      <w:proofErr w:type="spellEnd"/>
      <w:r w:rsidRPr="0044344D">
        <w:rPr>
          <w:rFonts w:ascii="Century" w:hAnsi="Century"/>
        </w:rPr>
        <w:t xml:space="preserve"> </w:t>
      </w:r>
      <w:proofErr w:type="spellStart"/>
      <w:r w:rsidRPr="0044344D">
        <w:rPr>
          <w:rFonts w:ascii="Century" w:hAnsi="Century"/>
        </w:rPr>
        <w:t>keseluruhan</w:t>
      </w:r>
      <w:proofErr w:type="spellEnd"/>
      <w:r w:rsidRPr="0044344D">
        <w:rPr>
          <w:rFonts w:ascii="Century" w:hAnsi="Century"/>
        </w:rPr>
        <w:t xml:space="preserve"> </w:t>
      </w:r>
      <w:proofErr w:type="spellStart"/>
      <w:r w:rsidRPr="0044344D">
        <w:rPr>
          <w:rFonts w:ascii="Century" w:hAnsi="Century"/>
        </w:rPr>
        <w:t>terdapat</w:t>
      </w:r>
      <w:proofErr w:type="spellEnd"/>
      <w:r w:rsidRPr="0044344D">
        <w:rPr>
          <w:rFonts w:ascii="Century" w:hAnsi="Century"/>
        </w:rPr>
        <w:t xml:space="preserve"> </w:t>
      </w:r>
      <w:r w:rsidR="00D20663" w:rsidRPr="0044344D">
        <w:rPr>
          <w:rFonts w:ascii="Century" w:hAnsi="Century"/>
        </w:rPr>
        <w:t>19</w:t>
      </w:r>
      <w:r w:rsidRPr="0044344D">
        <w:rPr>
          <w:rFonts w:ascii="Century" w:hAnsi="Century"/>
        </w:rPr>
        <w:t xml:space="preserve"> </w:t>
      </w:r>
      <w:proofErr w:type="spellStart"/>
      <w:r w:rsidRPr="0044344D">
        <w:rPr>
          <w:rFonts w:ascii="Century" w:hAnsi="Century"/>
        </w:rPr>
        <w:t>peserta</w:t>
      </w:r>
      <w:proofErr w:type="spellEnd"/>
      <w:r w:rsidRPr="0044344D">
        <w:rPr>
          <w:rFonts w:ascii="Century" w:hAnsi="Century"/>
        </w:rPr>
        <w:t xml:space="preserve"> </w:t>
      </w:r>
      <w:proofErr w:type="spellStart"/>
      <w:r w:rsidRPr="0044344D">
        <w:rPr>
          <w:rFonts w:ascii="Century" w:hAnsi="Century"/>
        </w:rPr>
        <w:t>yg</w:t>
      </w:r>
      <w:proofErr w:type="spellEnd"/>
      <w:r w:rsidRPr="0044344D">
        <w:rPr>
          <w:rFonts w:ascii="Century" w:hAnsi="Century"/>
        </w:rPr>
        <w:t xml:space="preserve"> </w:t>
      </w:r>
      <w:proofErr w:type="spellStart"/>
      <w:r w:rsidRPr="0044344D">
        <w:rPr>
          <w:rFonts w:ascii="Century" w:hAnsi="Century"/>
        </w:rPr>
        <w:t>mengikuti</w:t>
      </w:r>
      <w:proofErr w:type="spellEnd"/>
      <w:r w:rsidRPr="0044344D">
        <w:rPr>
          <w:rFonts w:ascii="Century" w:hAnsi="Century"/>
        </w:rPr>
        <w:t xml:space="preserve"> </w:t>
      </w:r>
      <w:proofErr w:type="spellStart"/>
      <w:r w:rsidRPr="0044344D">
        <w:rPr>
          <w:rFonts w:ascii="Century" w:hAnsi="Century"/>
        </w:rPr>
        <w:t>kegiatan</w:t>
      </w:r>
      <w:proofErr w:type="spellEnd"/>
      <w:r w:rsidRPr="0044344D">
        <w:rPr>
          <w:rFonts w:ascii="Century" w:hAnsi="Century"/>
        </w:rPr>
        <w:t xml:space="preserve">. </w:t>
      </w:r>
    </w:p>
    <w:p w14:paraId="4B202A41" w14:textId="77777777" w:rsidR="005D0273" w:rsidRPr="0044344D" w:rsidRDefault="005D0273" w:rsidP="005D0273">
      <w:pPr>
        <w:pStyle w:val="IEEEParagraph"/>
        <w:spacing w:line="276" w:lineRule="auto"/>
        <w:ind w:firstLine="426"/>
        <w:rPr>
          <w:rFonts w:ascii="Century" w:hAnsi="Century"/>
        </w:rPr>
      </w:pPr>
    </w:p>
    <w:p w14:paraId="5F4D79CF" w14:textId="77777777" w:rsidR="005D0273" w:rsidRDefault="005D0273" w:rsidP="005D0273">
      <w:pPr>
        <w:pStyle w:val="IEEEParagraph"/>
        <w:spacing w:line="276" w:lineRule="auto"/>
        <w:ind w:firstLine="426"/>
        <w:rPr>
          <w:rFonts w:ascii="Century" w:hAnsi="Century"/>
        </w:rPr>
      </w:pPr>
    </w:p>
    <w:p w14:paraId="275A967E" w14:textId="77777777" w:rsidR="005D0273" w:rsidRPr="0044344D" w:rsidRDefault="005D0273" w:rsidP="005D0273">
      <w:pPr>
        <w:pStyle w:val="BodyText"/>
        <w:tabs>
          <w:tab w:val="clear" w:pos="288"/>
        </w:tabs>
        <w:spacing w:after="0" w:line="276" w:lineRule="auto"/>
        <w:jc w:val="center"/>
        <w:rPr>
          <w:rFonts w:ascii="Century" w:hAnsi="Century"/>
          <w:sz w:val="22"/>
          <w:szCs w:val="22"/>
          <w:lang w:val="en-US"/>
        </w:rPr>
      </w:pPr>
      <w:r w:rsidRPr="0044344D">
        <w:rPr>
          <w:rFonts w:ascii="Century" w:hAnsi="Century"/>
          <w:noProof/>
          <w:sz w:val="22"/>
          <w:szCs w:val="22"/>
          <w:lang w:val="en-US"/>
        </w:rPr>
        <w:lastRenderedPageBreak/>
        <w:drawing>
          <wp:inline distT="0" distB="0" distL="0" distR="0" wp14:anchorId="5A1A86ED" wp14:editId="46B70977">
            <wp:extent cx="2519680" cy="1657815"/>
            <wp:effectExtent l="0" t="0" r="0" b="0"/>
            <wp:docPr id="454653395" name="Picture 1" descr="A solar panel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53395" name="Picture 1" descr="A solar panel on a table&#10;&#10;AI-generated content may be incorrect."/>
                    <pic:cNvPicPr/>
                  </pic:nvPicPr>
                  <pic:blipFill rotWithShape="1">
                    <a:blip r:embed="rId16" cstate="print">
                      <a:extLst>
                        <a:ext uri="{28A0092B-C50C-407E-A947-70E740481C1C}">
                          <a14:useLocalDpi xmlns:a14="http://schemas.microsoft.com/office/drawing/2010/main"/>
                        </a:ext>
                      </a:extLst>
                    </a:blip>
                    <a:srcRect b="10980"/>
                    <a:stretch/>
                  </pic:blipFill>
                  <pic:spPr bwMode="auto">
                    <a:xfrm>
                      <a:off x="0" y="0"/>
                      <a:ext cx="2520000" cy="1658026"/>
                    </a:xfrm>
                    <a:prstGeom prst="rect">
                      <a:avLst/>
                    </a:prstGeom>
                    <a:ln>
                      <a:noFill/>
                    </a:ln>
                    <a:extLst>
                      <a:ext uri="{53640926-AAD7-44D8-BBD7-CCE9431645EC}">
                        <a14:shadowObscured xmlns:a14="http://schemas.microsoft.com/office/drawing/2010/main"/>
                      </a:ext>
                    </a:extLst>
                  </pic:spPr>
                </pic:pic>
              </a:graphicData>
            </a:graphic>
          </wp:inline>
        </w:drawing>
      </w:r>
    </w:p>
    <w:p w14:paraId="594C2B00" w14:textId="77777777" w:rsidR="005D0273" w:rsidRPr="0044344D" w:rsidRDefault="005D0273" w:rsidP="005D0273">
      <w:pPr>
        <w:pStyle w:val="BodyText"/>
        <w:tabs>
          <w:tab w:val="clear" w:pos="288"/>
        </w:tabs>
        <w:spacing w:after="0" w:line="276" w:lineRule="auto"/>
        <w:ind w:firstLine="0"/>
        <w:jc w:val="center"/>
        <w:rPr>
          <w:rFonts w:ascii="Century" w:hAnsi="Century"/>
          <w:sz w:val="22"/>
          <w:szCs w:val="22"/>
          <w:lang w:val="en-US"/>
        </w:rPr>
      </w:pPr>
      <w:r w:rsidRPr="005D0273">
        <w:rPr>
          <w:rFonts w:ascii="Century" w:hAnsi="Century"/>
          <w:b/>
          <w:bCs/>
          <w:sz w:val="22"/>
          <w:szCs w:val="22"/>
          <w:lang w:val="en-US"/>
        </w:rPr>
        <w:t>Gambar 2.</w:t>
      </w:r>
      <w:r>
        <w:rPr>
          <w:rFonts w:ascii="Century" w:hAnsi="Century"/>
          <w:sz w:val="22"/>
          <w:szCs w:val="22"/>
          <w:lang w:val="en-US"/>
        </w:rPr>
        <w:t xml:space="preserve"> </w:t>
      </w:r>
      <w:proofErr w:type="spellStart"/>
      <w:r w:rsidRPr="0044344D">
        <w:rPr>
          <w:rFonts w:ascii="Century" w:hAnsi="Century"/>
          <w:sz w:val="22"/>
          <w:szCs w:val="22"/>
          <w:lang w:val="en-US"/>
        </w:rPr>
        <w:t>Perangkat</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Portabel</w:t>
      </w:r>
      <w:proofErr w:type="spellEnd"/>
      <w:r w:rsidRPr="0044344D">
        <w:rPr>
          <w:rFonts w:ascii="Century" w:hAnsi="Century"/>
          <w:sz w:val="22"/>
          <w:szCs w:val="22"/>
          <w:lang w:val="en-US"/>
        </w:rPr>
        <w:t xml:space="preserve"> Power Station </w:t>
      </w:r>
      <w:proofErr w:type="spellStart"/>
      <w:r w:rsidRPr="0044344D">
        <w:rPr>
          <w:rFonts w:ascii="Century" w:hAnsi="Century"/>
          <w:sz w:val="22"/>
          <w:szCs w:val="22"/>
          <w:lang w:val="en-US"/>
        </w:rPr>
        <w:t>untuk</w:t>
      </w:r>
      <w:proofErr w:type="spellEnd"/>
      <w:r w:rsidRPr="0044344D">
        <w:rPr>
          <w:rFonts w:ascii="Century" w:hAnsi="Century"/>
          <w:sz w:val="22"/>
          <w:szCs w:val="22"/>
          <w:lang w:val="en-US"/>
        </w:rPr>
        <w:t xml:space="preserve"> Mitra </w:t>
      </w:r>
      <w:proofErr w:type="spellStart"/>
      <w:r w:rsidRPr="0044344D">
        <w:rPr>
          <w:rFonts w:ascii="Century" w:hAnsi="Century"/>
          <w:sz w:val="22"/>
          <w:szCs w:val="22"/>
          <w:lang w:val="en-US"/>
        </w:rPr>
        <w:t>Abdimas</w:t>
      </w:r>
      <w:proofErr w:type="spellEnd"/>
    </w:p>
    <w:p w14:paraId="05F1C68C" w14:textId="77777777" w:rsidR="005D0273" w:rsidRDefault="005D0273" w:rsidP="005D0273">
      <w:pPr>
        <w:pStyle w:val="IEEEParagraph"/>
        <w:spacing w:line="276" w:lineRule="auto"/>
        <w:ind w:firstLine="426"/>
        <w:rPr>
          <w:rFonts w:ascii="Century" w:hAnsi="Century"/>
        </w:rPr>
      </w:pPr>
    </w:p>
    <w:p w14:paraId="1359AB8B" w14:textId="15B61935" w:rsidR="004978A0" w:rsidRDefault="004978A0" w:rsidP="005D0273">
      <w:pPr>
        <w:pStyle w:val="IEEEParagraph"/>
        <w:spacing w:line="276" w:lineRule="auto"/>
        <w:ind w:firstLine="426"/>
        <w:rPr>
          <w:rFonts w:ascii="Century" w:hAnsi="Century"/>
        </w:rPr>
      </w:pPr>
      <w:proofErr w:type="spellStart"/>
      <w:r w:rsidRPr="0044344D">
        <w:rPr>
          <w:rFonts w:ascii="Century" w:hAnsi="Century"/>
        </w:rPr>
        <w:t>Pelatihan</w:t>
      </w:r>
      <w:proofErr w:type="spellEnd"/>
      <w:r w:rsidRPr="0044344D">
        <w:rPr>
          <w:rFonts w:ascii="Century" w:hAnsi="Century"/>
        </w:rPr>
        <w:t xml:space="preserve"> </w:t>
      </w:r>
      <w:proofErr w:type="spellStart"/>
      <w:r w:rsidRPr="0044344D">
        <w:rPr>
          <w:rFonts w:ascii="Century" w:hAnsi="Century"/>
        </w:rPr>
        <w:t>dilaksanakan</w:t>
      </w:r>
      <w:proofErr w:type="spellEnd"/>
      <w:r w:rsidRPr="0044344D">
        <w:rPr>
          <w:rFonts w:ascii="Century" w:hAnsi="Century"/>
        </w:rPr>
        <w:t xml:space="preserve"> </w:t>
      </w:r>
      <w:proofErr w:type="spellStart"/>
      <w:r w:rsidRPr="0044344D">
        <w:rPr>
          <w:rFonts w:ascii="Century" w:hAnsi="Century"/>
        </w:rPr>
        <w:t>secara</w:t>
      </w:r>
      <w:proofErr w:type="spellEnd"/>
      <w:r w:rsidRPr="0044344D">
        <w:rPr>
          <w:rFonts w:ascii="Century" w:hAnsi="Century"/>
        </w:rPr>
        <w:t xml:space="preserve"> </w:t>
      </w:r>
      <w:proofErr w:type="spellStart"/>
      <w:r w:rsidRPr="0044344D">
        <w:rPr>
          <w:rFonts w:ascii="Century" w:hAnsi="Century"/>
        </w:rPr>
        <w:t>terstruktur</w:t>
      </w:r>
      <w:proofErr w:type="spellEnd"/>
      <w:r w:rsidRPr="0044344D">
        <w:rPr>
          <w:rFonts w:ascii="Century" w:hAnsi="Century"/>
        </w:rPr>
        <w:t xml:space="preserve"> </w:t>
      </w:r>
      <w:proofErr w:type="spellStart"/>
      <w:r w:rsidRPr="0044344D">
        <w:rPr>
          <w:rFonts w:ascii="Century" w:hAnsi="Century"/>
        </w:rPr>
        <w:t>dalam</w:t>
      </w:r>
      <w:proofErr w:type="spellEnd"/>
      <w:r w:rsidRPr="0044344D">
        <w:rPr>
          <w:rFonts w:ascii="Century" w:hAnsi="Century"/>
        </w:rPr>
        <w:t xml:space="preserve"> </w:t>
      </w:r>
      <w:proofErr w:type="spellStart"/>
      <w:r w:rsidRPr="0044344D">
        <w:rPr>
          <w:rFonts w:ascii="Century" w:hAnsi="Century"/>
        </w:rPr>
        <w:t>empat</w:t>
      </w:r>
      <w:proofErr w:type="spellEnd"/>
      <w:r w:rsidRPr="0044344D">
        <w:rPr>
          <w:rFonts w:ascii="Century" w:hAnsi="Century"/>
        </w:rPr>
        <w:t xml:space="preserve"> </w:t>
      </w:r>
      <w:proofErr w:type="spellStart"/>
      <w:r w:rsidRPr="0044344D">
        <w:rPr>
          <w:rFonts w:ascii="Century" w:hAnsi="Century"/>
        </w:rPr>
        <w:t>sesi</w:t>
      </w:r>
      <w:proofErr w:type="spellEnd"/>
      <w:r w:rsidRPr="0044344D">
        <w:rPr>
          <w:rFonts w:ascii="Century" w:hAnsi="Century"/>
        </w:rPr>
        <w:t xml:space="preserve"> </w:t>
      </w:r>
      <w:proofErr w:type="spellStart"/>
      <w:r w:rsidRPr="0044344D">
        <w:rPr>
          <w:rFonts w:ascii="Century" w:hAnsi="Century"/>
        </w:rPr>
        <w:t>utama</w:t>
      </w:r>
      <w:proofErr w:type="spellEnd"/>
      <w:r w:rsidRPr="0044344D">
        <w:rPr>
          <w:rFonts w:ascii="Century" w:hAnsi="Century"/>
        </w:rPr>
        <w:t xml:space="preserve">, masing-masing </w:t>
      </w:r>
      <w:proofErr w:type="spellStart"/>
      <w:r w:rsidRPr="0044344D">
        <w:rPr>
          <w:rFonts w:ascii="Century" w:hAnsi="Century"/>
        </w:rPr>
        <w:t>berdurasi</w:t>
      </w:r>
      <w:proofErr w:type="spellEnd"/>
      <w:r w:rsidRPr="0044344D">
        <w:rPr>
          <w:rFonts w:ascii="Century" w:hAnsi="Century"/>
        </w:rPr>
        <w:t xml:space="preserve"> 30 </w:t>
      </w:r>
      <w:proofErr w:type="spellStart"/>
      <w:r w:rsidRPr="0044344D">
        <w:rPr>
          <w:rFonts w:ascii="Century" w:hAnsi="Century"/>
        </w:rPr>
        <w:t>menit</w:t>
      </w:r>
      <w:proofErr w:type="spellEnd"/>
      <w:r w:rsidRPr="0044344D">
        <w:rPr>
          <w:rFonts w:ascii="Century" w:hAnsi="Century"/>
        </w:rPr>
        <w:t xml:space="preserve">, </w:t>
      </w:r>
      <w:proofErr w:type="spellStart"/>
      <w:r w:rsidRPr="0044344D">
        <w:rPr>
          <w:rFonts w:ascii="Century" w:hAnsi="Century"/>
        </w:rPr>
        <w:t>dengan</w:t>
      </w:r>
      <w:proofErr w:type="spellEnd"/>
      <w:r w:rsidRPr="0044344D">
        <w:rPr>
          <w:rFonts w:ascii="Century" w:hAnsi="Century"/>
        </w:rPr>
        <w:t xml:space="preserve"> </w:t>
      </w:r>
      <w:proofErr w:type="spellStart"/>
      <w:r w:rsidRPr="0044344D">
        <w:rPr>
          <w:rFonts w:ascii="Century" w:hAnsi="Century"/>
        </w:rPr>
        <w:t>pendekatan</w:t>
      </w:r>
      <w:proofErr w:type="spellEnd"/>
      <w:r w:rsidRPr="0044344D">
        <w:rPr>
          <w:rFonts w:ascii="Century" w:hAnsi="Century"/>
        </w:rPr>
        <w:t xml:space="preserve"> </w:t>
      </w:r>
      <w:proofErr w:type="spellStart"/>
      <w:r w:rsidRPr="0044344D">
        <w:rPr>
          <w:rFonts w:ascii="Century" w:hAnsi="Century"/>
        </w:rPr>
        <w:t>kombinasi</w:t>
      </w:r>
      <w:proofErr w:type="spellEnd"/>
      <w:r w:rsidRPr="0044344D">
        <w:rPr>
          <w:rFonts w:ascii="Century" w:hAnsi="Century"/>
        </w:rPr>
        <w:t xml:space="preserve"> </w:t>
      </w:r>
      <w:proofErr w:type="spellStart"/>
      <w:r w:rsidRPr="0044344D">
        <w:rPr>
          <w:rFonts w:ascii="Century" w:hAnsi="Century"/>
        </w:rPr>
        <w:t>teori</w:t>
      </w:r>
      <w:proofErr w:type="spellEnd"/>
      <w:r w:rsidRPr="0044344D">
        <w:rPr>
          <w:rFonts w:ascii="Century" w:hAnsi="Century"/>
        </w:rPr>
        <w:t xml:space="preserve"> dan </w:t>
      </w:r>
      <w:proofErr w:type="spellStart"/>
      <w:r w:rsidRPr="0044344D">
        <w:rPr>
          <w:rFonts w:ascii="Century" w:hAnsi="Century"/>
        </w:rPr>
        <w:t>praktik</w:t>
      </w:r>
      <w:proofErr w:type="spellEnd"/>
      <w:r w:rsidRPr="0044344D">
        <w:rPr>
          <w:rFonts w:ascii="Century" w:hAnsi="Century"/>
        </w:rPr>
        <w:t xml:space="preserve">. </w:t>
      </w:r>
      <w:proofErr w:type="spellStart"/>
      <w:r w:rsidRPr="0044344D">
        <w:rPr>
          <w:rFonts w:ascii="Century" w:hAnsi="Century"/>
        </w:rPr>
        <w:t>Rangkaian</w:t>
      </w:r>
      <w:proofErr w:type="spellEnd"/>
      <w:r w:rsidRPr="0044344D">
        <w:rPr>
          <w:rFonts w:ascii="Century" w:hAnsi="Century"/>
        </w:rPr>
        <w:t xml:space="preserve"> </w:t>
      </w:r>
      <w:proofErr w:type="spellStart"/>
      <w:r w:rsidRPr="0044344D">
        <w:rPr>
          <w:rFonts w:ascii="Century" w:hAnsi="Century"/>
        </w:rPr>
        <w:t>kegiatan</w:t>
      </w:r>
      <w:proofErr w:type="spellEnd"/>
      <w:r w:rsidRPr="0044344D">
        <w:rPr>
          <w:rFonts w:ascii="Century" w:hAnsi="Century"/>
        </w:rPr>
        <w:t xml:space="preserve"> </w:t>
      </w:r>
      <w:proofErr w:type="spellStart"/>
      <w:r w:rsidRPr="0044344D">
        <w:rPr>
          <w:rFonts w:ascii="Century" w:hAnsi="Century"/>
        </w:rPr>
        <w:t>pelatihan</w:t>
      </w:r>
      <w:proofErr w:type="spellEnd"/>
      <w:r w:rsidRPr="0044344D">
        <w:rPr>
          <w:rFonts w:ascii="Century" w:hAnsi="Century"/>
        </w:rPr>
        <w:t xml:space="preserve"> </w:t>
      </w:r>
      <w:proofErr w:type="spellStart"/>
      <w:r w:rsidRPr="0044344D">
        <w:rPr>
          <w:rFonts w:ascii="Century" w:hAnsi="Century"/>
        </w:rPr>
        <w:t>ditunjukkan</w:t>
      </w:r>
      <w:proofErr w:type="spellEnd"/>
      <w:r w:rsidRPr="0044344D">
        <w:rPr>
          <w:rFonts w:ascii="Century" w:hAnsi="Century"/>
        </w:rPr>
        <w:t xml:space="preserve"> </w:t>
      </w:r>
      <w:proofErr w:type="spellStart"/>
      <w:r w:rsidRPr="0044344D">
        <w:rPr>
          <w:rFonts w:ascii="Century" w:hAnsi="Century"/>
        </w:rPr>
        <w:t>sebagaimana</w:t>
      </w:r>
      <w:proofErr w:type="spellEnd"/>
      <w:r w:rsidRPr="0044344D">
        <w:rPr>
          <w:rFonts w:ascii="Century" w:hAnsi="Century"/>
        </w:rPr>
        <w:t xml:space="preserve"> pada </w:t>
      </w:r>
      <w:proofErr w:type="spellStart"/>
      <w:r w:rsidRPr="0044344D">
        <w:rPr>
          <w:rFonts w:ascii="Century" w:hAnsi="Century"/>
        </w:rPr>
        <w:t>Tabel</w:t>
      </w:r>
      <w:proofErr w:type="spellEnd"/>
      <w:r w:rsidRPr="0044344D">
        <w:rPr>
          <w:rFonts w:ascii="Century" w:hAnsi="Century"/>
        </w:rPr>
        <w:t xml:space="preserve"> 1. </w:t>
      </w:r>
      <w:proofErr w:type="spellStart"/>
      <w:r w:rsidRPr="0044344D">
        <w:rPr>
          <w:rFonts w:ascii="Century" w:hAnsi="Century"/>
        </w:rPr>
        <w:t>Sesi</w:t>
      </w:r>
      <w:proofErr w:type="spellEnd"/>
      <w:r w:rsidRPr="0044344D">
        <w:rPr>
          <w:rFonts w:ascii="Century" w:hAnsi="Century"/>
        </w:rPr>
        <w:t xml:space="preserve"> </w:t>
      </w:r>
      <w:proofErr w:type="spellStart"/>
      <w:r w:rsidRPr="0044344D">
        <w:rPr>
          <w:rFonts w:ascii="Century" w:hAnsi="Century"/>
        </w:rPr>
        <w:t>pertama</w:t>
      </w:r>
      <w:proofErr w:type="spellEnd"/>
      <w:r w:rsidRPr="0044344D">
        <w:rPr>
          <w:rFonts w:ascii="Century" w:hAnsi="Century"/>
        </w:rPr>
        <w:t xml:space="preserve"> </w:t>
      </w:r>
      <w:proofErr w:type="spellStart"/>
      <w:r w:rsidRPr="0044344D">
        <w:rPr>
          <w:rFonts w:ascii="Century" w:hAnsi="Century"/>
        </w:rPr>
        <w:t>diawali</w:t>
      </w:r>
      <w:proofErr w:type="spellEnd"/>
      <w:r w:rsidRPr="0044344D">
        <w:rPr>
          <w:rFonts w:ascii="Century" w:hAnsi="Century"/>
        </w:rPr>
        <w:t xml:space="preserve"> </w:t>
      </w:r>
      <w:proofErr w:type="spellStart"/>
      <w:r w:rsidRPr="0044344D">
        <w:rPr>
          <w:rFonts w:ascii="Century" w:hAnsi="Century"/>
        </w:rPr>
        <w:t>dengan</w:t>
      </w:r>
      <w:proofErr w:type="spellEnd"/>
      <w:r w:rsidRPr="0044344D">
        <w:rPr>
          <w:rFonts w:ascii="Century" w:hAnsi="Century"/>
        </w:rPr>
        <w:t xml:space="preserve"> </w:t>
      </w:r>
      <w:proofErr w:type="spellStart"/>
      <w:r w:rsidRPr="0044344D">
        <w:rPr>
          <w:rFonts w:ascii="Century" w:hAnsi="Century"/>
        </w:rPr>
        <w:t>pengenalan</w:t>
      </w:r>
      <w:proofErr w:type="spellEnd"/>
      <w:r w:rsidRPr="0044344D">
        <w:rPr>
          <w:rFonts w:ascii="Century" w:hAnsi="Century"/>
        </w:rPr>
        <w:t xml:space="preserve"> </w:t>
      </w:r>
      <w:proofErr w:type="spellStart"/>
      <w:r w:rsidRPr="0044344D">
        <w:rPr>
          <w:rFonts w:ascii="Century" w:hAnsi="Century"/>
        </w:rPr>
        <w:t>bidang</w:t>
      </w:r>
      <w:proofErr w:type="spellEnd"/>
      <w:r w:rsidRPr="0044344D">
        <w:rPr>
          <w:rFonts w:ascii="Century" w:hAnsi="Century"/>
        </w:rPr>
        <w:t xml:space="preserve"> </w:t>
      </w:r>
      <w:proofErr w:type="spellStart"/>
      <w:r w:rsidRPr="0044344D">
        <w:rPr>
          <w:rFonts w:ascii="Century" w:hAnsi="Century"/>
        </w:rPr>
        <w:t>studi</w:t>
      </w:r>
      <w:proofErr w:type="spellEnd"/>
      <w:r w:rsidRPr="0044344D">
        <w:rPr>
          <w:rFonts w:ascii="Century" w:hAnsi="Century"/>
        </w:rPr>
        <w:t xml:space="preserve"> Teknik </w:t>
      </w:r>
      <w:proofErr w:type="spellStart"/>
      <w:r w:rsidRPr="0044344D">
        <w:rPr>
          <w:rFonts w:ascii="Century" w:hAnsi="Century"/>
        </w:rPr>
        <w:t>Elektro</w:t>
      </w:r>
      <w:proofErr w:type="spellEnd"/>
      <w:r w:rsidRPr="0044344D">
        <w:rPr>
          <w:rFonts w:ascii="Century" w:hAnsi="Century"/>
        </w:rPr>
        <w:t xml:space="preserve"> </w:t>
      </w:r>
      <w:proofErr w:type="spellStart"/>
      <w:r w:rsidRPr="0044344D">
        <w:rPr>
          <w:rFonts w:ascii="Century" w:hAnsi="Century"/>
        </w:rPr>
        <w:t>untuk</w:t>
      </w:r>
      <w:proofErr w:type="spellEnd"/>
      <w:r w:rsidRPr="0044344D">
        <w:rPr>
          <w:rFonts w:ascii="Century" w:hAnsi="Century"/>
        </w:rPr>
        <w:t xml:space="preserve"> </w:t>
      </w:r>
      <w:proofErr w:type="spellStart"/>
      <w:r w:rsidRPr="0044344D">
        <w:rPr>
          <w:rFonts w:ascii="Century" w:hAnsi="Century"/>
        </w:rPr>
        <w:t>memberikan</w:t>
      </w:r>
      <w:proofErr w:type="spellEnd"/>
      <w:r w:rsidRPr="0044344D">
        <w:rPr>
          <w:rFonts w:ascii="Century" w:hAnsi="Century"/>
        </w:rPr>
        <w:t xml:space="preserve"> </w:t>
      </w:r>
      <w:proofErr w:type="spellStart"/>
      <w:r w:rsidRPr="0044344D">
        <w:rPr>
          <w:rFonts w:ascii="Century" w:hAnsi="Century"/>
        </w:rPr>
        <w:t>pemahaman</w:t>
      </w:r>
      <w:proofErr w:type="spellEnd"/>
      <w:r w:rsidRPr="0044344D">
        <w:rPr>
          <w:rFonts w:ascii="Century" w:hAnsi="Century"/>
        </w:rPr>
        <w:t xml:space="preserve"> </w:t>
      </w:r>
      <w:proofErr w:type="spellStart"/>
      <w:r w:rsidRPr="0044344D">
        <w:rPr>
          <w:rFonts w:ascii="Century" w:hAnsi="Century"/>
        </w:rPr>
        <w:t>dasar</w:t>
      </w:r>
      <w:proofErr w:type="spellEnd"/>
      <w:r w:rsidRPr="0044344D">
        <w:rPr>
          <w:rFonts w:ascii="Century" w:hAnsi="Century"/>
        </w:rPr>
        <w:t xml:space="preserve"> </w:t>
      </w:r>
      <w:proofErr w:type="spellStart"/>
      <w:r w:rsidRPr="0044344D">
        <w:rPr>
          <w:rFonts w:ascii="Century" w:hAnsi="Century"/>
        </w:rPr>
        <w:t>kepada</w:t>
      </w:r>
      <w:proofErr w:type="spellEnd"/>
      <w:r w:rsidRPr="0044344D">
        <w:rPr>
          <w:rFonts w:ascii="Century" w:hAnsi="Century"/>
        </w:rPr>
        <w:t xml:space="preserve"> </w:t>
      </w:r>
      <w:proofErr w:type="spellStart"/>
      <w:r w:rsidRPr="0044344D">
        <w:rPr>
          <w:rFonts w:ascii="Century" w:hAnsi="Century"/>
        </w:rPr>
        <w:t>peserta</w:t>
      </w:r>
      <w:proofErr w:type="spellEnd"/>
      <w:r w:rsidRPr="0044344D">
        <w:rPr>
          <w:rFonts w:ascii="Century" w:hAnsi="Century"/>
        </w:rPr>
        <w:t xml:space="preserve"> </w:t>
      </w:r>
      <w:proofErr w:type="spellStart"/>
      <w:r w:rsidRPr="0044344D">
        <w:rPr>
          <w:rFonts w:ascii="Century" w:hAnsi="Century"/>
        </w:rPr>
        <w:t>mengenai</w:t>
      </w:r>
      <w:proofErr w:type="spellEnd"/>
      <w:r w:rsidRPr="0044344D">
        <w:rPr>
          <w:rFonts w:ascii="Century" w:hAnsi="Century"/>
        </w:rPr>
        <w:t xml:space="preserve"> </w:t>
      </w:r>
      <w:proofErr w:type="spellStart"/>
      <w:r w:rsidRPr="0044344D">
        <w:rPr>
          <w:rFonts w:ascii="Century" w:hAnsi="Century"/>
        </w:rPr>
        <w:t>cakupan</w:t>
      </w:r>
      <w:proofErr w:type="spellEnd"/>
      <w:r w:rsidRPr="0044344D">
        <w:rPr>
          <w:rFonts w:ascii="Century" w:hAnsi="Century"/>
        </w:rPr>
        <w:t xml:space="preserve"> dan </w:t>
      </w:r>
      <w:proofErr w:type="spellStart"/>
      <w:r w:rsidRPr="0044344D">
        <w:rPr>
          <w:rFonts w:ascii="Century" w:hAnsi="Century"/>
        </w:rPr>
        <w:t>peranannya</w:t>
      </w:r>
      <w:proofErr w:type="spellEnd"/>
      <w:r w:rsidRPr="0044344D">
        <w:rPr>
          <w:rFonts w:ascii="Century" w:hAnsi="Century"/>
        </w:rPr>
        <w:t xml:space="preserve"> </w:t>
      </w:r>
      <w:proofErr w:type="spellStart"/>
      <w:r w:rsidRPr="0044344D">
        <w:rPr>
          <w:rFonts w:ascii="Century" w:hAnsi="Century"/>
        </w:rPr>
        <w:t>dalam</w:t>
      </w:r>
      <w:proofErr w:type="spellEnd"/>
      <w:r w:rsidRPr="0044344D">
        <w:rPr>
          <w:rFonts w:ascii="Century" w:hAnsi="Century"/>
        </w:rPr>
        <w:t xml:space="preserve"> </w:t>
      </w:r>
      <w:proofErr w:type="spellStart"/>
      <w:r w:rsidRPr="0044344D">
        <w:rPr>
          <w:rFonts w:ascii="Century" w:hAnsi="Century"/>
        </w:rPr>
        <w:t>kehidupan</w:t>
      </w:r>
      <w:proofErr w:type="spellEnd"/>
      <w:r w:rsidRPr="0044344D">
        <w:rPr>
          <w:rFonts w:ascii="Century" w:hAnsi="Century"/>
        </w:rPr>
        <w:t xml:space="preserve"> </w:t>
      </w:r>
      <w:proofErr w:type="spellStart"/>
      <w:r w:rsidRPr="0044344D">
        <w:rPr>
          <w:rFonts w:ascii="Century" w:hAnsi="Century"/>
        </w:rPr>
        <w:t>sehari-hari</w:t>
      </w:r>
      <w:proofErr w:type="spellEnd"/>
      <w:r w:rsidRPr="0044344D">
        <w:rPr>
          <w:rFonts w:ascii="Century" w:hAnsi="Century"/>
        </w:rPr>
        <w:t xml:space="preserve">, yang </w:t>
      </w:r>
      <w:proofErr w:type="spellStart"/>
      <w:r w:rsidRPr="0044344D">
        <w:rPr>
          <w:rFonts w:ascii="Century" w:hAnsi="Century"/>
        </w:rPr>
        <w:t>disampaikan</w:t>
      </w:r>
      <w:proofErr w:type="spellEnd"/>
      <w:r w:rsidRPr="0044344D">
        <w:rPr>
          <w:rFonts w:ascii="Century" w:hAnsi="Century"/>
        </w:rPr>
        <w:t xml:space="preserve"> </w:t>
      </w:r>
      <w:proofErr w:type="spellStart"/>
      <w:r w:rsidRPr="0044344D">
        <w:rPr>
          <w:rFonts w:ascii="Century" w:hAnsi="Century"/>
        </w:rPr>
        <w:t>melalui</w:t>
      </w:r>
      <w:proofErr w:type="spellEnd"/>
      <w:r w:rsidRPr="0044344D">
        <w:rPr>
          <w:rFonts w:ascii="Century" w:hAnsi="Century"/>
        </w:rPr>
        <w:t xml:space="preserve"> </w:t>
      </w:r>
      <w:proofErr w:type="spellStart"/>
      <w:r w:rsidRPr="0044344D">
        <w:rPr>
          <w:rFonts w:ascii="Century" w:hAnsi="Century"/>
        </w:rPr>
        <w:t>presentasi</w:t>
      </w:r>
      <w:proofErr w:type="spellEnd"/>
      <w:r w:rsidRPr="0044344D">
        <w:rPr>
          <w:rFonts w:ascii="Century" w:hAnsi="Century"/>
        </w:rPr>
        <w:t xml:space="preserve"> </w:t>
      </w:r>
      <w:proofErr w:type="spellStart"/>
      <w:r w:rsidRPr="0044344D">
        <w:rPr>
          <w:rFonts w:ascii="Century" w:hAnsi="Century"/>
        </w:rPr>
        <w:t>interaktif</w:t>
      </w:r>
      <w:proofErr w:type="spellEnd"/>
      <w:r w:rsidRPr="0044344D">
        <w:rPr>
          <w:rFonts w:ascii="Century" w:hAnsi="Century"/>
        </w:rPr>
        <w:t xml:space="preserve">. </w:t>
      </w:r>
      <w:proofErr w:type="spellStart"/>
      <w:r w:rsidRPr="0044344D">
        <w:rPr>
          <w:rFonts w:ascii="Century" w:hAnsi="Century"/>
        </w:rPr>
        <w:t>Dilanjutkan</w:t>
      </w:r>
      <w:proofErr w:type="spellEnd"/>
      <w:r w:rsidRPr="0044344D">
        <w:rPr>
          <w:rFonts w:ascii="Century" w:hAnsi="Century"/>
        </w:rPr>
        <w:t xml:space="preserve"> </w:t>
      </w:r>
      <w:proofErr w:type="spellStart"/>
      <w:r w:rsidRPr="0044344D">
        <w:rPr>
          <w:rFonts w:ascii="Century" w:hAnsi="Century"/>
        </w:rPr>
        <w:t>dengan</w:t>
      </w:r>
      <w:proofErr w:type="spellEnd"/>
      <w:r w:rsidRPr="0044344D">
        <w:rPr>
          <w:rFonts w:ascii="Century" w:hAnsi="Century"/>
        </w:rPr>
        <w:t xml:space="preserve"> </w:t>
      </w:r>
      <w:proofErr w:type="spellStart"/>
      <w:r w:rsidRPr="0044344D">
        <w:rPr>
          <w:rFonts w:ascii="Century" w:hAnsi="Century"/>
        </w:rPr>
        <w:t>materi</w:t>
      </w:r>
      <w:proofErr w:type="spellEnd"/>
      <w:r w:rsidRPr="0044344D">
        <w:rPr>
          <w:rFonts w:ascii="Century" w:hAnsi="Century"/>
        </w:rPr>
        <w:t xml:space="preserve"> </w:t>
      </w:r>
      <w:proofErr w:type="spellStart"/>
      <w:r w:rsidRPr="0044344D">
        <w:rPr>
          <w:rFonts w:ascii="Century" w:hAnsi="Century"/>
        </w:rPr>
        <w:t>integrasi</w:t>
      </w:r>
      <w:proofErr w:type="spellEnd"/>
      <w:r w:rsidRPr="0044344D">
        <w:rPr>
          <w:rFonts w:ascii="Century" w:hAnsi="Century"/>
        </w:rPr>
        <w:t xml:space="preserve"> </w:t>
      </w:r>
      <w:proofErr w:type="spellStart"/>
      <w:r w:rsidRPr="0044344D">
        <w:rPr>
          <w:rFonts w:ascii="Century" w:hAnsi="Century"/>
        </w:rPr>
        <w:t>sistem</w:t>
      </w:r>
      <w:proofErr w:type="spellEnd"/>
      <w:r w:rsidRPr="0044344D">
        <w:rPr>
          <w:rFonts w:ascii="Century" w:hAnsi="Century"/>
        </w:rPr>
        <w:t xml:space="preserve"> smart grid pada </w:t>
      </w:r>
      <w:proofErr w:type="spellStart"/>
      <w:r w:rsidRPr="0044344D">
        <w:rPr>
          <w:rFonts w:ascii="Century" w:hAnsi="Century"/>
        </w:rPr>
        <w:t>jaringan</w:t>
      </w:r>
      <w:proofErr w:type="spellEnd"/>
      <w:r w:rsidRPr="0044344D">
        <w:rPr>
          <w:rFonts w:ascii="Century" w:hAnsi="Century"/>
        </w:rPr>
        <w:t xml:space="preserve"> </w:t>
      </w:r>
      <w:proofErr w:type="spellStart"/>
      <w:r w:rsidRPr="0044344D">
        <w:rPr>
          <w:rFonts w:ascii="Century" w:hAnsi="Century"/>
        </w:rPr>
        <w:t>listrik</w:t>
      </w:r>
      <w:proofErr w:type="spellEnd"/>
      <w:r w:rsidRPr="0044344D">
        <w:rPr>
          <w:rFonts w:ascii="Century" w:hAnsi="Century"/>
        </w:rPr>
        <w:t xml:space="preserve">, yang </w:t>
      </w:r>
      <w:proofErr w:type="spellStart"/>
      <w:r w:rsidRPr="0044344D">
        <w:rPr>
          <w:rFonts w:ascii="Century" w:hAnsi="Century"/>
        </w:rPr>
        <w:t>bertujuan</w:t>
      </w:r>
      <w:proofErr w:type="spellEnd"/>
      <w:r w:rsidRPr="0044344D">
        <w:rPr>
          <w:rFonts w:ascii="Century" w:hAnsi="Century"/>
        </w:rPr>
        <w:t xml:space="preserve"> </w:t>
      </w:r>
      <w:proofErr w:type="spellStart"/>
      <w:r w:rsidRPr="0044344D">
        <w:rPr>
          <w:rFonts w:ascii="Century" w:hAnsi="Century"/>
        </w:rPr>
        <w:t>memperkenalkan</w:t>
      </w:r>
      <w:proofErr w:type="spellEnd"/>
      <w:r w:rsidRPr="0044344D">
        <w:rPr>
          <w:rFonts w:ascii="Century" w:hAnsi="Century"/>
        </w:rPr>
        <w:t xml:space="preserve"> </w:t>
      </w:r>
      <w:proofErr w:type="spellStart"/>
      <w:r w:rsidRPr="0044344D">
        <w:rPr>
          <w:rFonts w:ascii="Century" w:hAnsi="Century"/>
        </w:rPr>
        <w:t>konsep</w:t>
      </w:r>
      <w:proofErr w:type="spellEnd"/>
      <w:r w:rsidRPr="0044344D">
        <w:rPr>
          <w:rFonts w:ascii="Century" w:hAnsi="Century"/>
        </w:rPr>
        <w:t xml:space="preserve"> </w:t>
      </w:r>
      <w:proofErr w:type="spellStart"/>
      <w:r w:rsidRPr="0044344D">
        <w:rPr>
          <w:rFonts w:ascii="Century" w:hAnsi="Century"/>
        </w:rPr>
        <w:t>sistem</w:t>
      </w:r>
      <w:proofErr w:type="spellEnd"/>
      <w:r w:rsidRPr="0044344D">
        <w:rPr>
          <w:rFonts w:ascii="Century" w:hAnsi="Century"/>
        </w:rPr>
        <w:t xml:space="preserve"> </w:t>
      </w:r>
      <w:proofErr w:type="spellStart"/>
      <w:r w:rsidRPr="0044344D">
        <w:rPr>
          <w:rFonts w:ascii="Century" w:hAnsi="Century"/>
        </w:rPr>
        <w:t>tenaga</w:t>
      </w:r>
      <w:proofErr w:type="spellEnd"/>
      <w:r w:rsidRPr="0044344D">
        <w:rPr>
          <w:rFonts w:ascii="Century" w:hAnsi="Century"/>
        </w:rPr>
        <w:t xml:space="preserve"> modern </w:t>
      </w:r>
      <w:proofErr w:type="spellStart"/>
      <w:r w:rsidRPr="0044344D">
        <w:rPr>
          <w:rFonts w:ascii="Century" w:hAnsi="Century"/>
        </w:rPr>
        <w:t>berbasis</w:t>
      </w:r>
      <w:proofErr w:type="spellEnd"/>
      <w:r w:rsidRPr="0044344D">
        <w:rPr>
          <w:rFonts w:ascii="Century" w:hAnsi="Century"/>
        </w:rPr>
        <w:t xml:space="preserve"> </w:t>
      </w:r>
      <w:proofErr w:type="spellStart"/>
      <w:r w:rsidRPr="0044344D">
        <w:rPr>
          <w:rFonts w:ascii="Century" w:hAnsi="Century"/>
        </w:rPr>
        <w:t>teknologi</w:t>
      </w:r>
      <w:proofErr w:type="spellEnd"/>
      <w:r w:rsidRPr="0044344D">
        <w:rPr>
          <w:rFonts w:ascii="Century" w:hAnsi="Century"/>
        </w:rPr>
        <w:t xml:space="preserve"> digital. </w:t>
      </w:r>
    </w:p>
    <w:p w14:paraId="1ECB85A9" w14:textId="77777777" w:rsidR="005D0273" w:rsidRDefault="005D0273" w:rsidP="005D0273">
      <w:pPr>
        <w:pStyle w:val="IEEEParagraph"/>
        <w:spacing w:line="276" w:lineRule="auto"/>
        <w:ind w:firstLine="426"/>
        <w:rPr>
          <w:rFonts w:ascii="Century" w:hAnsi="Century"/>
        </w:rPr>
      </w:pPr>
    </w:p>
    <w:p w14:paraId="5E28F25D" w14:textId="77777777" w:rsidR="005D0273" w:rsidRPr="0044344D" w:rsidRDefault="005D0273" w:rsidP="005D0273">
      <w:pPr>
        <w:spacing w:line="276" w:lineRule="auto"/>
        <w:jc w:val="center"/>
        <w:rPr>
          <w:rFonts w:ascii="Century" w:hAnsi="Century"/>
          <w:sz w:val="22"/>
          <w:szCs w:val="22"/>
          <w:lang w:val="sv-SE"/>
        </w:rPr>
      </w:pPr>
      <w:r w:rsidRPr="0044344D">
        <w:rPr>
          <w:rFonts w:ascii="Century" w:hAnsi="Century"/>
          <w:b/>
          <w:sz w:val="22"/>
          <w:szCs w:val="22"/>
          <w:lang w:val="sv-SE"/>
        </w:rPr>
        <w:t>Tabel</w:t>
      </w:r>
      <w:r w:rsidRPr="0044344D">
        <w:rPr>
          <w:rFonts w:ascii="Century" w:hAnsi="Century"/>
          <w:b/>
          <w:sz w:val="22"/>
          <w:szCs w:val="22"/>
          <w:lang w:val="id-ID"/>
        </w:rPr>
        <w:t xml:space="preserve"> 1</w:t>
      </w:r>
      <w:r w:rsidRPr="0044344D">
        <w:rPr>
          <w:rFonts w:ascii="Century" w:hAnsi="Century"/>
          <w:b/>
          <w:sz w:val="22"/>
          <w:szCs w:val="22"/>
          <w:lang w:val="en-US"/>
        </w:rPr>
        <w:t xml:space="preserve">. </w:t>
      </w:r>
      <w:r w:rsidRPr="0044344D">
        <w:rPr>
          <w:rFonts w:ascii="Century" w:hAnsi="Century"/>
          <w:sz w:val="22"/>
          <w:szCs w:val="22"/>
          <w:lang w:val="sv-SE"/>
        </w:rPr>
        <w:t>Urutan Pelaksanaan Pelatihan</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07"/>
        <w:gridCol w:w="1260"/>
        <w:gridCol w:w="3580"/>
        <w:gridCol w:w="3157"/>
      </w:tblGrid>
      <w:tr w:rsidR="005D0273" w:rsidRPr="0044344D" w14:paraId="564992DF" w14:textId="77777777" w:rsidTr="005D0273">
        <w:trPr>
          <w:jc w:val="center"/>
        </w:trPr>
        <w:tc>
          <w:tcPr>
            <w:tcW w:w="298" w:type="pct"/>
            <w:vAlign w:val="center"/>
          </w:tcPr>
          <w:p w14:paraId="63E6D231" w14:textId="77777777" w:rsidR="005D0273" w:rsidRPr="0044344D" w:rsidRDefault="005D0273" w:rsidP="005D0273">
            <w:pPr>
              <w:pStyle w:val="IEEETableCell"/>
              <w:jc w:val="center"/>
              <w:rPr>
                <w:rFonts w:ascii="Century" w:hAnsi="Century"/>
                <w:b/>
                <w:bCs/>
                <w:sz w:val="22"/>
                <w:szCs w:val="22"/>
              </w:rPr>
            </w:pPr>
            <w:r w:rsidRPr="0044344D">
              <w:rPr>
                <w:rFonts w:ascii="Century" w:hAnsi="Century"/>
                <w:b/>
                <w:bCs/>
                <w:sz w:val="22"/>
                <w:szCs w:val="22"/>
              </w:rPr>
              <w:t>No</w:t>
            </w:r>
          </w:p>
        </w:tc>
        <w:tc>
          <w:tcPr>
            <w:tcW w:w="741" w:type="pct"/>
            <w:vAlign w:val="center"/>
          </w:tcPr>
          <w:p w14:paraId="291A9E09" w14:textId="5C0D78D4" w:rsidR="005D0273" w:rsidRPr="0044344D" w:rsidRDefault="005D0273" w:rsidP="005D0273">
            <w:pPr>
              <w:pStyle w:val="IEEETableCell"/>
              <w:jc w:val="center"/>
              <w:rPr>
                <w:rFonts w:ascii="Century" w:hAnsi="Century"/>
                <w:b/>
                <w:bCs/>
                <w:sz w:val="22"/>
                <w:szCs w:val="22"/>
              </w:rPr>
            </w:pPr>
            <w:proofErr w:type="spellStart"/>
            <w:r w:rsidRPr="0044344D">
              <w:rPr>
                <w:rFonts w:ascii="Century" w:hAnsi="Century"/>
                <w:b/>
                <w:bCs/>
                <w:sz w:val="22"/>
                <w:szCs w:val="22"/>
              </w:rPr>
              <w:t>Durasi</w:t>
            </w:r>
            <w:proofErr w:type="spellEnd"/>
            <w:r w:rsidRPr="0044344D">
              <w:rPr>
                <w:rFonts w:ascii="Century" w:hAnsi="Century"/>
                <w:b/>
                <w:bCs/>
                <w:sz w:val="22"/>
                <w:szCs w:val="22"/>
              </w:rPr>
              <w:t xml:space="preserve"> </w:t>
            </w:r>
          </w:p>
        </w:tc>
        <w:tc>
          <w:tcPr>
            <w:tcW w:w="2105" w:type="pct"/>
            <w:vAlign w:val="center"/>
          </w:tcPr>
          <w:p w14:paraId="7D2D78E3" w14:textId="77777777" w:rsidR="005D0273" w:rsidRPr="0044344D" w:rsidRDefault="005D0273" w:rsidP="005D0273">
            <w:pPr>
              <w:pStyle w:val="IEEETableCell"/>
              <w:jc w:val="center"/>
              <w:rPr>
                <w:rFonts w:ascii="Century" w:hAnsi="Century"/>
                <w:b/>
                <w:bCs/>
                <w:sz w:val="22"/>
                <w:szCs w:val="22"/>
              </w:rPr>
            </w:pPr>
            <w:proofErr w:type="spellStart"/>
            <w:r w:rsidRPr="0044344D">
              <w:rPr>
                <w:rFonts w:ascii="Century" w:hAnsi="Century"/>
                <w:b/>
                <w:bCs/>
                <w:sz w:val="22"/>
                <w:szCs w:val="22"/>
              </w:rPr>
              <w:t>Aktifitas</w:t>
            </w:r>
            <w:proofErr w:type="spellEnd"/>
          </w:p>
        </w:tc>
        <w:tc>
          <w:tcPr>
            <w:tcW w:w="1857" w:type="pct"/>
            <w:vAlign w:val="center"/>
          </w:tcPr>
          <w:p w14:paraId="54839074" w14:textId="77777777" w:rsidR="005D0273" w:rsidRPr="0044344D" w:rsidRDefault="005D0273" w:rsidP="005D0273">
            <w:pPr>
              <w:pStyle w:val="IEEETableCell"/>
              <w:jc w:val="center"/>
              <w:rPr>
                <w:rFonts w:ascii="Century" w:hAnsi="Century"/>
                <w:b/>
                <w:bCs/>
                <w:sz w:val="22"/>
                <w:szCs w:val="22"/>
              </w:rPr>
            </w:pPr>
            <w:proofErr w:type="spellStart"/>
            <w:r w:rsidRPr="0044344D">
              <w:rPr>
                <w:rFonts w:ascii="Century" w:hAnsi="Century"/>
                <w:b/>
                <w:bCs/>
                <w:sz w:val="22"/>
                <w:szCs w:val="22"/>
              </w:rPr>
              <w:t>Jenis</w:t>
            </w:r>
            <w:proofErr w:type="spellEnd"/>
            <w:r w:rsidRPr="0044344D">
              <w:rPr>
                <w:rFonts w:ascii="Century" w:hAnsi="Century"/>
                <w:b/>
                <w:bCs/>
                <w:sz w:val="22"/>
                <w:szCs w:val="22"/>
              </w:rPr>
              <w:t xml:space="preserve"> </w:t>
            </w:r>
            <w:proofErr w:type="spellStart"/>
            <w:r w:rsidRPr="0044344D">
              <w:rPr>
                <w:rFonts w:ascii="Century" w:hAnsi="Century"/>
                <w:b/>
                <w:bCs/>
                <w:sz w:val="22"/>
                <w:szCs w:val="22"/>
              </w:rPr>
              <w:t>Kegiatan</w:t>
            </w:r>
            <w:proofErr w:type="spellEnd"/>
          </w:p>
        </w:tc>
      </w:tr>
      <w:tr w:rsidR="005D0273" w:rsidRPr="0044344D" w14:paraId="2698EBC5" w14:textId="77777777" w:rsidTr="005D0273">
        <w:trPr>
          <w:jc w:val="center"/>
        </w:trPr>
        <w:tc>
          <w:tcPr>
            <w:tcW w:w="298" w:type="pct"/>
          </w:tcPr>
          <w:p w14:paraId="5F9461F5" w14:textId="77777777" w:rsidR="005D0273" w:rsidRPr="0044344D" w:rsidRDefault="005D0273" w:rsidP="005D0273">
            <w:pPr>
              <w:pStyle w:val="IEEETableCell"/>
              <w:rPr>
                <w:rFonts w:ascii="Century" w:hAnsi="Century"/>
                <w:sz w:val="22"/>
                <w:szCs w:val="22"/>
              </w:rPr>
            </w:pPr>
            <w:r w:rsidRPr="0044344D">
              <w:rPr>
                <w:rFonts w:ascii="Century" w:hAnsi="Century"/>
                <w:sz w:val="22"/>
                <w:szCs w:val="22"/>
              </w:rPr>
              <w:t>1</w:t>
            </w:r>
          </w:p>
        </w:tc>
        <w:tc>
          <w:tcPr>
            <w:tcW w:w="741" w:type="pct"/>
          </w:tcPr>
          <w:p w14:paraId="5A7ED1E3" w14:textId="2719126D" w:rsidR="005D0273" w:rsidRPr="0044344D" w:rsidRDefault="005D0273" w:rsidP="005D0273">
            <w:pPr>
              <w:pStyle w:val="IEEETableCell"/>
              <w:rPr>
                <w:rFonts w:ascii="Century" w:hAnsi="Century"/>
                <w:sz w:val="22"/>
                <w:szCs w:val="22"/>
              </w:rPr>
            </w:pPr>
            <w:r w:rsidRPr="0044344D">
              <w:rPr>
                <w:rFonts w:ascii="Century" w:hAnsi="Century"/>
                <w:sz w:val="22"/>
                <w:szCs w:val="22"/>
              </w:rPr>
              <w:t>30</w:t>
            </w:r>
            <w:r>
              <w:rPr>
                <w:rFonts w:ascii="Century" w:hAnsi="Century"/>
                <w:sz w:val="22"/>
                <w:szCs w:val="22"/>
              </w:rPr>
              <w:t xml:space="preserve"> </w:t>
            </w:r>
            <w:proofErr w:type="spellStart"/>
            <w:r>
              <w:rPr>
                <w:rFonts w:ascii="Century" w:hAnsi="Century"/>
                <w:sz w:val="22"/>
                <w:szCs w:val="22"/>
              </w:rPr>
              <w:t>Menit</w:t>
            </w:r>
            <w:proofErr w:type="spellEnd"/>
          </w:p>
        </w:tc>
        <w:tc>
          <w:tcPr>
            <w:tcW w:w="2105" w:type="pct"/>
          </w:tcPr>
          <w:p w14:paraId="4E46E228" w14:textId="77777777" w:rsidR="005D0273" w:rsidRPr="0044344D" w:rsidRDefault="005D0273" w:rsidP="005D0273">
            <w:pPr>
              <w:pStyle w:val="IEEETableCell"/>
              <w:rPr>
                <w:rFonts w:ascii="Century" w:hAnsi="Century"/>
                <w:sz w:val="22"/>
                <w:szCs w:val="22"/>
              </w:rPr>
            </w:pPr>
            <w:proofErr w:type="spellStart"/>
            <w:r w:rsidRPr="0044344D">
              <w:rPr>
                <w:rFonts w:ascii="Century" w:hAnsi="Century"/>
                <w:sz w:val="22"/>
                <w:szCs w:val="22"/>
              </w:rPr>
              <w:t>Pengenalan</w:t>
            </w:r>
            <w:proofErr w:type="spellEnd"/>
            <w:r w:rsidRPr="0044344D">
              <w:rPr>
                <w:rFonts w:ascii="Century" w:hAnsi="Century"/>
                <w:sz w:val="22"/>
                <w:szCs w:val="22"/>
              </w:rPr>
              <w:t xml:space="preserve"> </w:t>
            </w:r>
            <w:proofErr w:type="spellStart"/>
            <w:r w:rsidRPr="0044344D">
              <w:rPr>
                <w:rFonts w:ascii="Century" w:hAnsi="Century"/>
                <w:sz w:val="22"/>
                <w:szCs w:val="22"/>
              </w:rPr>
              <w:t>Bidang</w:t>
            </w:r>
            <w:proofErr w:type="spellEnd"/>
            <w:r w:rsidRPr="0044344D">
              <w:rPr>
                <w:rFonts w:ascii="Century" w:hAnsi="Century"/>
                <w:sz w:val="22"/>
                <w:szCs w:val="22"/>
              </w:rPr>
              <w:t xml:space="preserve"> </w:t>
            </w:r>
            <w:proofErr w:type="spellStart"/>
            <w:r w:rsidRPr="0044344D">
              <w:rPr>
                <w:rFonts w:ascii="Century" w:hAnsi="Century"/>
                <w:sz w:val="22"/>
                <w:szCs w:val="22"/>
              </w:rPr>
              <w:t>Studi</w:t>
            </w:r>
            <w:proofErr w:type="spellEnd"/>
            <w:r w:rsidRPr="0044344D">
              <w:rPr>
                <w:rFonts w:ascii="Century" w:hAnsi="Century"/>
                <w:sz w:val="22"/>
                <w:szCs w:val="22"/>
              </w:rPr>
              <w:t xml:space="preserve"> Teknik </w:t>
            </w:r>
            <w:proofErr w:type="spellStart"/>
            <w:r w:rsidRPr="0044344D">
              <w:rPr>
                <w:rFonts w:ascii="Century" w:hAnsi="Century"/>
                <w:sz w:val="22"/>
                <w:szCs w:val="22"/>
              </w:rPr>
              <w:t>Elektro</w:t>
            </w:r>
            <w:proofErr w:type="spellEnd"/>
          </w:p>
        </w:tc>
        <w:tc>
          <w:tcPr>
            <w:tcW w:w="1857" w:type="pct"/>
            <w:vAlign w:val="center"/>
          </w:tcPr>
          <w:p w14:paraId="105EF991" w14:textId="77777777" w:rsidR="005D0273" w:rsidRPr="0044344D" w:rsidRDefault="005D0273" w:rsidP="005D0273">
            <w:pPr>
              <w:pStyle w:val="IEEETableCell"/>
              <w:jc w:val="center"/>
              <w:rPr>
                <w:rFonts w:ascii="Century" w:hAnsi="Century"/>
                <w:sz w:val="22"/>
                <w:szCs w:val="22"/>
              </w:rPr>
            </w:pPr>
            <w:proofErr w:type="spellStart"/>
            <w:r w:rsidRPr="0044344D">
              <w:rPr>
                <w:rFonts w:ascii="Century" w:hAnsi="Century"/>
                <w:sz w:val="22"/>
                <w:szCs w:val="22"/>
              </w:rPr>
              <w:t>Presentasi</w:t>
            </w:r>
            <w:proofErr w:type="spellEnd"/>
          </w:p>
        </w:tc>
      </w:tr>
      <w:tr w:rsidR="005D0273" w:rsidRPr="0044344D" w14:paraId="3128F25A" w14:textId="77777777" w:rsidTr="005D0273">
        <w:trPr>
          <w:jc w:val="center"/>
        </w:trPr>
        <w:tc>
          <w:tcPr>
            <w:tcW w:w="298" w:type="pct"/>
          </w:tcPr>
          <w:p w14:paraId="5399B1F7" w14:textId="77777777" w:rsidR="005D0273" w:rsidRPr="0044344D" w:rsidRDefault="005D0273" w:rsidP="005D0273">
            <w:pPr>
              <w:pStyle w:val="IEEETableCell"/>
              <w:rPr>
                <w:rFonts w:ascii="Century" w:hAnsi="Century"/>
                <w:sz w:val="22"/>
                <w:szCs w:val="22"/>
              </w:rPr>
            </w:pPr>
            <w:r w:rsidRPr="0044344D">
              <w:rPr>
                <w:rFonts w:ascii="Century" w:hAnsi="Century"/>
                <w:sz w:val="22"/>
                <w:szCs w:val="22"/>
              </w:rPr>
              <w:t>2</w:t>
            </w:r>
          </w:p>
        </w:tc>
        <w:tc>
          <w:tcPr>
            <w:tcW w:w="741" w:type="pct"/>
          </w:tcPr>
          <w:p w14:paraId="4A4D42EC" w14:textId="75943AC4" w:rsidR="005D0273" w:rsidRPr="0044344D" w:rsidRDefault="005D0273" w:rsidP="005D0273">
            <w:pPr>
              <w:pStyle w:val="IEEETableCell"/>
              <w:rPr>
                <w:rFonts w:ascii="Century" w:hAnsi="Century"/>
                <w:sz w:val="22"/>
                <w:szCs w:val="22"/>
              </w:rPr>
            </w:pPr>
            <w:r w:rsidRPr="0044344D">
              <w:rPr>
                <w:rFonts w:ascii="Century" w:hAnsi="Century"/>
                <w:sz w:val="22"/>
                <w:szCs w:val="22"/>
              </w:rPr>
              <w:t>30</w:t>
            </w:r>
            <w:r>
              <w:rPr>
                <w:rFonts w:ascii="Century" w:hAnsi="Century"/>
                <w:sz w:val="22"/>
                <w:szCs w:val="22"/>
              </w:rPr>
              <w:t xml:space="preserve"> </w:t>
            </w:r>
            <w:proofErr w:type="spellStart"/>
            <w:r>
              <w:rPr>
                <w:rFonts w:ascii="Century" w:hAnsi="Century"/>
                <w:sz w:val="22"/>
                <w:szCs w:val="22"/>
              </w:rPr>
              <w:t>Menit</w:t>
            </w:r>
            <w:proofErr w:type="spellEnd"/>
          </w:p>
        </w:tc>
        <w:tc>
          <w:tcPr>
            <w:tcW w:w="2105" w:type="pct"/>
          </w:tcPr>
          <w:p w14:paraId="110D2AAF" w14:textId="77777777" w:rsidR="005D0273" w:rsidRPr="0044344D" w:rsidRDefault="005D0273" w:rsidP="005D0273">
            <w:pPr>
              <w:pStyle w:val="IEEETableCell"/>
              <w:rPr>
                <w:rFonts w:ascii="Century" w:hAnsi="Century"/>
                <w:sz w:val="22"/>
                <w:szCs w:val="22"/>
              </w:rPr>
            </w:pPr>
            <w:r w:rsidRPr="0044344D">
              <w:rPr>
                <w:rFonts w:ascii="Century" w:hAnsi="Century"/>
                <w:sz w:val="22"/>
                <w:szCs w:val="22"/>
              </w:rPr>
              <w:t xml:space="preserve">Integrasi </w:t>
            </w:r>
            <w:proofErr w:type="spellStart"/>
            <w:r w:rsidRPr="0044344D">
              <w:rPr>
                <w:rFonts w:ascii="Century" w:hAnsi="Century"/>
                <w:sz w:val="22"/>
                <w:szCs w:val="22"/>
              </w:rPr>
              <w:t>Sistem</w:t>
            </w:r>
            <w:proofErr w:type="spellEnd"/>
            <w:r w:rsidRPr="0044344D">
              <w:rPr>
                <w:rFonts w:ascii="Century" w:hAnsi="Century"/>
                <w:sz w:val="22"/>
                <w:szCs w:val="22"/>
              </w:rPr>
              <w:t xml:space="preserve"> Smart Grid pada </w:t>
            </w:r>
            <w:proofErr w:type="spellStart"/>
            <w:r w:rsidRPr="0044344D">
              <w:rPr>
                <w:rFonts w:ascii="Century" w:hAnsi="Century"/>
                <w:sz w:val="22"/>
                <w:szCs w:val="22"/>
              </w:rPr>
              <w:t>Jaringan</w:t>
            </w:r>
            <w:proofErr w:type="spellEnd"/>
            <w:r w:rsidRPr="0044344D">
              <w:rPr>
                <w:rFonts w:ascii="Century" w:hAnsi="Century"/>
                <w:sz w:val="22"/>
                <w:szCs w:val="22"/>
              </w:rPr>
              <w:t xml:space="preserve"> Listrik</w:t>
            </w:r>
          </w:p>
        </w:tc>
        <w:tc>
          <w:tcPr>
            <w:tcW w:w="1857" w:type="pct"/>
            <w:vAlign w:val="center"/>
          </w:tcPr>
          <w:p w14:paraId="412B31F9" w14:textId="77777777" w:rsidR="005D0273" w:rsidRPr="0044344D" w:rsidRDefault="005D0273" w:rsidP="005D0273">
            <w:pPr>
              <w:pStyle w:val="IEEETableCell"/>
              <w:jc w:val="center"/>
              <w:rPr>
                <w:rFonts w:ascii="Century" w:hAnsi="Century"/>
                <w:sz w:val="22"/>
                <w:szCs w:val="22"/>
              </w:rPr>
            </w:pPr>
            <w:proofErr w:type="spellStart"/>
            <w:r w:rsidRPr="0044344D">
              <w:rPr>
                <w:rFonts w:ascii="Century" w:hAnsi="Century"/>
                <w:sz w:val="22"/>
                <w:szCs w:val="22"/>
              </w:rPr>
              <w:t>Presentasi</w:t>
            </w:r>
            <w:proofErr w:type="spellEnd"/>
          </w:p>
        </w:tc>
      </w:tr>
      <w:tr w:rsidR="005D0273" w:rsidRPr="0044344D" w14:paraId="2D2F768A" w14:textId="77777777" w:rsidTr="005D0273">
        <w:trPr>
          <w:jc w:val="center"/>
        </w:trPr>
        <w:tc>
          <w:tcPr>
            <w:tcW w:w="298" w:type="pct"/>
          </w:tcPr>
          <w:p w14:paraId="0AE638D2" w14:textId="77777777" w:rsidR="005D0273" w:rsidRPr="0044344D" w:rsidRDefault="005D0273" w:rsidP="005D0273">
            <w:pPr>
              <w:pStyle w:val="IEEETableCell"/>
              <w:rPr>
                <w:rFonts w:ascii="Century" w:hAnsi="Century"/>
                <w:sz w:val="22"/>
                <w:szCs w:val="22"/>
              </w:rPr>
            </w:pPr>
            <w:r w:rsidRPr="0044344D">
              <w:rPr>
                <w:rFonts w:ascii="Century" w:hAnsi="Century"/>
                <w:sz w:val="22"/>
                <w:szCs w:val="22"/>
              </w:rPr>
              <w:t>3</w:t>
            </w:r>
          </w:p>
        </w:tc>
        <w:tc>
          <w:tcPr>
            <w:tcW w:w="741" w:type="pct"/>
          </w:tcPr>
          <w:p w14:paraId="3D1E86C3" w14:textId="48E87EE0" w:rsidR="005D0273" w:rsidRPr="0044344D" w:rsidRDefault="005D0273" w:rsidP="005D0273">
            <w:pPr>
              <w:pStyle w:val="IEEETableCell"/>
              <w:rPr>
                <w:rFonts w:ascii="Century" w:hAnsi="Century"/>
                <w:sz w:val="22"/>
                <w:szCs w:val="22"/>
              </w:rPr>
            </w:pPr>
            <w:r w:rsidRPr="0044344D">
              <w:rPr>
                <w:rFonts w:ascii="Century" w:hAnsi="Century"/>
                <w:sz w:val="22"/>
                <w:szCs w:val="22"/>
              </w:rPr>
              <w:t>30</w:t>
            </w:r>
            <w:r>
              <w:rPr>
                <w:rFonts w:ascii="Century" w:hAnsi="Century"/>
                <w:sz w:val="22"/>
                <w:szCs w:val="22"/>
              </w:rPr>
              <w:t xml:space="preserve"> </w:t>
            </w:r>
            <w:proofErr w:type="spellStart"/>
            <w:r>
              <w:rPr>
                <w:rFonts w:ascii="Century" w:hAnsi="Century"/>
                <w:sz w:val="22"/>
                <w:szCs w:val="22"/>
              </w:rPr>
              <w:t>Menit</w:t>
            </w:r>
            <w:proofErr w:type="spellEnd"/>
          </w:p>
        </w:tc>
        <w:tc>
          <w:tcPr>
            <w:tcW w:w="2105" w:type="pct"/>
          </w:tcPr>
          <w:p w14:paraId="5724C2B3" w14:textId="77777777" w:rsidR="005D0273" w:rsidRPr="0044344D" w:rsidRDefault="005D0273" w:rsidP="005D0273">
            <w:pPr>
              <w:pStyle w:val="IEEETableCell"/>
              <w:rPr>
                <w:rFonts w:ascii="Century" w:hAnsi="Century"/>
                <w:sz w:val="22"/>
                <w:szCs w:val="22"/>
              </w:rPr>
            </w:pPr>
            <w:proofErr w:type="spellStart"/>
            <w:r w:rsidRPr="0044344D">
              <w:rPr>
                <w:rFonts w:ascii="Century" w:hAnsi="Century"/>
                <w:sz w:val="22"/>
                <w:szCs w:val="22"/>
              </w:rPr>
              <w:t>Pengukuran</w:t>
            </w:r>
            <w:proofErr w:type="spellEnd"/>
            <w:r w:rsidRPr="0044344D">
              <w:rPr>
                <w:rFonts w:ascii="Century" w:hAnsi="Century"/>
                <w:sz w:val="22"/>
                <w:szCs w:val="22"/>
              </w:rPr>
              <w:t xml:space="preserve"> </w:t>
            </w:r>
            <w:proofErr w:type="spellStart"/>
            <w:r w:rsidRPr="0044344D">
              <w:rPr>
                <w:rFonts w:ascii="Century" w:hAnsi="Century"/>
                <w:sz w:val="22"/>
                <w:szCs w:val="22"/>
              </w:rPr>
              <w:t>Kualitas</w:t>
            </w:r>
            <w:proofErr w:type="spellEnd"/>
            <w:r w:rsidRPr="0044344D">
              <w:rPr>
                <w:rFonts w:ascii="Century" w:hAnsi="Century"/>
                <w:sz w:val="22"/>
                <w:szCs w:val="22"/>
              </w:rPr>
              <w:t xml:space="preserve"> </w:t>
            </w:r>
            <w:proofErr w:type="spellStart"/>
            <w:r w:rsidRPr="0044344D">
              <w:rPr>
                <w:rFonts w:ascii="Century" w:hAnsi="Century"/>
                <w:sz w:val="22"/>
                <w:szCs w:val="22"/>
              </w:rPr>
              <w:t>Daya</w:t>
            </w:r>
            <w:proofErr w:type="spellEnd"/>
            <w:r w:rsidRPr="0044344D">
              <w:rPr>
                <w:rFonts w:ascii="Century" w:hAnsi="Century"/>
                <w:sz w:val="22"/>
                <w:szCs w:val="22"/>
              </w:rPr>
              <w:t xml:space="preserve"> Listrik</w:t>
            </w:r>
          </w:p>
        </w:tc>
        <w:tc>
          <w:tcPr>
            <w:tcW w:w="1857" w:type="pct"/>
            <w:vAlign w:val="center"/>
          </w:tcPr>
          <w:p w14:paraId="384E4164" w14:textId="77777777" w:rsidR="005D0273" w:rsidRPr="0044344D" w:rsidRDefault="005D0273" w:rsidP="005D0273">
            <w:pPr>
              <w:pStyle w:val="IEEETableCell"/>
              <w:jc w:val="center"/>
              <w:rPr>
                <w:rFonts w:ascii="Century" w:hAnsi="Century"/>
                <w:sz w:val="22"/>
                <w:szCs w:val="22"/>
              </w:rPr>
            </w:pPr>
            <w:proofErr w:type="spellStart"/>
            <w:r w:rsidRPr="0044344D">
              <w:rPr>
                <w:rFonts w:ascii="Century" w:hAnsi="Century"/>
                <w:sz w:val="22"/>
                <w:szCs w:val="22"/>
              </w:rPr>
              <w:t>Praktik</w:t>
            </w:r>
            <w:proofErr w:type="spellEnd"/>
            <w:r w:rsidRPr="0044344D">
              <w:rPr>
                <w:rFonts w:ascii="Century" w:hAnsi="Century"/>
                <w:sz w:val="22"/>
                <w:szCs w:val="22"/>
              </w:rPr>
              <w:t xml:space="preserve"> Alat </w:t>
            </w:r>
            <w:proofErr w:type="spellStart"/>
            <w:r w:rsidRPr="0044344D">
              <w:rPr>
                <w:rFonts w:ascii="Century" w:hAnsi="Century"/>
                <w:sz w:val="22"/>
                <w:szCs w:val="22"/>
              </w:rPr>
              <w:t>Ukur</w:t>
            </w:r>
            <w:proofErr w:type="spellEnd"/>
            <w:r w:rsidRPr="0044344D">
              <w:rPr>
                <w:rFonts w:ascii="Century" w:hAnsi="Century"/>
                <w:sz w:val="22"/>
                <w:szCs w:val="22"/>
              </w:rPr>
              <w:t xml:space="preserve"> </w:t>
            </w:r>
            <w:proofErr w:type="spellStart"/>
            <w:r w:rsidRPr="0044344D">
              <w:rPr>
                <w:rFonts w:ascii="Century" w:hAnsi="Century"/>
                <w:sz w:val="22"/>
                <w:szCs w:val="22"/>
              </w:rPr>
              <w:t>Hioki</w:t>
            </w:r>
            <w:proofErr w:type="spellEnd"/>
            <w:r w:rsidRPr="0044344D">
              <w:rPr>
                <w:rFonts w:ascii="Century" w:hAnsi="Century"/>
                <w:sz w:val="22"/>
                <w:szCs w:val="22"/>
              </w:rPr>
              <w:t xml:space="preserve"> dan Online Power Monitoring</w:t>
            </w:r>
          </w:p>
        </w:tc>
      </w:tr>
      <w:tr w:rsidR="005D0273" w:rsidRPr="0044344D" w14:paraId="7713CA78" w14:textId="77777777" w:rsidTr="005D0273">
        <w:trPr>
          <w:jc w:val="center"/>
        </w:trPr>
        <w:tc>
          <w:tcPr>
            <w:tcW w:w="298" w:type="pct"/>
          </w:tcPr>
          <w:p w14:paraId="10E3647A" w14:textId="77777777" w:rsidR="005D0273" w:rsidRPr="0044344D" w:rsidRDefault="005D0273" w:rsidP="005D0273">
            <w:pPr>
              <w:pStyle w:val="IEEETableCell"/>
              <w:rPr>
                <w:rFonts w:ascii="Century" w:hAnsi="Century"/>
                <w:sz w:val="22"/>
                <w:szCs w:val="22"/>
              </w:rPr>
            </w:pPr>
            <w:r w:rsidRPr="0044344D">
              <w:rPr>
                <w:rFonts w:ascii="Century" w:hAnsi="Century"/>
                <w:sz w:val="22"/>
                <w:szCs w:val="22"/>
              </w:rPr>
              <w:t>4</w:t>
            </w:r>
          </w:p>
        </w:tc>
        <w:tc>
          <w:tcPr>
            <w:tcW w:w="741" w:type="pct"/>
          </w:tcPr>
          <w:p w14:paraId="7E9255B6" w14:textId="43090C4D" w:rsidR="005D0273" w:rsidRPr="0044344D" w:rsidRDefault="005D0273" w:rsidP="005D0273">
            <w:pPr>
              <w:pStyle w:val="IEEETableCell"/>
              <w:rPr>
                <w:rFonts w:ascii="Century" w:hAnsi="Century"/>
                <w:sz w:val="22"/>
                <w:szCs w:val="22"/>
              </w:rPr>
            </w:pPr>
            <w:r w:rsidRPr="0044344D">
              <w:rPr>
                <w:rFonts w:ascii="Century" w:hAnsi="Century"/>
                <w:sz w:val="22"/>
                <w:szCs w:val="22"/>
              </w:rPr>
              <w:t>30</w:t>
            </w:r>
            <w:r>
              <w:rPr>
                <w:rFonts w:ascii="Century" w:hAnsi="Century"/>
                <w:sz w:val="22"/>
                <w:szCs w:val="22"/>
              </w:rPr>
              <w:t xml:space="preserve"> </w:t>
            </w:r>
            <w:proofErr w:type="spellStart"/>
            <w:r>
              <w:rPr>
                <w:rFonts w:ascii="Century" w:hAnsi="Century"/>
                <w:sz w:val="22"/>
                <w:szCs w:val="22"/>
              </w:rPr>
              <w:t>Menit</w:t>
            </w:r>
            <w:proofErr w:type="spellEnd"/>
          </w:p>
        </w:tc>
        <w:tc>
          <w:tcPr>
            <w:tcW w:w="2105" w:type="pct"/>
          </w:tcPr>
          <w:p w14:paraId="4EEF2C90" w14:textId="77777777" w:rsidR="005D0273" w:rsidRPr="0044344D" w:rsidRDefault="005D0273" w:rsidP="005D0273">
            <w:pPr>
              <w:pStyle w:val="IEEETableCell"/>
              <w:rPr>
                <w:rFonts w:ascii="Century" w:hAnsi="Century"/>
                <w:sz w:val="22"/>
                <w:szCs w:val="22"/>
              </w:rPr>
            </w:pPr>
            <w:proofErr w:type="spellStart"/>
            <w:r w:rsidRPr="0044344D">
              <w:rPr>
                <w:rFonts w:ascii="Century" w:hAnsi="Century"/>
                <w:sz w:val="22"/>
                <w:szCs w:val="22"/>
              </w:rPr>
              <w:t>Penggunaan</w:t>
            </w:r>
            <w:proofErr w:type="spellEnd"/>
            <w:r w:rsidRPr="0044344D">
              <w:rPr>
                <w:rFonts w:ascii="Century" w:hAnsi="Century"/>
                <w:sz w:val="22"/>
                <w:szCs w:val="22"/>
              </w:rPr>
              <w:t xml:space="preserve"> Power Station </w:t>
            </w:r>
            <w:proofErr w:type="spellStart"/>
            <w:r w:rsidRPr="0044344D">
              <w:rPr>
                <w:rFonts w:ascii="Century" w:hAnsi="Century"/>
                <w:sz w:val="22"/>
                <w:szCs w:val="22"/>
              </w:rPr>
              <w:t>Portabel</w:t>
            </w:r>
            <w:proofErr w:type="spellEnd"/>
            <w:r w:rsidRPr="0044344D">
              <w:rPr>
                <w:rFonts w:ascii="Century" w:hAnsi="Century"/>
                <w:sz w:val="22"/>
                <w:szCs w:val="22"/>
              </w:rPr>
              <w:t xml:space="preserve"> </w:t>
            </w:r>
            <w:proofErr w:type="spellStart"/>
            <w:r w:rsidRPr="0044344D">
              <w:rPr>
                <w:rFonts w:ascii="Century" w:hAnsi="Century"/>
                <w:sz w:val="22"/>
                <w:szCs w:val="22"/>
              </w:rPr>
              <w:t>menggunakan</w:t>
            </w:r>
            <w:proofErr w:type="spellEnd"/>
            <w:r w:rsidRPr="0044344D">
              <w:rPr>
                <w:rFonts w:ascii="Century" w:hAnsi="Century"/>
                <w:sz w:val="22"/>
                <w:szCs w:val="22"/>
              </w:rPr>
              <w:t xml:space="preserve"> Solar Panel</w:t>
            </w:r>
          </w:p>
        </w:tc>
        <w:tc>
          <w:tcPr>
            <w:tcW w:w="1857" w:type="pct"/>
            <w:vAlign w:val="center"/>
          </w:tcPr>
          <w:p w14:paraId="488D7D7C" w14:textId="77777777" w:rsidR="005D0273" w:rsidRPr="0044344D" w:rsidRDefault="005D0273" w:rsidP="005D0273">
            <w:pPr>
              <w:pStyle w:val="IEEETableCell"/>
              <w:jc w:val="center"/>
              <w:rPr>
                <w:rFonts w:ascii="Century" w:hAnsi="Century"/>
                <w:sz w:val="22"/>
                <w:szCs w:val="22"/>
              </w:rPr>
            </w:pPr>
            <w:proofErr w:type="spellStart"/>
            <w:r w:rsidRPr="0044344D">
              <w:rPr>
                <w:rFonts w:ascii="Century" w:hAnsi="Century"/>
                <w:sz w:val="22"/>
                <w:szCs w:val="22"/>
              </w:rPr>
              <w:t>Praktik</w:t>
            </w:r>
            <w:proofErr w:type="spellEnd"/>
            <w:r w:rsidRPr="0044344D">
              <w:rPr>
                <w:rFonts w:ascii="Century" w:hAnsi="Century"/>
                <w:sz w:val="22"/>
                <w:szCs w:val="22"/>
              </w:rPr>
              <w:t xml:space="preserve"> </w:t>
            </w:r>
            <w:proofErr w:type="spellStart"/>
            <w:r w:rsidRPr="0044344D">
              <w:rPr>
                <w:rFonts w:ascii="Century" w:hAnsi="Century"/>
                <w:sz w:val="22"/>
                <w:szCs w:val="22"/>
              </w:rPr>
              <w:t>Pemasangan</w:t>
            </w:r>
            <w:proofErr w:type="spellEnd"/>
            <w:r w:rsidRPr="0044344D">
              <w:rPr>
                <w:rFonts w:ascii="Century" w:hAnsi="Century"/>
                <w:sz w:val="22"/>
                <w:szCs w:val="22"/>
              </w:rPr>
              <w:t xml:space="preserve"> </w:t>
            </w:r>
            <w:proofErr w:type="spellStart"/>
            <w:r w:rsidRPr="0044344D">
              <w:rPr>
                <w:rFonts w:ascii="Century" w:hAnsi="Century"/>
                <w:sz w:val="22"/>
                <w:szCs w:val="22"/>
              </w:rPr>
              <w:t>Portabel</w:t>
            </w:r>
            <w:proofErr w:type="spellEnd"/>
            <w:r w:rsidRPr="0044344D">
              <w:rPr>
                <w:rFonts w:ascii="Century" w:hAnsi="Century"/>
                <w:sz w:val="22"/>
                <w:szCs w:val="22"/>
              </w:rPr>
              <w:t xml:space="preserve"> Solar Power Station</w:t>
            </w:r>
          </w:p>
        </w:tc>
      </w:tr>
    </w:tbl>
    <w:p w14:paraId="7216A027" w14:textId="77777777" w:rsidR="00845A15" w:rsidRPr="0044344D" w:rsidRDefault="00845A15" w:rsidP="00070FDA">
      <w:pPr>
        <w:pStyle w:val="IEEEParagraph"/>
        <w:spacing w:line="276" w:lineRule="auto"/>
        <w:rPr>
          <w:rFonts w:ascii="Century" w:hAnsi="Century"/>
          <w:sz w:val="22"/>
          <w:szCs w:val="22"/>
        </w:rPr>
      </w:pPr>
    </w:p>
    <w:p w14:paraId="690ADBE5" w14:textId="77777777" w:rsidR="00845A15" w:rsidRPr="0044344D" w:rsidRDefault="00845A15" w:rsidP="005D0273">
      <w:pPr>
        <w:pStyle w:val="IEEEFigure"/>
        <w:numPr>
          <w:ilvl w:val="6"/>
          <w:numId w:val="17"/>
        </w:numPr>
        <w:spacing w:line="276" w:lineRule="auto"/>
        <w:ind w:left="426" w:hanging="426"/>
        <w:jc w:val="left"/>
        <w:rPr>
          <w:rFonts w:ascii="Century" w:hAnsi="Century"/>
          <w:b/>
          <w:shd w:val="clear" w:color="auto" w:fill="FFFFFF"/>
          <w:lang w:val="id-ID"/>
        </w:rPr>
      </w:pPr>
      <w:proofErr w:type="spellStart"/>
      <w:r w:rsidRPr="0044344D">
        <w:rPr>
          <w:rStyle w:val="mediumtext"/>
          <w:rFonts w:ascii="Century" w:hAnsi="Century"/>
          <w:b/>
          <w:shd w:val="clear" w:color="auto" w:fill="FFFFFF"/>
        </w:rPr>
        <w:t>Pelaksanaan</w:t>
      </w:r>
      <w:proofErr w:type="spellEnd"/>
      <w:r w:rsidRPr="0044344D">
        <w:rPr>
          <w:rStyle w:val="mediumtext"/>
          <w:rFonts w:ascii="Century" w:hAnsi="Century"/>
          <w:b/>
          <w:shd w:val="clear" w:color="auto" w:fill="FFFFFF"/>
        </w:rPr>
        <w:t xml:space="preserve"> </w:t>
      </w:r>
      <w:proofErr w:type="spellStart"/>
      <w:r w:rsidRPr="0044344D">
        <w:rPr>
          <w:rStyle w:val="mediumtext"/>
          <w:rFonts w:ascii="Century" w:hAnsi="Century"/>
          <w:b/>
          <w:shd w:val="clear" w:color="auto" w:fill="FFFFFF"/>
        </w:rPr>
        <w:t>Kegiatan</w:t>
      </w:r>
      <w:proofErr w:type="spellEnd"/>
      <w:r w:rsidRPr="0044344D">
        <w:rPr>
          <w:rStyle w:val="mediumtext"/>
          <w:rFonts w:ascii="Century" w:hAnsi="Century"/>
          <w:b/>
          <w:shd w:val="clear" w:color="auto" w:fill="FFFFFF"/>
        </w:rPr>
        <w:t xml:space="preserve"> </w:t>
      </w:r>
      <w:proofErr w:type="spellStart"/>
      <w:r w:rsidRPr="0044344D">
        <w:rPr>
          <w:rStyle w:val="mediumtext"/>
          <w:rFonts w:ascii="Century" w:hAnsi="Century"/>
          <w:b/>
          <w:shd w:val="clear" w:color="auto" w:fill="FFFFFF"/>
        </w:rPr>
        <w:t>Pelatihan</w:t>
      </w:r>
      <w:proofErr w:type="spellEnd"/>
      <w:r w:rsidRPr="0044344D">
        <w:rPr>
          <w:rStyle w:val="mediumtext"/>
          <w:rFonts w:ascii="Century" w:hAnsi="Century"/>
          <w:b/>
          <w:shd w:val="clear" w:color="auto" w:fill="FFFFFF"/>
        </w:rPr>
        <w:t xml:space="preserve"> dan </w:t>
      </w:r>
      <w:proofErr w:type="spellStart"/>
      <w:r w:rsidRPr="0044344D">
        <w:rPr>
          <w:rStyle w:val="mediumtext"/>
          <w:rFonts w:ascii="Century" w:hAnsi="Century"/>
          <w:b/>
          <w:shd w:val="clear" w:color="auto" w:fill="FFFFFF"/>
        </w:rPr>
        <w:t>Diseminasi</w:t>
      </w:r>
      <w:proofErr w:type="spellEnd"/>
    </w:p>
    <w:p w14:paraId="60A2D767" w14:textId="7CA8576C" w:rsidR="004978A0" w:rsidRPr="0044344D" w:rsidRDefault="004978A0" w:rsidP="005D0273">
      <w:pPr>
        <w:pStyle w:val="IEEEParagraph"/>
        <w:spacing w:line="276" w:lineRule="auto"/>
        <w:ind w:firstLine="426"/>
        <w:rPr>
          <w:rFonts w:ascii="Century" w:hAnsi="Century"/>
        </w:rPr>
      </w:pPr>
      <w:r w:rsidRPr="0044344D">
        <w:rPr>
          <w:rFonts w:ascii="Century" w:hAnsi="Century"/>
        </w:rPr>
        <w:t xml:space="preserve">Pada </w:t>
      </w:r>
      <w:proofErr w:type="spellStart"/>
      <w:r w:rsidRPr="0044344D">
        <w:rPr>
          <w:rFonts w:ascii="Century" w:hAnsi="Century"/>
        </w:rPr>
        <w:t>sesi</w:t>
      </w:r>
      <w:proofErr w:type="spellEnd"/>
      <w:r w:rsidRPr="0044344D">
        <w:rPr>
          <w:rFonts w:ascii="Century" w:hAnsi="Century"/>
        </w:rPr>
        <w:t xml:space="preserve"> </w:t>
      </w:r>
      <w:proofErr w:type="spellStart"/>
      <w:r w:rsidRPr="0044344D">
        <w:rPr>
          <w:rFonts w:ascii="Century" w:hAnsi="Century"/>
        </w:rPr>
        <w:t>pelatihan</w:t>
      </w:r>
      <w:proofErr w:type="spellEnd"/>
      <w:r w:rsidRPr="0044344D">
        <w:rPr>
          <w:rFonts w:ascii="Century" w:hAnsi="Century"/>
        </w:rPr>
        <w:t xml:space="preserve">, </w:t>
      </w:r>
      <w:proofErr w:type="spellStart"/>
      <w:r w:rsidRPr="0044344D">
        <w:rPr>
          <w:rFonts w:ascii="Century" w:hAnsi="Century"/>
        </w:rPr>
        <w:t>tepatnya</w:t>
      </w:r>
      <w:proofErr w:type="spellEnd"/>
      <w:r w:rsidRPr="0044344D">
        <w:rPr>
          <w:rFonts w:ascii="Century" w:hAnsi="Century"/>
        </w:rPr>
        <w:t xml:space="preserve"> pada </w:t>
      </w:r>
      <w:proofErr w:type="spellStart"/>
      <w:r w:rsidRPr="0044344D">
        <w:rPr>
          <w:rFonts w:ascii="Century" w:hAnsi="Century"/>
        </w:rPr>
        <w:t>sesi</w:t>
      </w:r>
      <w:proofErr w:type="spellEnd"/>
      <w:r w:rsidRPr="0044344D">
        <w:rPr>
          <w:rFonts w:ascii="Century" w:hAnsi="Century"/>
        </w:rPr>
        <w:t xml:space="preserve"> </w:t>
      </w:r>
      <w:proofErr w:type="spellStart"/>
      <w:r w:rsidRPr="0044344D">
        <w:rPr>
          <w:rFonts w:ascii="Century" w:hAnsi="Century"/>
        </w:rPr>
        <w:t>ketiga</w:t>
      </w:r>
      <w:proofErr w:type="spellEnd"/>
      <w:r w:rsidRPr="0044344D">
        <w:rPr>
          <w:rFonts w:ascii="Century" w:hAnsi="Century"/>
        </w:rPr>
        <w:t xml:space="preserve">, </w:t>
      </w:r>
      <w:proofErr w:type="spellStart"/>
      <w:r w:rsidRPr="0044344D">
        <w:rPr>
          <w:rFonts w:ascii="Century" w:hAnsi="Century"/>
        </w:rPr>
        <w:t>peserta</w:t>
      </w:r>
      <w:proofErr w:type="spellEnd"/>
      <w:r w:rsidRPr="0044344D">
        <w:rPr>
          <w:rFonts w:ascii="Century" w:hAnsi="Century"/>
        </w:rPr>
        <w:t xml:space="preserve"> </w:t>
      </w:r>
      <w:proofErr w:type="spellStart"/>
      <w:r w:rsidRPr="0044344D">
        <w:rPr>
          <w:rFonts w:ascii="Century" w:hAnsi="Century"/>
        </w:rPr>
        <w:t>diberikan</w:t>
      </w:r>
      <w:proofErr w:type="spellEnd"/>
      <w:r w:rsidRPr="0044344D">
        <w:rPr>
          <w:rFonts w:ascii="Century" w:hAnsi="Century"/>
        </w:rPr>
        <w:t xml:space="preserve"> </w:t>
      </w:r>
      <w:proofErr w:type="spellStart"/>
      <w:r w:rsidRPr="0044344D">
        <w:rPr>
          <w:rFonts w:ascii="Century" w:hAnsi="Century"/>
        </w:rPr>
        <w:t>pelatihan</w:t>
      </w:r>
      <w:proofErr w:type="spellEnd"/>
      <w:r w:rsidRPr="0044344D">
        <w:rPr>
          <w:rFonts w:ascii="Century" w:hAnsi="Century"/>
        </w:rPr>
        <w:t xml:space="preserve"> </w:t>
      </w:r>
      <w:proofErr w:type="spellStart"/>
      <w:r w:rsidRPr="0044344D">
        <w:rPr>
          <w:rFonts w:ascii="Century" w:hAnsi="Century"/>
        </w:rPr>
        <w:t>pengukuran</w:t>
      </w:r>
      <w:proofErr w:type="spellEnd"/>
      <w:r w:rsidRPr="0044344D">
        <w:rPr>
          <w:rFonts w:ascii="Century" w:hAnsi="Century"/>
        </w:rPr>
        <w:t xml:space="preserve"> </w:t>
      </w:r>
      <w:proofErr w:type="spellStart"/>
      <w:r w:rsidRPr="0044344D">
        <w:rPr>
          <w:rFonts w:ascii="Century" w:hAnsi="Century"/>
        </w:rPr>
        <w:t>kualitas</w:t>
      </w:r>
      <w:proofErr w:type="spellEnd"/>
      <w:r w:rsidRPr="0044344D">
        <w:rPr>
          <w:rFonts w:ascii="Century" w:hAnsi="Century"/>
        </w:rPr>
        <w:t xml:space="preserve"> </w:t>
      </w:r>
      <w:proofErr w:type="spellStart"/>
      <w:r w:rsidRPr="0044344D">
        <w:rPr>
          <w:rFonts w:ascii="Century" w:hAnsi="Century"/>
        </w:rPr>
        <w:t>daya</w:t>
      </w:r>
      <w:proofErr w:type="spellEnd"/>
      <w:r w:rsidRPr="0044344D">
        <w:rPr>
          <w:rFonts w:ascii="Century" w:hAnsi="Century"/>
        </w:rPr>
        <w:t xml:space="preserve"> </w:t>
      </w:r>
      <w:proofErr w:type="spellStart"/>
      <w:r w:rsidRPr="0044344D">
        <w:rPr>
          <w:rFonts w:ascii="Century" w:hAnsi="Century"/>
        </w:rPr>
        <w:t>listrik</w:t>
      </w:r>
      <w:proofErr w:type="spellEnd"/>
      <w:r w:rsidRPr="0044344D">
        <w:rPr>
          <w:rFonts w:ascii="Century" w:hAnsi="Century"/>
        </w:rPr>
        <w:t xml:space="preserve"> </w:t>
      </w:r>
      <w:proofErr w:type="spellStart"/>
      <w:r w:rsidRPr="0044344D">
        <w:rPr>
          <w:rFonts w:ascii="Century" w:hAnsi="Century"/>
        </w:rPr>
        <w:t>menggunakan</w:t>
      </w:r>
      <w:proofErr w:type="spellEnd"/>
      <w:r w:rsidRPr="0044344D">
        <w:rPr>
          <w:rFonts w:ascii="Century" w:hAnsi="Century"/>
        </w:rPr>
        <w:t xml:space="preserve"> </w:t>
      </w:r>
      <w:proofErr w:type="spellStart"/>
      <w:r w:rsidRPr="0044344D">
        <w:rPr>
          <w:rFonts w:ascii="Century" w:hAnsi="Century"/>
        </w:rPr>
        <w:t>alat</w:t>
      </w:r>
      <w:proofErr w:type="spellEnd"/>
      <w:r w:rsidRPr="0044344D">
        <w:rPr>
          <w:rFonts w:ascii="Century" w:hAnsi="Century"/>
        </w:rPr>
        <w:t xml:space="preserve"> </w:t>
      </w:r>
      <w:proofErr w:type="spellStart"/>
      <w:r w:rsidRPr="0044344D">
        <w:rPr>
          <w:rFonts w:ascii="Century" w:hAnsi="Century"/>
        </w:rPr>
        <w:t>ukur</w:t>
      </w:r>
      <w:proofErr w:type="spellEnd"/>
      <w:r w:rsidRPr="0044344D">
        <w:rPr>
          <w:rFonts w:ascii="Century" w:hAnsi="Century"/>
        </w:rPr>
        <w:t xml:space="preserve"> </w:t>
      </w:r>
      <w:proofErr w:type="spellStart"/>
      <w:r w:rsidRPr="0044344D">
        <w:rPr>
          <w:rFonts w:ascii="Century" w:hAnsi="Century"/>
        </w:rPr>
        <w:t>Hioki</w:t>
      </w:r>
      <w:proofErr w:type="spellEnd"/>
      <w:r w:rsidRPr="0044344D">
        <w:rPr>
          <w:rFonts w:ascii="Century" w:hAnsi="Century"/>
        </w:rPr>
        <w:t xml:space="preserve"> dan </w:t>
      </w:r>
      <w:proofErr w:type="spellStart"/>
      <w:r w:rsidRPr="0044344D">
        <w:rPr>
          <w:rFonts w:ascii="Century" w:hAnsi="Century"/>
        </w:rPr>
        <w:t>sistem</w:t>
      </w:r>
      <w:proofErr w:type="spellEnd"/>
      <w:r w:rsidRPr="0044344D">
        <w:rPr>
          <w:rFonts w:ascii="Century" w:hAnsi="Century"/>
        </w:rPr>
        <w:t xml:space="preserve"> online power monitoring, yang </w:t>
      </w:r>
      <w:proofErr w:type="spellStart"/>
      <w:r w:rsidRPr="0044344D">
        <w:rPr>
          <w:rFonts w:ascii="Century" w:hAnsi="Century"/>
        </w:rPr>
        <w:t>memperkuat</w:t>
      </w:r>
      <w:proofErr w:type="spellEnd"/>
      <w:r w:rsidRPr="0044344D">
        <w:rPr>
          <w:rFonts w:ascii="Century" w:hAnsi="Century"/>
        </w:rPr>
        <w:t xml:space="preserve"> </w:t>
      </w:r>
      <w:proofErr w:type="spellStart"/>
      <w:r w:rsidRPr="0044344D">
        <w:rPr>
          <w:rFonts w:ascii="Century" w:hAnsi="Century"/>
        </w:rPr>
        <w:t>keterampilan</w:t>
      </w:r>
      <w:proofErr w:type="spellEnd"/>
      <w:r w:rsidRPr="0044344D">
        <w:rPr>
          <w:rFonts w:ascii="Century" w:hAnsi="Century"/>
        </w:rPr>
        <w:t xml:space="preserve"> </w:t>
      </w:r>
      <w:proofErr w:type="spellStart"/>
      <w:r w:rsidRPr="0044344D">
        <w:rPr>
          <w:rFonts w:ascii="Century" w:hAnsi="Century"/>
        </w:rPr>
        <w:t>teknis</w:t>
      </w:r>
      <w:proofErr w:type="spellEnd"/>
      <w:r w:rsidRPr="0044344D">
        <w:rPr>
          <w:rFonts w:ascii="Century" w:hAnsi="Century"/>
        </w:rPr>
        <w:t xml:space="preserve"> </w:t>
      </w:r>
      <w:proofErr w:type="spellStart"/>
      <w:r w:rsidRPr="0044344D">
        <w:rPr>
          <w:rFonts w:ascii="Century" w:hAnsi="Century"/>
        </w:rPr>
        <w:t>peserta</w:t>
      </w:r>
      <w:proofErr w:type="spellEnd"/>
      <w:r w:rsidRPr="0044344D">
        <w:rPr>
          <w:rFonts w:ascii="Century" w:hAnsi="Century"/>
        </w:rPr>
        <w:t xml:space="preserve"> </w:t>
      </w:r>
      <w:proofErr w:type="spellStart"/>
      <w:r w:rsidRPr="0044344D">
        <w:rPr>
          <w:rFonts w:ascii="Century" w:hAnsi="Century"/>
        </w:rPr>
        <w:t>dalam</w:t>
      </w:r>
      <w:proofErr w:type="spellEnd"/>
      <w:r w:rsidRPr="0044344D">
        <w:rPr>
          <w:rFonts w:ascii="Century" w:hAnsi="Century"/>
        </w:rPr>
        <w:t xml:space="preserve"> </w:t>
      </w:r>
      <w:proofErr w:type="spellStart"/>
      <w:r w:rsidRPr="0044344D">
        <w:rPr>
          <w:rFonts w:ascii="Century" w:hAnsi="Century"/>
        </w:rPr>
        <w:t>membaca</w:t>
      </w:r>
      <w:proofErr w:type="spellEnd"/>
      <w:r w:rsidRPr="0044344D">
        <w:rPr>
          <w:rFonts w:ascii="Century" w:hAnsi="Century"/>
        </w:rPr>
        <w:t xml:space="preserve"> dan </w:t>
      </w:r>
      <w:proofErr w:type="spellStart"/>
      <w:r w:rsidRPr="0044344D">
        <w:rPr>
          <w:rFonts w:ascii="Century" w:hAnsi="Century"/>
        </w:rPr>
        <w:t>menganalisis</w:t>
      </w:r>
      <w:proofErr w:type="spellEnd"/>
      <w:r w:rsidRPr="0044344D">
        <w:rPr>
          <w:rFonts w:ascii="Century" w:hAnsi="Century"/>
        </w:rPr>
        <w:t xml:space="preserve"> parameter </w:t>
      </w:r>
      <w:proofErr w:type="spellStart"/>
      <w:r w:rsidRPr="0044344D">
        <w:rPr>
          <w:rFonts w:ascii="Century" w:hAnsi="Century"/>
        </w:rPr>
        <w:t>kelistrikan</w:t>
      </w:r>
      <w:proofErr w:type="spellEnd"/>
      <w:r w:rsidRPr="0044344D">
        <w:rPr>
          <w:rFonts w:ascii="Century" w:hAnsi="Century"/>
        </w:rPr>
        <w:t xml:space="preserve">. </w:t>
      </w:r>
      <w:proofErr w:type="spellStart"/>
      <w:r w:rsidRPr="0044344D">
        <w:rPr>
          <w:rFonts w:ascii="Century" w:hAnsi="Century"/>
        </w:rPr>
        <w:t>Sesi</w:t>
      </w:r>
      <w:proofErr w:type="spellEnd"/>
      <w:r w:rsidRPr="0044344D">
        <w:rPr>
          <w:rFonts w:ascii="Century" w:hAnsi="Century"/>
        </w:rPr>
        <w:t xml:space="preserve"> </w:t>
      </w:r>
      <w:proofErr w:type="spellStart"/>
      <w:r w:rsidRPr="0044344D">
        <w:rPr>
          <w:rFonts w:ascii="Century" w:hAnsi="Century"/>
        </w:rPr>
        <w:t>terakhir</w:t>
      </w:r>
      <w:proofErr w:type="spellEnd"/>
      <w:r w:rsidRPr="0044344D">
        <w:rPr>
          <w:rFonts w:ascii="Century" w:hAnsi="Century"/>
        </w:rPr>
        <w:t xml:space="preserve"> </w:t>
      </w:r>
      <w:proofErr w:type="spellStart"/>
      <w:r w:rsidRPr="0044344D">
        <w:rPr>
          <w:rFonts w:ascii="Century" w:hAnsi="Century"/>
        </w:rPr>
        <w:t>ditutup</w:t>
      </w:r>
      <w:proofErr w:type="spellEnd"/>
      <w:r w:rsidRPr="0044344D">
        <w:rPr>
          <w:rFonts w:ascii="Century" w:hAnsi="Century"/>
        </w:rPr>
        <w:t xml:space="preserve"> </w:t>
      </w:r>
      <w:proofErr w:type="spellStart"/>
      <w:r w:rsidRPr="0044344D">
        <w:rPr>
          <w:rFonts w:ascii="Century" w:hAnsi="Century"/>
        </w:rPr>
        <w:t>dengan</w:t>
      </w:r>
      <w:proofErr w:type="spellEnd"/>
      <w:r w:rsidRPr="0044344D">
        <w:rPr>
          <w:rFonts w:ascii="Century" w:hAnsi="Century"/>
        </w:rPr>
        <w:t xml:space="preserve"> </w:t>
      </w:r>
      <w:proofErr w:type="spellStart"/>
      <w:r w:rsidRPr="0044344D">
        <w:rPr>
          <w:rFonts w:ascii="Century" w:hAnsi="Century"/>
        </w:rPr>
        <w:t>praktik</w:t>
      </w:r>
      <w:proofErr w:type="spellEnd"/>
      <w:r w:rsidRPr="0044344D">
        <w:rPr>
          <w:rFonts w:ascii="Century" w:hAnsi="Century"/>
        </w:rPr>
        <w:t xml:space="preserve"> </w:t>
      </w:r>
      <w:proofErr w:type="spellStart"/>
      <w:r w:rsidRPr="0044344D">
        <w:rPr>
          <w:rFonts w:ascii="Century" w:hAnsi="Century"/>
        </w:rPr>
        <w:t>penggunaan</w:t>
      </w:r>
      <w:proofErr w:type="spellEnd"/>
      <w:r w:rsidRPr="0044344D">
        <w:rPr>
          <w:rFonts w:ascii="Century" w:hAnsi="Century"/>
        </w:rPr>
        <w:t xml:space="preserve"> dan </w:t>
      </w:r>
      <w:proofErr w:type="spellStart"/>
      <w:r w:rsidRPr="0044344D">
        <w:rPr>
          <w:rFonts w:ascii="Century" w:hAnsi="Century"/>
        </w:rPr>
        <w:t>pemasangan</w:t>
      </w:r>
      <w:proofErr w:type="spellEnd"/>
      <w:r w:rsidRPr="0044344D">
        <w:rPr>
          <w:rFonts w:ascii="Century" w:hAnsi="Century"/>
        </w:rPr>
        <w:t xml:space="preserve"> portable solar power station, yang </w:t>
      </w:r>
      <w:proofErr w:type="spellStart"/>
      <w:r w:rsidRPr="0044344D">
        <w:rPr>
          <w:rFonts w:ascii="Century" w:hAnsi="Century"/>
        </w:rPr>
        <w:t>menjadi</w:t>
      </w:r>
      <w:proofErr w:type="spellEnd"/>
      <w:r w:rsidRPr="0044344D">
        <w:rPr>
          <w:rFonts w:ascii="Century" w:hAnsi="Century"/>
        </w:rPr>
        <w:t xml:space="preserve"> inti </w:t>
      </w:r>
      <w:proofErr w:type="spellStart"/>
      <w:r w:rsidRPr="0044344D">
        <w:rPr>
          <w:rFonts w:ascii="Century" w:hAnsi="Century"/>
        </w:rPr>
        <w:t>dari</w:t>
      </w:r>
      <w:proofErr w:type="spellEnd"/>
      <w:r w:rsidRPr="0044344D">
        <w:rPr>
          <w:rFonts w:ascii="Century" w:hAnsi="Century"/>
        </w:rPr>
        <w:t xml:space="preserve"> </w:t>
      </w:r>
      <w:proofErr w:type="spellStart"/>
      <w:r w:rsidRPr="0044344D">
        <w:rPr>
          <w:rFonts w:ascii="Century" w:hAnsi="Century"/>
        </w:rPr>
        <w:t>pengenalan</w:t>
      </w:r>
      <w:proofErr w:type="spellEnd"/>
      <w:r w:rsidRPr="0044344D">
        <w:rPr>
          <w:rFonts w:ascii="Century" w:hAnsi="Century"/>
        </w:rPr>
        <w:t xml:space="preserve"> </w:t>
      </w:r>
      <w:proofErr w:type="spellStart"/>
      <w:r w:rsidRPr="0044344D">
        <w:rPr>
          <w:rFonts w:ascii="Century" w:hAnsi="Century"/>
        </w:rPr>
        <w:t>teknologi</w:t>
      </w:r>
      <w:proofErr w:type="spellEnd"/>
      <w:r w:rsidRPr="0044344D">
        <w:rPr>
          <w:rFonts w:ascii="Century" w:hAnsi="Century"/>
        </w:rPr>
        <w:t xml:space="preserve"> </w:t>
      </w:r>
      <w:proofErr w:type="spellStart"/>
      <w:r w:rsidRPr="0044344D">
        <w:rPr>
          <w:rFonts w:ascii="Century" w:hAnsi="Century"/>
        </w:rPr>
        <w:t>energi</w:t>
      </w:r>
      <w:proofErr w:type="spellEnd"/>
      <w:r w:rsidRPr="0044344D">
        <w:rPr>
          <w:rFonts w:ascii="Century" w:hAnsi="Century"/>
        </w:rPr>
        <w:t xml:space="preserve"> </w:t>
      </w:r>
      <w:proofErr w:type="spellStart"/>
      <w:r w:rsidRPr="0044344D">
        <w:rPr>
          <w:rFonts w:ascii="Century" w:hAnsi="Century"/>
        </w:rPr>
        <w:t>terbarukan</w:t>
      </w:r>
      <w:proofErr w:type="spellEnd"/>
      <w:r w:rsidRPr="0044344D">
        <w:rPr>
          <w:rFonts w:ascii="Century" w:hAnsi="Century"/>
        </w:rPr>
        <w:t xml:space="preserve"> </w:t>
      </w:r>
      <w:proofErr w:type="spellStart"/>
      <w:r w:rsidRPr="0044344D">
        <w:rPr>
          <w:rFonts w:ascii="Century" w:hAnsi="Century"/>
        </w:rPr>
        <w:t>dalam</w:t>
      </w:r>
      <w:proofErr w:type="spellEnd"/>
      <w:r w:rsidRPr="0044344D">
        <w:rPr>
          <w:rFonts w:ascii="Century" w:hAnsi="Century"/>
        </w:rPr>
        <w:t xml:space="preserve"> </w:t>
      </w:r>
      <w:proofErr w:type="spellStart"/>
      <w:r w:rsidRPr="0044344D">
        <w:rPr>
          <w:rFonts w:ascii="Century" w:hAnsi="Century"/>
        </w:rPr>
        <w:t>bentuk</w:t>
      </w:r>
      <w:proofErr w:type="spellEnd"/>
      <w:r w:rsidRPr="0044344D">
        <w:rPr>
          <w:rFonts w:ascii="Century" w:hAnsi="Century"/>
        </w:rPr>
        <w:t xml:space="preserve"> </w:t>
      </w:r>
      <w:proofErr w:type="spellStart"/>
      <w:r w:rsidRPr="0044344D">
        <w:rPr>
          <w:rFonts w:ascii="Century" w:hAnsi="Century"/>
        </w:rPr>
        <w:t>aplikasi</w:t>
      </w:r>
      <w:proofErr w:type="spellEnd"/>
      <w:r w:rsidRPr="0044344D">
        <w:rPr>
          <w:rFonts w:ascii="Century" w:hAnsi="Century"/>
        </w:rPr>
        <w:t xml:space="preserve"> </w:t>
      </w:r>
      <w:proofErr w:type="spellStart"/>
      <w:r w:rsidRPr="0044344D">
        <w:rPr>
          <w:rFonts w:ascii="Century" w:hAnsi="Century"/>
        </w:rPr>
        <w:t>langsung</w:t>
      </w:r>
      <w:proofErr w:type="spellEnd"/>
      <w:r w:rsidRPr="0044344D">
        <w:rPr>
          <w:rFonts w:ascii="Century" w:hAnsi="Century"/>
        </w:rPr>
        <w:t xml:space="preserve">. </w:t>
      </w:r>
      <w:proofErr w:type="spellStart"/>
      <w:r w:rsidRPr="0044344D">
        <w:rPr>
          <w:rFonts w:ascii="Century" w:hAnsi="Century"/>
        </w:rPr>
        <w:t>Rangkaian</w:t>
      </w:r>
      <w:proofErr w:type="spellEnd"/>
      <w:r w:rsidRPr="0044344D">
        <w:rPr>
          <w:rFonts w:ascii="Century" w:hAnsi="Century"/>
        </w:rPr>
        <w:t xml:space="preserve"> </w:t>
      </w:r>
      <w:proofErr w:type="spellStart"/>
      <w:r w:rsidRPr="0044344D">
        <w:rPr>
          <w:rFonts w:ascii="Century" w:hAnsi="Century"/>
        </w:rPr>
        <w:t>kegiatan</w:t>
      </w:r>
      <w:proofErr w:type="spellEnd"/>
      <w:r w:rsidRPr="0044344D">
        <w:rPr>
          <w:rFonts w:ascii="Century" w:hAnsi="Century"/>
        </w:rPr>
        <w:t xml:space="preserve"> </w:t>
      </w:r>
      <w:proofErr w:type="spellStart"/>
      <w:r w:rsidRPr="0044344D">
        <w:rPr>
          <w:rFonts w:ascii="Century" w:hAnsi="Century"/>
        </w:rPr>
        <w:t>ini</w:t>
      </w:r>
      <w:proofErr w:type="spellEnd"/>
      <w:r w:rsidRPr="0044344D">
        <w:rPr>
          <w:rFonts w:ascii="Century" w:hAnsi="Century"/>
        </w:rPr>
        <w:t xml:space="preserve"> </w:t>
      </w:r>
      <w:proofErr w:type="spellStart"/>
      <w:r w:rsidRPr="0044344D">
        <w:rPr>
          <w:rFonts w:ascii="Century" w:hAnsi="Century"/>
        </w:rPr>
        <w:t>dirancang</w:t>
      </w:r>
      <w:proofErr w:type="spellEnd"/>
      <w:r w:rsidRPr="0044344D">
        <w:rPr>
          <w:rFonts w:ascii="Century" w:hAnsi="Century"/>
        </w:rPr>
        <w:t xml:space="preserve"> </w:t>
      </w:r>
      <w:proofErr w:type="spellStart"/>
      <w:r w:rsidRPr="0044344D">
        <w:rPr>
          <w:rFonts w:ascii="Century" w:hAnsi="Century"/>
        </w:rPr>
        <w:t>untuk</w:t>
      </w:r>
      <w:proofErr w:type="spellEnd"/>
      <w:r w:rsidRPr="0044344D">
        <w:rPr>
          <w:rFonts w:ascii="Century" w:hAnsi="Century"/>
        </w:rPr>
        <w:t xml:space="preserve"> </w:t>
      </w:r>
      <w:proofErr w:type="spellStart"/>
      <w:r w:rsidRPr="0044344D">
        <w:rPr>
          <w:rFonts w:ascii="Century" w:hAnsi="Century"/>
        </w:rPr>
        <w:t>meningkatkan</w:t>
      </w:r>
      <w:proofErr w:type="spellEnd"/>
      <w:r w:rsidRPr="0044344D">
        <w:rPr>
          <w:rFonts w:ascii="Century" w:hAnsi="Century"/>
        </w:rPr>
        <w:t xml:space="preserve"> </w:t>
      </w:r>
      <w:proofErr w:type="spellStart"/>
      <w:r w:rsidRPr="0044344D">
        <w:rPr>
          <w:rFonts w:ascii="Century" w:hAnsi="Century"/>
        </w:rPr>
        <w:t>pemahaman</w:t>
      </w:r>
      <w:proofErr w:type="spellEnd"/>
      <w:r w:rsidRPr="0044344D">
        <w:rPr>
          <w:rFonts w:ascii="Century" w:hAnsi="Century"/>
        </w:rPr>
        <w:t xml:space="preserve"> </w:t>
      </w:r>
      <w:proofErr w:type="spellStart"/>
      <w:r w:rsidRPr="0044344D">
        <w:rPr>
          <w:rFonts w:ascii="Century" w:hAnsi="Century"/>
        </w:rPr>
        <w:t>konseptual</w:t>
      </w:r>
      <w:proofErr w:type="spellEnd"/>
      <w:r w:rsidRPr="0044344D">
        <w:rPr>
          <w:rFonts w:ascii="Century" w:hAnsi="Century"/>
        </w:rPr>
        <w:t xml:space="preserve"> </w:t>
      </w:r>
      <w:proofErr w:type="spellStart"/>
      <w:r w:rsidRPr="0044344D">
        <w:rPr>
          <w:rFonts w:ascii="Century" w:hAnsi="Century"/>
        </w:rPr>
        <w:t>sekaligus</w:t>
      </w:r>
      <w:proofErr w:type="spellEnd"/>
      <w:r w:rsidRPr="0044344D">
        <w:rPr>
          <w:rFonts w:ascii="Century" w:hAnsi="Century"/>
        </w:rPr>
        <w:t xml:space="preserve"> </w:t>
      </w:r>
      <w:proofErr w:type="spellStart"/>
      <w:r w:rsidRPr="0044344D">
        <w:rPr>
          <w:rFonts w:ascii="Century" w:hAnsi="Century"/>
        </w:rPr>
        <w:t>keterampilan</w:t>
      </w:r>
      <w:proofErr w:type="spellEnd"/>
      <w:r w:rsidRPr="0044344D">
        <w:rPr>
          <w:rFonts w:ascii="Century" w:hAnsi="Century"/>
        </w:rPr>
        <w:t xml:space="preserve"> </w:t>
      </w:r>
      <w:proofErr w:type="spellStart"/>
      <w:r w:rsidRPr="0044344D">
        <w:rPr>
          <w:rFonts w:ascii="Century" w:hAnsi="Century"/>
        </w:rPr>
        <w:t>praktis</w:t>
      </w:r>
      <w:proofErr w:type="spellEnd"/>
      <w:r w:rsidRPr="0044344D">
        <w:rPr>
          <w:rFonts w:ascii="Century" w:hAnsi="Century"/>
        </w:rPr>
        <w:t xml:space="preserve"> </w:t>
      </w:r>
      <w:proofErr w:type="spellStart"/>
      <w:r w:rsidRPr="0044344D">
        <w:rPr>
          <w:rFonts w:ascii="Century" w:hAnsi="Century"/>
        </w:rPr>
        <w:t>peserta</w:t>
      </w:r>
      <w:proofErr w:type="spellEnd"/>
      <w:r w:rsidRPr="0044344D">
        <w:rPr>
          <w:rFonts w:ascii="Century" w:hAnsi="Century"/>
        </w:rPr>
        <w:t xml:space="preserve"> </w:t>
      </w:r>
      <w:proofErr w:type="spellStart"/>
      <w:r w:rsidRPr="0044344D">
        <w:rPr>
          <w:rFonts w:ascii="Century" w:hAnsi="Century"/>
        </w:rPr>
        <w:t>dalam</w:t>
      </w:r>
      <w:proofErr w:type="spellEnd"/>
      <w:r w:rsidRPr="0044344D">
        <w:rPr>
          <w:rFonts w:ascii="Century" w:hAnsi="Century"/>
        </w:rPr>
        <w:t xml:space="preserve"> </w:t>
      </w:r>
      <w:proofErr w:type="spellStart"/>
      <w:r w:rsidRPr="0044344D">
        <w:rPr>
          <w:rFonts w:ascii="Century" w:hAnsi="Century"/>
        </w:rPr>
        <w:t>bidang</w:t>
      </w:r>
      <w:proofErr w:type="spellEnd"/>
      <w:r w:rsidRPr="0044344D">
        <w:rPr>
          <w:rFonts w:ascii="Century" w:hAnsi="Century"/>
        </w:rPr>
        <w:t xml:space="preserve"> </w:t>
      </w:r>
      <w:proofErr w:type="spellStart"/>
      <w:r w:rsidRPr="0044344D">
        <w:rPr>
          <w:rFonts w:ascii="Century" w:hAnsi="Century"/>
        </w:rPr>
        <w:t>kelistrikan</w:t>
      </w:r>
      <w:proofErr w:type="spellEnd"/>
      <w:r w:rsidRPr="0044344D">
        <w:rPr>
          <w:rFonts w:ascii="Century" w:hAnsi="Century"/>
        </w:rPr>
        <w:t xml:space="preserve"> dan </w:t>
      </w:r>
      <w:proofErr w:type="spellStart"/>
      <w:r w:rsidRPr="0044344D">
        <w:rPr>
          <w:rFonts w:ascii="Century" w:hAnsi="Century"/>
        </w:rPr>
        <w:t>energi</w:t>
      </w:r>
      <w:proofErr w:type="spellEnd"/>
      <w:r w:rsidRPr="0044344D">
        <w:rPr>
          <w:rFonts w:ascii="Century" w:hAnsi="Century"/>
        </w:rPr>
        <w:t xml:space="preserve"> </w:t>
      </w:r>
      <w:proofErr w:type="spellStart"/>
      <w:r w:rsidRPr="0044344D">
        <w:rPr>
          <w:rFonts w:ascii="Century" w:hAnsi="Century"/>
        </w:rPr>
        <w:t>alternatif</w:t>
      </w:r>
      <w:proofErr w:type="spellEnd"/>
      <w:r w:rsidRPr="0044344D">
        <w:rPr>
          <w:rFonts w:ascii="Century" w:hAnsi="Century"/>
        </w:rPr>
        <w:t>.</w:t>
      </w:r>
      <w:r w:rsidR="005D0273">
        <w:rPr>
          <w:rFonts w:ascii="Century" w:hAnsi="Century"/>
        </w:rPr>
        <w:t xml:space="preserve"> </w:t>
      </w:r>
      <w:proofErr w:type="spellStart"/>
      <w:r w:rsidR="005D0273">
        <w:rPr>
          <w:rFonts w:ascii="Century" w:hAnsi="Century"/>
        </w:rPr>
        <w:t>Berikut</w:t>
      </w:r>
      <w:proofErr w:type="spellEnd"/>
      <w:r w:rsidR="005D0273">
        <w:rPr>
          <w:rFonts w:ascii="Century" w:hAnsi="Century"/>
        </w:rPr>
        <w:t xml:space="preserve"> </w:t>
      </w:r>
      <w:proofErr w:type="spellStart"/>
      <w:r w:rsidR="00230AB3">
        <w:rPr>
          <w:rFonts w:ascii="Century" w:hAnsi="Century"/>
        </w:rPr>
        <w:t>dokumetasi</w:t>
      </w:r>
      <w:proofErr w:type="spellEnd"/>
      <w:r w:rsidR="00230AB3">
        <w:rPr>
          <w:rFonts w:ascii="Century" w:hAnsi="Century"/>
        </w:rPr>
        <w:t xml:space="preserve"> </w:t>
      </w:r>
      <w:proofErr w:type="spellStart"/>
      <w:r w:rsidR="00230AB3">
        <w:rPr>
          <w:rFonts w:ascii="Century" w:hAnsi="Century"/>
        </w:rPr>
        <w:t>kegiatan</w:t>
      </w:r>
      <w:proofErr w:type="spellEnd"/>
      <w:r w:rsidR="00230AB3">
        <w:rPr>
          <w:rFonts w:ascii="Century" w:hAnsi="Century"/>
        </w:rPr>
        <w:t xml:space="preserve"> </w:t>
      </w:r>
      <w:proofErr w:type="spellStart"/>
      <w:r w:rsidR="00230AB3">
        <w:rPr>
          <w:rFonts w:ascii="Century" w:hAnsi="Century"/>
        </w:rPr>
        <w:t>pelatihan</w:t>
      </w:r>
      <w:proofErr w:type="spellEnd"/>
      <w:r w:rsidR="00230AB3">
        <w:rPr>
          <w:rFonts w:ascii="Century" w:hAnsi="Century"/>
        </w:rPr>
        <w:t xml:space="preserve"> dan </w:t>
      </w:r>
      <w:proofErr w:type="spellStart"/>
      <w:r w:rsidR="00230AB3">
        <w:rPr>
          <w:rFonts w:ascii="Century" w:hAnsi="Century"/>
        </w:rPr>
        <w:t>praktik</w:t>
      </w:r>
      <w:proofErr w:type="spellEnd"/>
      <w:r w:rsidR="00230AB3">
        <w:rPr>
          <w:rFonts w:ascii="Century" w:hAnsi="Century"/>
        </w:rPr>
        <w:t xml:space="preserve">, </w:t>
      </w:r>
      <w:proofErr w:type="spellStart"/>
      <w:r w:rsidR="00230AB3">
        <w:rPr>
          <w:rFonts w:ascii="Century" w:hAnsi="Century"/>
        </w:rPr>
        <w:t>seperti</w:t>
      </w:r>
      <w:proofErr w:type="spellEnd"/>
      <w:r w:rsidR="00230AB3">
        <w:rPr>
          <w:rFonts w:ascii="Century" w:hAnsi="Century"/>
        </w:rPr>
        <w:t xml:space="preserve"> </w:t>
      </w:r>
      <w:proofErr w:type="spellStart"/>
      <w:r w:rsidR="00230AB3">
        <w:rPr>
          <w:rFonts w:ascii="Century" w:hAnsi="Century"/>
        </w:rPr>
        <w:t>terlihat</w:t>
      </w:r>
      <w:proofErr w:type="spellEnd"/>
      <w:r w:rsidR="00230AB3">
        <w:rPr>
          <w:rFonts w:ascii="Century" w:hAnsi="Century"/>
        </w:rPr>
        <w:t xml:space="preserve"> pada Gambar 3.</w:t>
      </w:r>
    </w:p>
    <w:p w14:paraId="1BA115FE" w14:textId="2D509BDD" w:rsidR="00A87725" w:rsidRDefault="00A87725" w:rsidP="00070FDA">
      <w:pPr>
        <w:pStyle w:val="BodyText"/>
        <w:tabs>
          <w:tab w:val="clear" w:pos="288"/>
        </w:tabs>
        <w:spacing w:after="0" w:line="276" w:lineRule="auto"/>
        <w:jc w:val="center"/>
        <w:rPr>
          <w:rFonts w:ascii="Century" w:hAnsi="Century"/>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D0273" w14:paraId="450D4CF3" w14:textId="77777777" w:rsidTr="005D0273">
        <w:tc>
          <w:tcPr>
            <w:tcW w:w="4247" w:type="dxa"/>
          </w:tcPr>
          <w:p w14:paraId="560A9B81" w14:textId="6D7389D9" w:rsidR="005D0273" w:rsidRDefault="005D0273" w:rsidP="005D0273">
            <w:pPr>
              <w:pStyle w:val="BodyText"/>
              <w:tabs>
                <w:tab w:val="clear" w:pos="288"/>
              </w:tabs>
              <w:spacing w:after="0" w:line="240" w:lineRule="auto"/>
              <w:ind w:firstLine="0"/>
              <w:jc w:val="center"/>
              <w:rPr>
                <w:rFonts w:ascii="Century" w:hAnsi="Century"/>
                <w:sz w:val="22"/>
                <w:szCs w:val="22"/>
                <w:lang w:val="en-US"/>
              </w:rPr>
            </w:pPr>
            <w:r w:rsidRPr="0044344D">
              <w:rPr>
                <w:rFonts w:ascii="Century" w:hAnsi="Century"/>
                <w:noProof/>
                <w:sz w:val="22"/>
                <w:szCs w:val="22"/>
                <w:lang w:val="en-US"/>
              </w:rPr>
              <w:lastRenderedPageBreak/>
              <w:drawing>
                <wp:inline distT="0" distB="0" distL="0" distR="0" wp14:anchorId="047C423F" wp14:editId="2946ED96">
                  <wp:extent cx="2519045" cy="1572319"/>
                  <wp:effectExtent l="0" t="0" r="0" b="8890"/>
                  <wp:docPr id="1485753447" name="Picture 1" descr="A group of people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53447" name="Picture 1" descr="A group of people in a classroom&#10;&#10;AI-generated content may be incorrect."/>
                          <pic:cNvPicPr/>
                        </pic:nvPicPr>
                        <pic:blipFill rotWithShape="1">
                          <a:blip r:embed="rId17" cstate="print">
                            <a:extLst>
                              <a:ext uri="{28A0092B-C50C-407E-A947-70E740481C1C}">
                                <a14:useLocalDpi xmlns:a14="http://schemas.microsoft.com/office/drawing/2010/main"/>
                              </a:ext>
                            </a:extLst>
                          </a:blip>
                          <a:srcRect t="23053"/>
                          <a:stretch/>
                        </pic:blipFill>
                        <pic:spPr bwMode="auto">
                          <a:xfrm>
                            <a:off x="0" y="0"/>
                            <a:ext cx="2536236" cy="1583049"/>
                          </a:xfrm>
                          <a:prstGeom prst="rect">
                            <a:avLst/>
                          </a:prstGeom>
                          <a:ln>
                            <a:noFill/>
                          </a:ln>
                          <a:extLst>
                            <a:ext uri="{53640926-AAD7-44D8-BBD7-CCE9431645EC}">
                              <a14:shadowObscured xmlns:a14="http://schemas.microsoft.com/office/drawing/2010/main"/>
                            </a:ext>
                          </a:extLst>
                        </pic:spPr>
                      </pic:pic>
                    </a:graphicData>
                  </a:graphic>
                </wp:inline>
              </w:drawing>
            </w:r>
          </w:p>
        </w:tc>
        <w:tc>
          <w:tcPr>
            <w:tcW w:w="4247" w:type="dxa"/>
          </w:tcPr>
          <w:p w14:paraId="6FFC81D2" w14:textId="0531874D" w:rsidR="005D0273" w:rsidRDefault="005D0273" w:rsidP="005D0273">
            <w:pPr>
              <w:pStyle w:val="BodyText"/>
              <w:tabs>
                <w:tab w:val="clear" w:pos="288"/>
              </w:tabs>
              <w:spacing w:after="0" w:line="240" w:lineRule="auto"/>
              <w:ind w:firstLine="0"/>
              <w:jc w:val="center"/>
              <w:rPr>
                <w:rFonts w:ascii="Century" w:hAnsi="Century"/>
                <w:sz w:val="22"/>
                <w:szCs w:val="22"/>
                <w:lang w:val="en-US"/>
              </w:rPr>
            </w:pPr>
            <w:r w:rsidRPr="0044344D">
              <w:rPr>
                <w:rFonts w:ascii="Century" w:hAnsi="Century"/>
                <w:noProof/>
                <w:sz w:val="22"/>
                <w:szCs w:val="22"/>
                <w:lang w:val="en-US"/>
              </w:rPr>
              <w:drawing>
                <wp:inline distT="0" distB="0" distL="0" distR="0" wp14:anchorId="58205508" wp14:editId="6DD5D15F">
                  <wp:extent cx="2518898" cy="1572260"/>
                  <wp:effectExtent l="0" t="0" r="0" b="8890"/>
                  <wp:docPr id="1962242493" name="Picture 2"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42493" name="Picture 2" descr="A group of people in a room&#10;&#10;AI-generated content may be incorrect."/>
                          <pic:cNvPicPr/>
                        </pic:nvPicPr>
                        <pic:blipFill rotWithShape="1">
                          <a:blip r:embed="rId18" cstate="screen">
                            <a:extLst>
                              <a:ext uri="{28A0092B-C50C-407E-A947-70E740481C1C}">
                                <a14:useLocalDpi xmlns:a14="http://schemas.microsoft.com/office/drawing/2010/main"/>
                              </a:ext>
                            </a:extLst>
                          </a:blip>
                          <a:srcRect t="17967"/>
                          <a:stretch/>
                        </pic:blipFill>
                        <pic:spPr bwMode="auto">
                          <a:xfrm>
                            <a:off x="0" y="0"/>
                            <a:ext cx="2524399" cy="1575694"/>
                          </a:xfrm>
                          <a:prstGeom prst="rect">
                            <a:avLst/>
                          </a:prstGeom>
                          <a:ln>
                            <a:noFill/>
                          </a:ln>
                          <a:extLst>
                            <a:ext uri="{53640926-AAD7-44D8-BBD7-CCE9431645EC}">
                              <a14:shadowObscured xmlns:a14="http://schemas.microsoft.com/office/drawing/2010/main"/>
                            </a:ext>
                          </a:extLst>
                        </pic:spPr>
                      </pic:pic>
                    </a:graphicData>
                  </a:graphic>
                </wp:inline>
              </w:drawing>
            </w:r>
          </w:p>
        </w:tc>
      </w:tr>
      <w:tr w:rsidR="005D0273" w14:paraId="6F5F09D5" w14:textId="77777777" w:rsidTr="005D0273">
        <w:tc>
          <w:tcPr>
            <w:tcW w:w="4247" w:type="dxa"/>
          </w:tcPr>
          <w:p w14:paraId="2A4DE344" w14:textId="044FCF6B" w:rsidR="005D0273" w:rsidRDefault="005D0273" w:rsidP="005D0273">
            <w:pPr>
              <w:pStyle w:val="BodyText"/>
              <w:tabs>
                <w:tab w:val="clear" w:pos="288"/>
              </w:tabs>
              <w:spacing w:after="0" w:line="240" w:lineRule="auto"/>
              <w:jc w:val="center"/>
              <w:rPr>
                <w:rFonts w:ascii="Century" w:hAnsi="Century"/>
                <w:sz w:val="22"/>
                <w:szCs w:val="22"/>
                <w:lang w:val="en-US"/>
              </w:rPr>
            </w:pPr>
            <w:r w:rsidRPr="0044344D">
              <w:rPr>
                <w:rFonts w:ascii="Century" w:hAnsi="Century"/>
                <w:sz w:val="22"/>
                <w:szCs w:val="22"/>
                <w:lang w:val="en-US"/>
              </w:rPr>
              <w:t>(a)</w:t>
            </w:r>
          </w:p>
        </w:tc>
        <w:tc>
          <w:tcPr>
            <w:tcW w:w="4247" w:type="dxa"/>
          </w:tcPr>
          <w:p w14:paraId="09146B24" w14:textId="0495DD1A" w:rsidR="005D0273" w:rsidRDefault="005D0273" w:rsidP="005D0273">
            <w:pPr>
              <w:pStyle w:val="BodyText"/>
              <w:tabs>
                <w:tab w:val="clear" w:pos="288"/>
              </w:tabs>
              <w:spacing w:after="0" w:line="240" w:lineRule="auto"/>
              <w:jc w:val="center"/>
              <w:rPr>
                <w:rFonts w:ascii="Century" w:hAnsi="Century"/>
                <w:sz w:val="22"/>
                <w:szCs w:val="22"/>
                <w:lang w:val="en-US"/>
              </w:rPr>
            </w:pPr>
            <w:r w:rsidRPr="0044344D">
              <w:rPr>
                <w:rFonts w:ascii="Century" w:hAnsi="Century"/>
                <w:sz w:val="22"/>
                <w:szCs w:val="22"/>
                <w:lang w:val="en-US"/>
              </w:rPr>
              <w:t>(b)</w:t>
            </w:r>
          </w:p>
        </w:tc>
      </w:tr>
    </w:tbl>
    <w:p w14:paraId="672A6E8A" w14:textId="77777777" w:rsidR="005D0273" w:rsidRDefault="005D0273" w:rsidP="005D0273">
      <w:pPr>
        <w:pStyle w:val="BodyText"/>
        <w:tabs>
          <w:tab w:val="clear" w:pos="288"/>
        </w:tabs>
        <w:spacing w:after="0" w:line="276" w:lineRule="auto"/>
        <w:ind w:firstLine="0"/>
        <w:jc w:val="center"/>
        <w:rPr>
          <w:rFonts w:ascii="Century" w:hAnsi="Century"/>
          <w:sz w:val="22"/>
          <w:szCs w:val="22"/>
          <w:lang w:val="en-US"/>
        </w:rPr>
      </w:pPr>
      <w:r w:rsidRPr="005D0273">
        <w:rPr>
          <w:rFonts w:ascii="Century" w:hAnsi="Century"/>
          <w:b/>
          <w:bCs/>
          <w:sz w:val="22"/>
          <w:szCs w:val="22"/>
          <w:lang w:val="en-US"/>
        </w:rPr>
        <w:t xml:space="preserve">Gambar </w:t>
      </w:r>
      <w:r>
        <w:rPr>
          <w:rFonts w:ascii="Century" w:hAnsi="Century"/>
          <w:b/>
          <w:bCs/>
          <w:sz w:val="22"/>
          <w:szCs w:val="22"/>
          <w:lang w:val="en-US"/>
        </w:rPr>
        <w:t xml:space="preserve">3. </w:t>
      </w:r>
      <w:proofErr w:type="spellStart"/>
      <w:r w:rsidR="00E33CBD" w:rsidRPr="0044344D">
        <w:rPr>
          <w:rFonts w:ascii="Century" w:hAnsi="Century"/>
          <w:sz w:val="22"/>
          <w:szCs w:val="22"/>
          <w:lang w:val="en-US"/>
        </w:rPr>
        <w:t>Kegiatan</w:t>
      </w:r>
      <w:proofErr w:type="spellEnd"/>
      <w:r w:rsidR="00E33CBD" w:rsidRPr="0044344D">
        <w:rPr>
          <w:rFonts w:ascii="Century" w:hAnsi="Century"/>
          <w:sz w:val="22"/>
          <w:szCs w:val="22"/>
          <w:lang w:val="en-US"/>
        </w:rPr>
        <w:t xml:space="preserve"> (a) </w:t>
      </w:r>
      <w:proofErr w:type="spellStart"/>
      <w:r w:rsidR="00E33CBD" w:rsidRPr="0044344D">
        <w:rPr>
          <w:rFonts w:ascii="Century" w:hAnsi="Century"/>
          <w:sz w:val="22"/>
          <w:szCs w:val="22"/>
          <w:lang w:val="en-US"/>
        </w:rPr>
        <w:t>Pelatihan</w:t>
      </w:r>
      <w:proofErr w:type="spellEnd"/>
      <w:r w:rsidR="00E33CBD" w:rsidRPr="0044344D">
        <w:rPr>
          <w:rFonts w:ascii="Century" w:hAnsi="Century"/>
          <w:sz w:val="22"/>
          <w:szCs w:val="22"/>
          <w:lang w:val="en-US"/>
        </w:rPr>
        <w:t xml:space="preserve"> dan (b) </w:t>
      </w:r>
      <w:proofErr w:type="spellStart"/>
      <w:r w:rsidR="00E33CBD" w:rsidRPr="0044344D">
        <w:rPr>
          <w:rFonts w:ascii="Century" w:hAnsi="Century"/>
          <w:sz w:val="22"/>
          <w:szCs w:val="22"/>
          <w:lang w:val="en-US"/>
        </w:rPr>
        <w:t>Praktik</w:t>
      </w:r>
      <w:proofErr w:type="spellEnd"/>
      <w:r w:rsidR="00E33CBD" w:rsidRPr="0044344D">
        <w:rPr>
          <w:rFonts w:ascii="Century" w:hAnsi="Century"/>
          <w:sz w:val="22"/>
          <w:szCs w:val="22"/>
          <w:lang w:val="en-US"/>
        </w:rPr>
        <w:t xml:space="preserve"> </w:t>
      </w:r>
      <w:proofErr w:type="spellStart"/>
      <w:r w:rsidR="00E33CBD" w:rsidRPr="0044344D">
        <w:rPr>
          <w:rFonts w:ascii="Century" w:hAnsi="Century"/>
          <w:sz w:val="22"/>
          <w:szCs w:val="22"/>
          <w:lang w:val="en-US"/>
        </w:rPr>
        <w:t>Pengukuran</w:t>
      </w:r>
      <w:proofErr w:type="spellEnd"/>
      <w:r w:rsidR="00E33CBD" w:rsidRPr="0044344D">
        <w:rPr>
          <w:rFonts w:ascii="Century" w:hAnsi="Century"/>
          <w:sz w:val="22"/>
          <w:szCs w:val="22"/>
          <w:lang w:val="en-US"/>
        </w:rPr>
        <w:t xml:space="preserve"> </w:t>
      </w:r>
    </w:p>
    <w:p w14:paraId="02F1A9E2" w14:textId="0D894BB7" w:rsidR="00E33CBD" w:rsidRPr="0044344D" w:rsidRDefault="00E33CBD" w:rsidP="005D0273">
      <w:pPr>
        <w:pStyle w:val="BodyText"/>
        <w:tabs>
          <w:tab w:val="clear" w:pos="288"/>
        </w:tabs>
        <w:spacing w:after="0" w:line="276" w:lineRule="auto"/>
        <w:ind w:firstLine="0"/>
        <w:jc w:val="center"/>
        <w:rPr>
          <w:rFonts w:ascii="Century" w:hAnsi="Century"/>
          <w:sz w:val="22"/>
          <w:szCs w:val="22"/>
          <w:lang w:val="en-US"/>
        </w:rPr>
      </w:pPr>
      <w:proofErr w:type="spellStart"/>
      <w:r w:rsidRPr="0044344D">
        <w:rPr>
          <w:rFonts w:ascii="Century" w:hAnsi="Century"/>
          <w:sz w:val="22"/>
          <w:szCs w:val="22"/>
          <w:lang w:val="en-US"/>
        </w:rPr>
        <w:t>serta</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Pemasangan</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Portabel</w:t>
      </w:r>
      <w:proofErr w:type="spellEnd"/>
      <w:r w:rsidRPr="0044344D">
        <w:rPr>
          <w:rFonts w:ascii="Century" w:hAnsi="Century"/>
          <w:sz w:val="22"/>
          <w:szCs w:val="22"/>
          <w:lang w:val="en-US"/>
        </w:rPr>
        <w:t xml:space="preserve"> Power Station</w:t>
      </w:r>
    </w:p>
    <w:p w14:paraId="746A707F" w14:textId="77777777" w:rsidR="00A87725" w:rsidRPr="0044344D" w:rsidRDefault="00A87725" w:rsidP="00070FDA">
      <w:pPr>
        <w:pStyle w:val="BodyText"/>
        <w:tabs>
          <w:tab w:val="clear" w:pos="288"/>
        </w:tabs>
        <w:spacing w:after="0" w:line="276" w:lineRule="auto"/>
        <w:rPr>
          <w:rFonts w:ascii="Century" w:hAnsi="Century"/>
          <w:sz w:val="24"/>
          <w:szCs w:val="24"/>
          <w:lang w:val="en-US"/>
        </w:rPr>
      </w:pPr>
    </w:p>
    <w:p w14:paraId="7AE8D61E" w14:textId="77777777" w:rsidR="00C96585" w:rsidRPr="0044344D" w:rsidRDefault="00C96585" w:rsidP="005D0273">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Suasana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berlangsung</w:t>
      </w:r>
      <w:proofErr w:type="spellEnd"/>
      <w:r w:rsidRPr="0044344D">
        <w:rPr>
          <w:rFonts w:ascii="Century" w:hAnsi="Century"/>
          <w:sz w:val="24"/>
          <w:szCs w:val="24"/>
          <w:lang w:val="en-US"/>
        </w:rPr>
        <w:t xml:space="preserve"> di </w:t>
      </w:r>
      <w:proofErr w:type="spellStart"/>
      <w:r w:rsidRPr="0044344D">
        <w:rPr>
          <w:rFonts w:ascii="Century" w:hAnsi="Century"/>
          <w:sz w:val="24"/>
          <w:szCs w:val="24"/>
          <w:lang w:val="en-US"/>
        </w:rPr>
        <w:t>ruang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kelistrikan</w:t>
      </w:r>
      <w:proofErr w:type="spellEnd"/>
      <w:r w:rsidRPr="0044344D">
        <w:rPr>
          <w:rFonts w:ascii="Century" w:hAnsi="Century"/>
          <w:sz w:val="24"/>
          <w:szCs w:val="24"/>
          <w:lang w:val="en-US"/>
        </w:rPr>
        <w:t xml:space="preserve"> SMKN 2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ditunjukkan</w:t>
      </w:r>
      <w:proofErr w:type="spellEnd"/>
      <w:r w:rsidRPr="0044344D">
        <w:rPr>
          <w:rFonts w:ascii="Century" w:hAnsi="Century"/>
          <w:sz w:val="24"/>
          <w:szCs w:val="24"/>
          <w:lang w:val="en-US"/>
        </w:rPr>
        <w:t xml:space="preserve"> pada Gambar 3 (a) dan (b).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aktif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berdiskusi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terlibat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langsung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pengamatan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pemaparan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antusias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mengikuti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tahapan</w:t>
      </w:r>
      <w:proofErr w:type="spellEnd"/>
      <w:r w:rsidRPr="0044344D">
        <w:rPr>
          <w:rFonts w:ascii="Century" w:hAnsi="Century"/>
          <w:sz w:val="24"/>
          <w:szCs w:val="24"/>
          <w:lang w:val="en-US"/>
        </w:rPr>
        <w:t xml:space="preserve"> uji </w:t>
      </w:r>
      <w:proofErr w:type="spellStart"/>
      <w:r w:rsidRPr="0044344D">
        <w:rPr>
          <w:rFonts w:ascii="Century" w:hAnsi="Century"/>
          <w:sz w:val="24"/>
          <w:szCs w:val="24"/>
          <w:lang w:val="en-US"/>
        </w:rPr>
        <w:t>coba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Antusiasme</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mencerminkan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ketertarikan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topik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khususnya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konteks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penerapan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teknologi</w:t>
      </w:r>
      <w:proofErr w:type="spellEnd"/>
      <w:r w:rsidRPr="0044344D">
        <w:rPr>
          <w:rFonts w:ascii="Century" w:hAnsi="Century"/>
          <w:sz w:val="24"/>
          <w:szCs w:val="24"/>
          <w:lang w:val="en-US"/>
        </w:rPr>
        <w:t xml:space="preserve"> portable solar power station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pengukuran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kualitas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Partisipasi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aktif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menunjukkan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bahwa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metode</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penyampaian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interaktif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aplikatif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mampu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meningkatkan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minat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belajar</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pemahaman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bidang</w:t>
      </w:r>
      <w:proofErr w:type="spellEnd"/>
      <w:r w:rsidRPr="0044344D">
        <w:rPr>
          <w:rFonts w:ascii="Century" w:hAnsi="Century"/>
          <w:sz w:val="24"/>
          <w:szCs w:val="24"/>
          <w:lang w:val="en-US"/>
        </w:rPr>
        <w:t xml:space="preserve"> Teknik </w:t>
      </w:r>
      <w:proofErr w:type="spellStart"/>
      <w:r w:rsidRPr="0044344D">
        <w:rPr>
          <w:rFonts w:ascii="Century" w:hAnsi="Century"/>
          <w:sz w:val="24"/>
          <w:szCs w:val="24"/>
          <w:lang w:val="en-US"/>
        </w:rPr>
        <w:t>Elektro</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alternatif</w:t>
      </w:r>
      <w:proofErr w:type="spellEnd"/>
      <w:r w:rsidRPr="0044344D">
        <w:rPr>
          <w:rFonts w:ascii="Century" w:hAnsi="Century"/>
          <w:sz w:val="24"/>
          <w:szCs w:val="24"/>
          <w:lang w:val="en-US"/>
        </w:rPr>
        <w:t xml:space="preserve">. Pada </w:t>
      </w:r>
      <w:proofErr w:type="spellStart"/>
      <w:r w:rsidRPr="0044344D">
        <w:rPr>
          <w:rFonts w:ascii="Century" w:hAnsi="Century"/>
          <w:sz w:val="24"/>
          <w:szCs w:val="24"/>
          <w:lang w:val="en-US"/>
        </w:rPr>
        <w:t>sesi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penutupan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setiap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sebuah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kuisioner</w:t>
      </w:r>
      <w:proofErr w:type="spellEnd"/>
      <w:r w:rsidRPr="0044344D">
        <w:rPr>
          <w:rFonts w:ascii="Century" w:hAnsi="Century"/>
          <w:sz w:val="24"/>
          <w:szCs w:val="24"/>
          <w:lang w:val="en-US"/>
        </w:rPr>
        <w:t xml:space="preserve"> agar </w:t>
      </w:r>
      <w:proofErr w:type="spellStart"/>
      <w:r w:rsidRPr="0044344D">
        <w:rPr>
          <w:rFonts w:ascii="Century" w:hAnsi="Century"/>
          <w:sz w:val="24"/>
          <w:szCs w:val="24"/>
          <w:lang w:val="en-US"/>
        </w:rPr>
        <w:t>panitia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mendapatkan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penilaian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kegiatan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w:t>
      </w:r>
    </w:p>
    <w:p w14:paraId="326AB2F2" w14:textId="2E1F1EAE" w:rsidR="00A87725" w:rsidRPr="0044344D" w:rsidRDefault="00E33CBD" w:rsidP="00070FDA">
      <w:pPr>
        <w:pStyle w:val="BodyText"/>
        <w:tabs>
          <w:tab w:val="clear" w:pos="288"/>
        </w:tabs>
        <w:spacing w:after="0" w:line="276" w:lineRule="auto"/>
        <w:rPr>
          <w:rFonts w:ascii="Century" w:hAnsi="Century"/>
          <w:sz w:val="24"/>
          <w:szCs w:val="24"/>
          <w:lang w:val="en-US"/>
        </w:rPr>
      </w:pPr>
      <w:proofErr w:type="spellStart"/>
      <w:r w:rsidRPr="0044344D">
        <w:rPr>
          <w:rFonts w:ascii="Century" w:hAnsi="Century"/>
          <w:sz w:val="24"/>
          <w:szCs w:val="24"/>
          <w:lang w:val="en-US"/>
        </w:rPr>
        <w:t>Ilustrasi</w:t>
      </w:r>
      <w:proofErr w:type="spellEnd"/>
      <w:r w:rsidRPr="0044344D">
        <w:rPr>
          <w:rFonts w:ascii="Century" w:hAnsi="Century"/>
          <w:sz w:val="24"/>
          <w:szCs w:val="24"/>
          <w:lang w:val="en-US"/>
        </w:rPr>
        <w:t xml:space="preserve"> pada poster </w:t>
      </w:r>
      <w:proofErr w:type="spellStart"/>
      <w:r w:rsidRPr="0044344D">
        <w:rPr>
          <w:rFonts w:ascii="Century" w:hAnsi="Century"/>
          <w:sz w:val="24"/>
          <w:szCs w:val="24"/>
          <w:lang w:val="en-US"/>
        </w:rPr>
        <w:t>berfungsi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w:t>
      </w:r>
      <w:proofErr w:type="spellEnd"/>
      <w:r w:rsidRPr="0044344D">
        <w:rPr>
          <w:rFonts w:ascii="Century" w:hAnsi="Century"/>
          <w:sz w:val="24"/>
          <w:szCs w:val="24"/>
          <w:lang w:val="en-US"/>
        </w:rPr>
        <w:t xml:space="preserve"> media </w:t>
      </w:r>
      <w:proofErr w:type="spellStart"/>
      <w:r w:rsidRPr="0044344D">
        <w:rPr>
          <w:rFonts w:ascii="Century" w:hAnsi="Century"/>
          <w:sz w:val="24"/>
          <w:szCs w:val="24"/>
          <w:lang w:val="en-US"/>
        </w:rPr>
        <w:t>edukasi</w:t>
      </w:r>
      <w:proofErr w:type="spellEnd"/>
      <w:r w:rsidRPr="0044344D">
        <w:rPr>
          <w:rFonts w:ascii="Century" w:hAnsi="Century"/>
          <w:sz w:val="24"/>
          <w:szCs w:val="24"/>
          <w:lang w:val="en-US"/>
        </w:rPr>
        <w:t xml:space="preserve"> visual yang </w:t>
      </w:r>
      <w:proofErr w:type="spellStart"/>
      <w:r w:rsidRPr="0044344D">
        <w:rPr>
          <w:rFonts w:ascii="Century" w:hAnsi="Century"/>
          <w:sz w:val="24"/>
          <w:szCs w:val="24"/>
          <w:lang w:val="en-US"/>
        </w:rPr>
        <w:t>efektif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memperkenalkan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konsep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khususnya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teknologi</w:t>
      </w:r>
      <w:proofErr w:type="spellEnd"/>
      <w:r w:rsidRPr="0044344D">
        <w:rPr>
          <w:rFonts w:ascii="Century" w:hAnsi="Century"/>
          <w:sz w:val="24"/>
          <w:szCs w:val="24"/>
          <w:lang w:val="en-US"/>
        </w:rPr>
        <w:t xml:space="preserve"> panel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kepada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Poster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menjelaskan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kerja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sistem</w:t>
      </w:r>
      <w:proofErr w:type="spellEnd"/>
      <w:r w:rsidRPr="0044344D">
        <w:rPr>
          <w:rFonts w:ascii="Century" w:hAnsi="Century"/>
          <w:sz w:val="24"/>
          <w:szCs w:val="24"/>
          <w:lang w:val="en-US"/>
        </w:rPr>
        <w:t xml:space="preserve"> panel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sederhana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mulai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proses </w:t>
      </w:r>
      <w:proofErr w:type="spellStart"/>
      <w:r w:rsidRPr="0044344D">
        <w:rPr>
          <w:rFonts w:ascii="Century" w:hAnsi="Century"/>
          <w:sz w:val="24"/>
          <w:szCs w:val="24"/>
          <w:lang w:val="en-US"/>
        </w:rPr>
        <w:t>konversi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cahaya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matahari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menjadi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searah</w:t>
      </w:r>
      <w:proofErr w:type="spellEnd"/>
      <w:r w:rsidRPr="0044344D">
        <w:rPr>
          <w:rFonts w:ascii="Century" w:hAnsi="Century"/>
          <w:sz w:val="24"/>
          <w:szCs w:val="24"/>
          <w:lang w:val="en-US"/>
        </w:rPr>
        <w:t xml:space="preserve"> (DC), </w:t>
      </w:r>
      <w:proofErr w:type="spellStart"/>
      <w:r w:rsidRPr="0044344D">
        <w:rPr>
          <w:rFonts w:ascii="Century" w:hAnsi="Century"/>
          <w:sz w:val="24"/>
          <w:szCs w:val="24"/>
          <w:lang w:val="en-US"/>
        </w:rPr>
        <w:t>penyimpanan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baterai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hingga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pemanfaatan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listrik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melalui</w:t>
      </w:r>
      <w:proofErr w:type="spellEnd"/>
      <w:r w:rsidRPr="0044344D">
        <w:rPr>
          <w:rFonts w:ascii="Century" w:hAnsi="Century"/>
          <w:sz w:val="24"/>
          <w:szCs w:val="24"/>
          <w:lang w:val="en-US"/>
        </w:rPr>
        <w:t xml:space="preserve"> inverter yang </w:t>
      </w:r>
      <w:proofErr w:type="spellStart"/>
      <w:r w:rsidRPr="0044344D">
        <w:rPr>
          <w:rFonts w:ascii="Century" w:hAnsi="Century"/>
          <w:sz w:val="24"/>
          <w:szCs w:val="24"/>
          <w:lang w:val="en-US"/>
        </w:rPr>
        <w:t>mengubah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DC </w:t>
      </w:r>
      <w:proofErr w:type="spellStart"/>
      <w:r w:rsidRPr="0044344D">
        <w:rPr>
          <w:rFonts w:ascii="Century" w:hAnsi="Century"/>
          <w:sz w:val="24"/>
          <w:szCs w:val="24"/>
          <w:lang w:val="en-US"/>
        </w:rPr>
        <w:t>menjadi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arus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bolak-balik</w:t>
      </w:r>
      <w:proofErr w:type="spellEnd"/>
      <w:r w:rsidRPr="0044344D">
        <w:rPr>
          <w:rFonts w:ascii="Century" w:hAnsi="Century"/>
          <w:sz w:val="24"/>
          <w:szCs w:val="24"/>
          <w:lang w:val="en-US"/>
        </w:rPr>
        <w:t xml:space="preserve"> (AC). </w:t>
      </w:r>
    </w:p>
    <w:p w14:paraId="425FBCAA" w14:textId="77777777" w:rsidR="00845A15" w:rsidRPr="0044344D" w:rsidRDefault="00845A15" w:rsidP="00070FDA">
      <w:pPr>
        <w:pStyle w:val="BodyText"/>
        <w:tabs>
          <w:tab w:val="clear" w:pos="288"/>
        </w:tabs>
        <w:spacing w:after="0" w:line="276" w:lineRule="auto"/>
        <w:rPr>
          <w:rFonts w:ascii="Century" w:hAnsi="Century"/>
          <w:sz w:val="24"/>
          <w:szCs w:val="24"/>
          <w:lang w:val="en-US"/>
        </w:rPr>
      </w:pPr>
    </w:p>
    <w:p w14:paraId="3E0F8C70" w14:textId="77777777" w:rsidR="00F25AC2" w:rsidRPr="0044344D" w:rsidRDefault="00F25AC2" w:rsidP="005D0273">
      <w:pPr>
        <w:pStyle w:val="IEEEParagraph"/>
        <w:numPr>
          <w:ilvl w:val="6"/>
          <w:numId w:val="17"/>
        </w:numPr>
        <w:spacing w:line="276" w:lineRule="auto"/>
        <w:ind w:left="426" w:hanging="426"/>
        <w:rPr>
          <w:rFonts w:ascii="Century" w:hAnsi="Century"/>
          <w:b/>
          <w:lang w:val="id-ID"/>
        </w:rPr>
      </w:pPr>
      <w:r w:rsidRPr="0044344D">
        <w:rPr>
          <w:rFonts w:ascii="Century" w:hAnsi="Century"/>
          <w:b/>
          <w:lang w:val="id-ID"/>
        </w:rPr>
        <w:t>Monitoring dan Evaluasi</w:t>
      </w:r>
    </w:p>
    <w:p w14:paraId="49188E2A" w14:textId="77777777" w:rsidR="00230AB3" w:rsidRDefault="00E33CBD" w:rsidP="005D0273">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Berdasarkan</w:t>
      </w:r>
      <w:proofErr w:type="spellEnd"/>
      <w:r w:rsidRPr="0044344D">
        <w:rPr>
          <w:rFonts w:ascii="Century" w:hAnsi="Century"/>
          <w:sz w:val="24"/>
          <w:szCs w:val="24"/>
          <w:lang w:val="en-US"/>
        </w:rPr>
        <w:t xml:space="preserve"> diagram </w:t>
      </w:r>
      <w:proofErr w:type="spellStart"/>
      <w:r w:rsidRPr="0044344D">
        <w:rPr>
          <w:rFonts w:ascii="Century" w:hAnsi="Century"/>
          <w:sz w:val="24"/>
          <w:szCs w:val="24"/>
          <w:lang w:val="en-US"/>
        </w:rPr>
        <w:t>hasil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evaluasi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relevansi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sebanyak</w:t>
      </w:r>
      <w:proofErr w:type="spellEnd"/>
      <w:r w:rsidRPr="0044344D">
        <w:rPr>
          <w:rFonts w:ascii="Century" w:hAnsi="Century"/>
          <w:sz w:val="24"/>
          <w:szCs w:val="24"/>
          <w:lang w:val="en-US"/>
        </w:rPr>
        <w:t xml:space="preserve"> 52,4% </w:t>
      </w:r>
      <w:proofErr w:type="spellStart"/>
      <w:r w:rsidRPr="0044344D">
        <w:rPr>
          <w:rFonts w:ascii="Century" w:hAnsi="Century"/>
          <w:sz w:val="24"/>
          <w:szCs w:val="24"/>
          <w:lang w:val="en-US"/>
        </w:rPr>
        <w:t>responden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menyatakan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relevan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sebagaimana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ditunjukkan</w:t>
      </w:r>
      <w:proofErr w:type="spellEnd"/>
      <w:r w:rsidRPr="0044344D">
        <w:rPr>
          <w:rFonts w:ascii="Century" w:hAnsi="Century"/>
          <w:sz w:val="24"/>
          <w:szCs w:val="24"/>
          <w:lang w:val="en-US"/>
        </w:rPr>
        <w:t xml:space="preserve"> pada Gambar 4. </w:t>
      </w:r>
    </w:p>
    <w:p w14:paraId="3DCBF4D6" w14:textId="77777777" w:rsidR="00230AB3" w:rsidRDefault="00230AB3" w:rsidP="005D0273">
      <w:pPr>
        <w:pStyle w:val="BodyText"/>
        <w:tabs>
          <w:tab w:val="clear" w:pos="288"/>
        </w:tabs>
        <w:spacing w:after="0" w:line="276" w:lineRule="auto"/>
        <w:ind w:firstLine="426"/>
        <w:rPr>
          <w:rFonts w:ascii="Century" w:hAnsi="Century"/>
          <w:sz w:val="24"/>
          <w:szCs w:val="24"/>
          <w:lang w:val="en-US"/>
        </w:rPr>
      </w:pPr>
    </w:p>
    <w:p w14:paraId="45724496" w14:textId="77777777" w:rsidR="00230AB3" w:rsidRPr="0044344D" w:rsidRDefault="00230AB3" w:rsidP="00230AB3">
      <w:pPr>
        <w:pStyle w:val="BodyText"/>
        <w:tabs>
          <w:tab w:val="clear" w:pos="288"/>
        </w:tabs>
        <w:spacing w:after="0" w:line="276" w:lineRule="auto"/>
        <w:ind w:firstLine="0"/>
        <w:jc w:val="center"/>
        <w:rPr>
          <w:rFonts w:ascii="Century" w:hAnsi="Century"/>
          <w:sz w:val="22"/>
          <w:szCs w:val="22"/>
          <w:lang w:val="en-US"/>
        </w:rPr>
      </w:pPr>
      <w:r w:rsidRPr="0044344D">
        <w:rPr>
          <w:rFonts w:ascii="Century" w:hAnsi="Century"/>
          <w:noProof/>
          <w:sz w:val="22"/>
          <w:szCs w:val="22"/>
        </w:rPr>
        <w:drawing>
          <wp:inline distT="0" distB="0" distL="0" distR="0" wp14:anchorId="53809FFE" wp14:editId="6A75246D">
            <wp:extent cx="3394364" cy="1432360"/>
            <wp:effectExtent l="0" t="0" r="0" b="0"/>
            <wp:docPr id="96326557" name="Picture 9" descr="Diagram jawaban Formulir. Judul pertanyaan: Seberapa relevan topik pelatihan kualitas daya listrik dengan kebutuhan anda sebagai siswa SMK?. Jumlah jawaban: 2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 jawaban Formulir. Judul pertanyaan: Seberapa relevan topik pelatihan kualitas daya listrik dengan kebutuhan anda sebagai siswa SMK?. Jumlah jawaban: 21 jawaban."/>
                    <pic:cNvPicPr>
                      <a:picLocks noChangeAspect="1" noChangeArrowheads="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40638" cy="1451887"/>
                    </a:xfrm>
                    <a:prstGeom prst="rect">
                      <a:avLst/>
                    </a:prstGeom>
                    <a:noFill/>
                    <a:ln>
                      <a:noFill/>
                    </a:ln>
                    <a:extLst>
                      <a:ext uri="{53640926-AAD7-44D8-BBD7-CCE9431645EC}">
                        <a14:shadowObscured xmlns:a14="http://schemas.microsoft.com/office/drawing/2010/main"/>
                      </a:ext>
                    </a:extLst>
                  </pic:spPr>
                </pic:pic>
              </a:graphicData>
            </a:graphic>
          </wp:inline>
        </w:drawing>
      </w:r>
    </w:p>
    <w:p w14:paraId="4BBE02DC" w14:textId="77777777" w:rsidR="00230AB3" w:rsidRPr="0044344D" w:rsidRDefault="00230AB3" w:rsidP="00230AB3">
      <w:pPr>
        <w:pStyle w:val="BodyText"/>
        <w:tabs>
          <w:tab w:val="clear" w:pos="288"/>
        </w:tabs>
        <w:spacing w:after="0" w:line="276" w:lineRule="auto"/>
        <w:ind w:firstLine="0"/>
        <w:jc w:val="center"/>
        <w:rPr>
          <w:rFonts w:ascii="Century" w:hAnsi="Century"/>
          <w:sz w:val="22"/>
          <w:szCs w:val="22"/>
          <w:lang w:val="en-US"/>
        </w:rPr>
      </w:pPr>
      <w:r w:rsidRPr="005D0273">
        <w:rPr>
          <w:rFonts w:ascii="Century" w:hAnsi="Century"/>
          <w:b/>
          <w:bCs/>
          <w:sz w:val="22"/>
          <w:szCs w:val="22"/>
          <w:lang w:val="en-US"/>
        </w:rPr>
        <w:t xml:space="preserve">Gambar </w:t>
      </w:r>
      <w:r>
        <w:rPr>
          <w:rFonts w:ascii="Century" w:hAnsi="Century"/>
          <w:b/>
          <w:bCs/>
          <w:sz w:val="22"/>
          <w:szCs w:val="22"/>
          <w:lang w:val="en-US"/>
        </w:rPr>
        <w:t xml:space="preserve">4. </w:t>
      </w:r>
      <w:r w:rsidRPr="0044344D">
        <w:rPr>
          <w:rFonts w:ascii="Century" w:hAnsi="Century"/>
          <w:sz w:val="22"/>
          <w:szCs w:val="22"/>
          <w:lang w:val="en-US"/>
        </w:rPr>
        <w:t xml:space="preserve">Hasil </w:t>
      </w:r>
      <w:proofErr w:type="spellStart"/>
      <w:r w:rsidRPr="0044344D">
        <w:rPr>
          <w:rFonts w:ascii="Century" w:hAnsi="Century"/>
          <w:sz w:val="22"/>
          <w:szCs w:val="22"/>
          <w:lang w:val="en-US"/>
        </w:rPr>
        <w:t>Kuisioner</w:t>
      </w:r>
      <w:proofErr w:type="spellEnd"/>
      <w:r w:rsidRPr="0044344D">
        <w:rPr>
          <w:rFonts w:ascii="Century" w:hAnsi="Century"/>
          <w:sz w:val="22"/>
          <w:szCs w:val="22"/>
          <w:lang w:val="en-US"/>
        </w:rPr>
        <w:t xml:space="preserve"> Tingkat </w:t>
      </w:r>
      <w:proofErr w:type="spellStart"/>
      <w:r w:rsidRPr="0044344D">
        <w:rPr>
          <w:rFonts w:ascii="Century" w:hAnsi="Century"/>
          <w:sz w:val="22"/>
          <w:szCs w:val="22"/>
          <w:lang w:val="en-US"/>
        </w:rPr>
        <w:t>Relevansi</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Kegiatan</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Abdimas</w:t>
      </w:r>
      <w:proofErr w:type="spellEnd"/>
    </w:p>
    <w:p w14:paraId="1097DE31" w14:textId="77777777" w:rsidR="00230AB3" w:rsidRDefault="00230AB3" w:rsidP="00230AB3">
      <w:pPr>
        <w:pStyle w:val="BodyText"/>
        <w:tabs>
          <w:tab w:val="clear" w:pos="288"/>
        </w:tabs>
        <w:spacing w:after="0" w:line="276" w:lineRule="auto"/>
        <w:ind w:firstLine="426"/>
        <w:rPr>
          <w:rFonts w:ascii="Century" w:hAnsi="Century"/>
          <w:sz w:val="24"/>
          <w:szCs w:val="24"/>
          <w:lang w:val="en-US"/>
        </w:rPr>
      </w:pPr>
      <w:r>
        <w:rPr>
          <w:rFonts w:ascii="Century" w:hAnsi="Century"/>
          <w:sz w:val="24"/>
          <w:szCs w:val="24"/>
          <w:lang w:val="en-US"/>
        </w:rPr>
        <w:lastRenderedPageBreak/>
        <w:t xml:space="preserve">Gambar 4 </w:t>
      </w:r>
      <w:proofErr w:type="spellStart"/>
      <w:r>
        <w:rPr>
          <w:rFonts w:ascii="Century" w:hAnsi="Century"/>
          <w:sz w:val="24"/>
          <w:szCs w:val="24"/>
          <w:lang w:val="en-US"/>
        </w:rPr>
        <w:t>menunjukkan</w:t>
      </w:r>
      <w:proofErr w:type="spellEnd"/>
      <w:r>
        <w:rPr>
          <w:rFonts w:ascii="Century" w:hAnsi="Century"/>
          <w:sz w:val="24"/>
          <w:szCs w:val="24"/>
          <w:lang w:val="en-US"/>
        </w:rPr>
        <w:t xml:space="preserve"> </w:t>
      </w:r>
      <w:proofErr w:type="spellStart"/>
      <w:r w:rsidRPr="0044344D">
        <w:rPr>
          <w:rFonts w:ascii="Century" w:hAnsi="Century"/>
          <w:sz w:val="24"/>
          <w:szCs w:val="24"/>
          <w:lang w:val="en-US"/>
        </w:rPr>
        <w:t>partisipan</w:t>
      </w:r>
      <w:proofErr w:type="spellEnd"/>
      <w:r w:rsidRPr="0044344D">
        <w:rPr>
          <w:rFonts w:ascii="Century" w:hAnsi="Century"/>
          <w:sz w:val="24"/>
          <w:szCs w:val="24"/>
          <w:lang w:val="en-US"/>
        </w:rPr>
        <w:t xml:space="preserve"> </w:t>
      </w:r>
      <w:proofErr w:type="spellStart"/>
      <w:r w:rsidR="00E33CBD" w:rsidRPr="0044344D">
        <w:rPr>
          <w:rFonts w:ascii="Century" w:hAnsi="Century"/>
          <w:sz w:val="24"/>
          <w:szCs w:val="24"/>
          <w:lang w:val="en-US"/>
        </w:rPr>
        <w:t>merasa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materi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dianggap</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berguna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untuk</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praktik</w:t>
      </w:r>
      <w:proofErr w:type="spellEnd"/>
      <w:r w:rsidR="00E33CBD" w:rsidRPr="0044344D">
        <w:rPr>
          <w:rFonts w:ascii="Century" w:hAnsi="Century"/>
          <w:sz w:val="24"/>
          <w:szCs w:val="24"/>
          <w:lang w:val="en-US"/>
        </w:rPr>
        <w:t xml:space="preserve"> di </w:t>
      </w:r>
      <w:proofErr w:type="spellStart"/>
      <w:r w:rsidR="00E33CBD" w:rsidRPr="0044344D">
        <w:rPr>
          <w:rFonts w:ascii="Century" w:hAnsi="Century"/>
          <w:sz w:val="24"/>
          <w:szCs w:val="24"/>
          <w:lang w:val="en-US"/>
        </w:rPr>
        <w:t>sekolah</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atau</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industri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Sebanyak</w:t>
      </w:r>
      <w:proofErr w:type="spellEnd"/>
      <w:r w:rsidR="00E33CBD" w:rsidRPr="0044344D">
        <w:rPr>
          <w:rFonts w:ascii="Century" w:hAnsi="Century"/>
          <w:sz w:val="24"/>
          <w:szCs w:val="24"/>
          <w:lang w:val="en-US"/>
        </w:rPr>
        <w:t xml:space="preserve"> 42,9% </w:t>
      </w:r>
      <w:proofErr w:type="spellStart"/>
      <w:r w:rsidR="00E33CBD" w:rsidRPr="0044344D">
        <w:rPr>
          <w:rFonts w:ascii="Century" w:hAnsi="Century"/>
          <w:sz w:val="24"/>
          <w:szCs w:val="24"/>
          <w:lang w:val="en-US"/>
        </w:rPr>
        <w:t>peserta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menilai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materi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cukup</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relevan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menunjukkan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bahwa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meskipun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materi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bermanfaat</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masih</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terdapat</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ruang</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untuk</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pengembangan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lebih</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lanjut</w:t>
      </w:r>
      <w:proofErr w:type="spellEnd"/>
      <w:r w:rsidR="00E33CBD" w:rsidRPr="0044344D">
        <w:rPr>
          <w:rFonts w:ascii="Century" w:hAnsi="Century"/>
          <w:sz w:val="24"/>
          <w:szCs w:val="24"/>
          <w:lang w:val="en-US"/>
        </w:rPr>
        <w:t xml:space="preserve"> agar </w:t>
      </w:r>
      <w:proofErr w:type="spellStart"/>
      <w:r w:rsidR="00E33CBD" w:rsidRPr="0044344D">
        <w:rPr>
          <w:rFonts w:ascii="Century" w:hAnsi="Century"/>
          <w:sz w:val="24"/>
          <w:szCs w:val="24"/>
          <w:lang w:val="en-US"/>
        </w:rPr>
        <w:t>lebih</w:t>
      </w:r>
      <w:proofErr w:type="spellEnd"/>
      <w:r w:rsidR="00E33CBD" w:rsidRPr="0044344D">
        <w:rPr>
          <w:rFonts w:ascii="Century" w:hAnsi="Century"/>
          <w:sz w:val="24"/>
          <w:szCs w:val="24"/>
          <w:lang w:val="en-US"/>
        </w:rPr>
        <w:t xml:space="preserve"> optimal. </w:t>
      </w:r>
      <w:proofErr w:type="spellStart"/>
      <w:r w:rsidR="00E33CBD" w:rsidRPr="0044344D">
        <w:rPr>
          <w:rFonts w:ascii="Century" w:hAnsi="Century"/>
          <w:sz w:val="24"/>
          <w:szCs w:val="24"/>
          <w:lang w:val="en-US"/>
        </w:rPr>
        <w:t>Terhitung</w:t>
      </w:r>
      <w:proofErr w:type="spellEnd"/>
      <w:r w:rsidR="00E33CBD" w:rsidRPr="0044344D">
        <w:rPr>
          <w:rFonts w:ascii="Century" w:hAnsi="Century"/>
          <w:sz w:val="24"/>
          <w:szCs w:val="24"/>
          <w:lang w:val="en-US"/>
        </w:rPr>
        <w:t xml:space="preserve"> 4,7% </w:t>
      </w:r>
      <w:proofErr w:type="spellStart"/>
      <w:r w:rsidR="00E33CBD" w:rsidRPr="0044344D">
        <w:rPr>
          <w:rFonts w:ascii="Century" w:hAnsi="Century"/>
          <w:sz w:val="24"/>
          <w:szCs w:val="24"/>
          <w:lang w:val="en-US"/>
        </w:rPr>
        <w:t>peserta</w:t>
      </w:r>
      <w:proofErr w:type="spellEnd"/>
      <w:r w:rsidR="00E33CBD" w:rsidRPr="0044344D">
        <w:rPr>
          <w:rFonts w:ascii="Century" w:hAnsi="Century"/>
          <w:sz w:val="24"/>
          <w:szCs w:val="24"/>
          <w:lang w:val="en-US"/>
        </w:rPr>
        <w:t xml:space="preserve"> yang </w:t>
      </w:r>
      <w:proofErr w:type="spellStart"/>
      <w:r w:rsidR="00E33CBD" w:rsidRPr="0044344D">
        <w:rPr>
          <w:rFonts w:ascii="Century" w:hAnsi="Century"/>
          <w:sz w:val="24"/>
          <w:szCs w:val="24"/>
          <w:lang w:val="en-US"/>
        </w:rPr>
        <w:t>menilai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materi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tidak</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relevan</w:t>
      </w:r>
      <w:proofErr w:type="spellEnd"/>
      <w:r w:rsidR="00E33CBD" w:rsidRPr="0044344D">
        <w:rPr>
          <w:rFonts w:ascii="Century" w:hAnsi="Century"/>
          <w:sz w:val="24"/>
          <w:szCs w:val="24"/>
          <w:lang w:val="en-US"/>
        </w:rPr>
        <w:t xml:space="preserve">, yang </w:t>
      </w:r>
      <w:proofErr w:type="spellStart"/>
      <w:r w:rsidR="00E33CBD" w:rsidRPr="0044344D">
        <w:rPr>
          <w:rFonts w:ascii="Century" w:hAnsi="Century"/>
          <w:sz w:val="24"/>
          <w:szCs w:val="24"/>
          <w:lang w:val="en-US"/>
        </w:rPr>
        <w:t>mengindikasikan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bahwa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sebagian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kecil</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peserta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merasa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materi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belum</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sepenuhnya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sesuai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dengan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kebutuhan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atau</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jurusan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mereka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Secara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keseluruhan</w:t>
      </w:r>
      <w:proofErr w:type="spellEnd"/>
      <w:r w:rsidR="00E33CBD" w:rsidRPr="0044344D">
        <w:rPr>
          <w:rFonts w:ascii="Century" w:hAnsi="Century"/>
          <w:sz w:val="24"/>
          <w:szCs w:val="24"/>
          <w:lang w:val="en-US"/>
        </w:rPr>
        <w:t xml:space="preserve">, data </w:t>
      </w:r>
      <w:proofErr w:type="spellStart"/>
      <w:r w:rsidR="00E33CBD" w:rsidRPr="0044344D">
        <w:rPr>
          <w:rFonts w:ascii="Century" w:hAnsi="Century"/>
          <w:sz w:val="24"/>
          <w:szCs w:val="24"/>
          <w:lang w:val="en-US"/>
        </w:rPr>
        <w:t>ini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menunjukkan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bahwa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materi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pelatihan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disusun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dengan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baik</w:t>
      </w:r>
      <w:proofErr w:type="spellEnd"/>
      <w:r w:rsidR="00E33CBD" w:rsidRPr="0044344D">
        <w:rPr>
          <w:rFonts w:ascii="Century" w:hAnsi="Century"/>
          <w:sz w:val="24"/>
          <w:szCs w:val="24"/>
          <w:lang w:val="en-US"/>
        </w:rPr>
        <w:t xml:space="preserve"> dan </w:t>
      </w:r>
      <w:proofErr w:type="spellStart"/>
      <w:r w:rsidR="00E33CBD" w:rsidRPr="0044344D">
        <w:rPr>
          <w:rFonts w:ascii="Century" w:hAnsi="Century"/>
          <w:sz w:val="24"/>
          <w:szCs w:val="24"/>
          <w:lang w:val="en-US"/>
        </w:rPr>
        <w:t>memiliki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tingkat</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relevansi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tinggi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terhadap</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kebutuhan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peserta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khususnya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dalam</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konteks</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pendidikan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vokasi</w:t>
      </w:r>
      <w:proofErr w:type="spellEnd"/>
      <w:r w:rsidR="00E33CBD" w:rsidRPr="0044344D">
        <w:rPr>
          <w:rFonts w:ascii="Century" w:hAnsi="Century"/>
          <w:sz w:val="24"/>
          <w:szCs w:val="24"/>
          <w:lang w:val="en-US"/>
        </w:rPr>
        <w:t xml:space="preserve"> dan </w:t>
      </w:r>
      <w:proofErr w:type="spellStart"/>
      <w:r w:rsidR="00E33CBD" w:rsidRPr="0044344D">
        <w:rPr>
          <w:rFonts w:ascii="Century" w:hAnsi="Century"/>
          <w:sz w:val="24"/>
          <w:szCs w:val="24"/>
          <w:lang w:val="en-US"/>
        </w:rPr>
        <w:t>penerapan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teknologi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energi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terbarukan</w:t>
      </w:r>
      <w:proofErr w:type="spellEnd"/>
      <w:r w:rsidR="00E33CBD" w:rsidRPr="0044344D">
        <w:rPr>
          <w:rFonts w:ascii="Century" w:hAnsi="Century"/>
          <w:sz w:val="24"/>
          <w:szCs w:val="24"/>
          <w:lang w:val="en-US"/>
        </w:rPr>
        <w:t>.</w:t>
      </w:r>
      <w:r>
        <w:rPr>
          <w:rFonts w:ascii="Century" w:hAnsi="Century"/>
          <w:sz w:val="24"/>
          <w:szCs w:val="24"/>
          <w:lang w:val="en-US"/>
        </w:rPr>
        <w:t xml:space="preserve"> </w:t>
      </w:r>
      <w:proofErr w:type="spellStart"/>
      <w:r w:rsidR="00E33CBD" w:rsidRPr="0044344D">
        <w:rPr>
          <w:rFonts w:ascii="Century" w:hAnsi="Century"/>
          <w:sz w:val="24"/>
          <w:szCs w:val="24"/>
          <w:lang w:val="en-US"/>
        </w:rPr>
        <w:t>Merujuk</w:t>
      </w:r>
      <w:proofErr w:type="spellEnd"/>
      <w:r w:rsidR="00E33CBD" w:rsidRPr="0044344D">
        <w:rPr>
          <w:rFonts w:ascii="Century" w:hAnsi="Century"/>
          <w:sz w:val="24"/>
          <w:szCs w:val="24"/>
          <w:lang w:val="en-US"/>
        </w:rPr>
        <w:t xml:space="preserve"> pada </w:t>
      </w:r>
      <w:proofErr w:type="spellStart"/>
      <w:r w:rsidR="00E33CBD" w:rsidRPr="0044344D">
        <w:rPr>
          <w:rFonts w:ascii="Century" w:hAnsi="Century"/>
          <w:sz w:val="24"/>
          <w:szCs w:val="24"/>
          <w:lang w:val="en-US"/>
        </w:rPr>
        <w:t>hasil</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survei</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terhadap</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kelengkapan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alat</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praktikum</w:t>
      </w:r>
      <w:proofErr w:type="spellEnd"/>
      <w:r w:rsidR="00E33CBD" w:rsidRPr="0044344D">
        <w:rPr>
          <w:rFonts w:ascii="Century" w:hAnsi="Century"/>
          <w:sz w:val="24"/>
          <w:szCs w:val="24"/>
          <w:lang w:val="en-US"/>
        </w:rPr>
        <w:t xml:space="preserve"> yang </w:t>
      </w:r>
      <w:proofErr w:type="spellStart"/>
      <w:r w:rsidR="00E33CBD" w:rsidRPr="0044344D">
        <w:rPr>
          <w:rFonts w:ascii="Century" w:hAnsi="Century"/>
          <w:sz w:val="24"/>
          <w:szCs w:val="24"/>
          <w:lang w:val="en-US"/>
        </w:rPr>
        <w:t>disediakan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selama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kegiatan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mayoritas</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peserta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memberikan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penilaian</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positif</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sebagaimana</w:t>
      </w:r>
      <w:proofErr w:type="spellEnd"/>
      <w:r w:rsidR="00E33CBD" w:rsidRPr="0044344D">
        <w:rPr>
          <w:rFonts w:ascii="Century" w:hAnsi="Century"/>
          <w:sz w:val="24"/>
          <w:szCs w:val="24"/>
          <w:lang w:val="en-US"/>
        </w:rPr>
        <w:t xml:space="preserve"> </w:t>
      </w:r>
      <w:proofErr w:type="spellStart"/>
      <w:r w:rsidR="00E33CBD" w:rsidRPr="0044344D">
        <w:rPr>
          <w:rFonts w:ascii="Century" w:hAnsi="Century"/>
          <w:sz w:val="24"/>
          <w:szCs w:val="24"/>
          <w:lang w:val="en-US"/>
        </w:rPr>
        <w:t>ditunjukkan</w:t>
      </w:r>
      <w:proofErr w:type="spellEnd"/>
      <w:r w:rsidR="00E33CBD" w:rsidRPr="0044344D">
        <w:rPr>
          <w:rFonts w:ascii="Century" w:hAnsi="Century"/>
          <w:sz w:val="24"/>
          <w:szCs w:val="24"/>
          <w:lang w:val="en-US"/>
        </w:rPr>
        <w:t xml:space="preserve"> oleh Gambar 5. </w:t>
      </w:r>
    </w:p>
    <w:p w14:paraId="3577C7B2" w14:textId="77777777" w:rsidR="00230AB3" w:rsidRDefault="00230AB3" w:rsidP="00230AB3">
      <w:pPr>
        <w:pStyle w:val="BodyText"/>
        <w:tabs>
          <w:tab w:val="clear" w:pos="288"/>
        </w:tabs>
        <w:spacing w:after="0" w:line="276" w:lineRule="auto"/>
        <w:ind w:firstLine="426"/>
        <w:rPr>
          <w:rFonts w:ascii="Century" w:hAnsi="Century"/>
          <w:sz w:val="24"/>
          <w:szCs w:val="24"/>
          <w:lang w:val="en-US"/>
        </w:rPr>
      </w:pPr>
    </w:p>
    <w:p w14:paraId="2DCA5E3B" w14:textId="77777777" w:rsidR="00230AB3" w:rsidRPr="0044344D" w:rsidRDefault="00230AB3" w:rsidP="00230AB3">
      <w:pPr>
        <w:pStyle w:val="BodyText"/>
        <w:tabs>
          <w:tab w:val="clear" w:pos="288"/>
        </w:tabs>
        <w:spacing w:after="0" w:line="276" w:lineRule="auto"/>
        <w:ind w:firstLine="0"/>
        <w:jc w:val="center"/>
        <w:rPr>
          <w:rFonts w:ascii="Century" w:hAnsi="Century"/>
          <w:sz w:val="22"/>
          <w:szCs w:val="22"/>
          <w:lang w:val="en-US"/>
        </w:rPr>
      </w:pPr>
      <w:r w:rsidRPr="0044344D">
        <w:rPr>
          <w:rFonts w:ascii="Century" w:hAnsi="Century"/>
          <w:noProof/>
          <w:sz w:val="22"/>
          <w:szCs w:val="22"/>
          <w:lang w:val="en-US"/>
        </w:rPr>
        <w:drawing>
          <wp:inline distT="0" distB="0" distL="0" distR="0" wp14:anchorId="254983F8" wp14:editId="14983F56">
            <wp:extent cx="4024794" cy="1794163"/>
            <wp:effectExtent l="0" t="0" r="0" b="0"/>
            <wp:docPr id="1109927193" name="Picture 1" descr="A graph with a bar and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27193" name="Picture 1" descr="A graph with a bar and a number of objects&#10;&#10;AI-generated content may be incorrect."/>
                    <pic:cNvPicPr/>
                  </pic:nvPicPr>
                  <pic:blipFill>
                    <a:blip r:embed="rId20" cstate="print">
                      <a:extLst>
                        <a:ext uri="{28A0092B-C50C-407E-A947-70E740481C1C}">
                          <a14:useLocalDpi xmlns:a14="http://schemas.microsoft.com/office/drawing/2010/main"/>
                        </a:ext>
                      </a:extLst>
                    </a:blip>
                    <a:stretch>
                      <a:fillRect/>
                    </a:stretch>
                  </pic:blipFill>
                  <pic:spPr>
                    <a:xfrm>
                      <a:off x="0" y="0"/>
                      <a:ext cx="4058715" cy="1809284"/>
                    </a:xfrm>
                    <a:prstGeom prst="rect">
                      <a:avLst/>
                    </a:prstGeom>
                  </pic:spPr>
                </pic:pic>
              </a:graphicData>
            </a:graphic>
          </wp:inline>
        </w:drawing>
      </w:r>
    </w:p>
    <w:p w14:paraId="0AD5F70D" w14:textId="77777777" w:rsidR="00230AB3" w:rsidRDefault="00230AB3" w:rsidP="00230AB3">
      <w:pPr>
        <w:pStyle w:val="BodyText"/>
        <w:tabs>
          <w:tab w:val="clear" w:pos="288"/>
        </w:tabs>
        <w:spacing w:after="0" w:line="276" w:lineRule="auto"/>
        <w:ind w:firstLine="0"/>
        <w:jc w:val="center"/>
        <w:rPr>
          <w:rFonts w:ascii="Century" w:hAnsi="Century"/>
          <w:sz w:val="22"/>
          <w:szCs w:val="22"/>
          <w:lang w:val="en-US"/>
        </w:rPr>
      </w:pPr>
      <w:r w:rsidRPr="00230AB3">
        <w:rPr>
          <w:rFonts w:ascii="Century" w:hAnsi="Century"/>
          <w:b/>
          <w:bCs/>
          <w:sz w:val="22"/>
          <w:szCs w:val="22"/>
          <w:lang w:val="en-US"/>
        </w:rPr>
        <w:t>Gambar 5.</w:t>
      </w:r>
      <w:r>
        <w:rPr>
          <w:rFonts w:ascii="Century" w:hAnsi="Century"/>
          <w:sz w:val="22"/>
          <w:szCs w:val="22"/>
          <w:lang w:val="en-US"/>
        </w:rPr>
        <w:t xml:space="preserve"> </w:t>
      </w:r>
      <w:r w:rsidRPr="0044344D">
        <w:rPr>
          <w:rFonts w:ascii="Century" w:hAnsi="Century"/>
          <w:sz w:val="22"/>
          <w:szCs w:val="22"/>
          <w:lang w:val="en-US"/>
        </w:rPr>
        <w:t xml:space="preserve">Hasil </w:t>
      </w:r>
      <w:proofErr w:type="spellStart"/>
      <w:r w:rsidRPr="0044344D">
        <w:rPr>
          <w:rFonts w:ascii="Century" w:hAnsi="Century"/>
          <w:sz w:val="22"/>
          <w:szCs w:val="22"/>
          <w:lang w:val="en-US"/>
        </w:rPr>
        <w:t>Kuisioner</w:t>
      </w:r>
      <w:proofErr w:type="spellEnd"/>
      <w:r w:rsidRPr="0044344D">
        <w:rPr>
          <w:rFonts w:ascii="Century" w:hAnsi="Century"/>
          <w:sz w:val="22"/>
          <w:szCs w:val="22"/>
          <w:lang w:val="en-US"/>
        </w:rPr>
        <w:t xml:space="preserve"> Tingkat </w:t>
      </w:r>
      <w:proofErr w:type="spellStart"/>
      <w:r w:rsidRPr="0044344D">
        <w:rPr>
          <w:rFonts w:ascii="Century" w:hAnsi="Century"/>
          <w:sz w:val="22"/>
          <w:szCs w:val="22"/>
          <w:lang w:val="en-US"/>
        </w:rPr>
        <w:t>Kelengkapan</w:t>
      </w:r>
      <w:proofErr w:type="spellEnd"/>
      <w:r w:rsidRPr="0044344D">
        <w:rPr>
          <w:rFonts w:ascii="Century" w:hAnsi="Century"/>
          <w:sz w:val="22"/>
          <w:szCs w:val="22"/>
          <w:lang w:val="en-US"/>
        </w:rPr>
        <w:t xml:space="preserve"> </w:t>
      </w:r>
    </w:p>
    <w:p w14:paraId="478DC849" w14:textId="2F34776A" w:rsidR="00230AB3" w:rsidRDefault="00230AB3" w:rsidP="00230AB3">
      <w:pPr>
        <w:pStyle w:val="BodyText"/>
        <w:tabs>
          <w:tab w:val="clear" w:pos="288"/>
        </w:tabs>
        <w:spacing w:after="0" w:line="276" w:lineRule="auto"/>
        <w:ind w:firstLine="0"/>
        <w:jc w:val="center"/>
        <w:rPr>
          <w:rFonts w:ascii="Century" w:hAnsi="Century"/>
          <w:sz w:val="22"/>
          <w:szCs w:val="22"/>
          <w:lang w:val="en-US"/>
        </w:rPr>
      </w:pPr>
      <w:proofErr w:type="spellStart"/>
      <w:r w:rsidRPr="0044344D">
        <w:rPr>
          <w:rFonts w:ascii="Century" w:hAnsi="Century"/>
          <w:sz w:val="22"/>
          <w:szCs w:val="22"/>
          <w:lang w:val="en-US"/>
        </w:rPr>
        <w:t>Perangkat</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dalam</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Kegiatan</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Abdimas</w:t>
      </w:r>
      <w:proofErr w:type="spellEnd"/>
    </w:p>
    <w:p w14:paraId="36E903F6" w14:textId="77777777" w:rsidR="00230AB3" w:rsidRDefault="00230AB3" w:rsidP="00230AB3">
      <w:pPr>
        <w:pStyle w:val="BodyText"/>
        <w:tabs>
          <w:tab w:val="clear" w:pos="288"/>
        </w:tabs>
        <w:spacing w:after="0" w:line="276" w:lineRule="auto"/>
        <w:ind w:firstLine="426"/>
        <w:rPr>
          <w:rFonts w:ascii="Century" w:hAnsi="Century"/>
          <w:sz w:val="24"/>
          <w:szCs w:val="24"/>
          <w:lang w:val="en-US"/>
        </w:rPr>
      </w:pPr>
    </w:p>
    <w:p w14:paraId="000F5A6C" w14:textId="2449C00C" w:rsidR="00E33CBD" w:rsidRDefault="00E33CBD" w:rsidP="00230AB3">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Sebanyak</w:t>
      </w:r>
      <w:proofErr w:type="spellEnd"/>
      <w:r w:rsidRPr="0044344D">
        <w:rPr>
          <w:rFonts w:ascii="Century" w:hAnsi="Century"/>
          <w:sz w:val="24"/>
          <w:szCs w:val="24"/>
          <w:lang w:val="en-US"/>
        </w:rPr>
        <w:t xml:space="preserve"> 52,6% </w:t>
      </w:r>
      <w:proofErr w:type="spellStart"/>
      <w:r w:rsidRPr="0044344D">
        <w:rPr>
          <w:rFonts w:ascii="Century" w:hAnsi="Century"/>
          <w:sz w:val="24"/>
          <w:szCs w:val="24"/>
          <w:lang w:val="en-US"/>
        </w:rPr>
        <w:t>responden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tertinggi</w:t>
      </w:r>
      <w:proofErr w:type="spellEnd"/>
      <w:r w:rsidRPr="0044344D">
        <w:rPr>
          <w:rFonts w:ascii="Century" w:hAnsi="Century"/>
          <w:sz w:val="24"/>
          <w:szCs w:val="24"/>
          <w:lang w:val="en-US"/>
        </w:rPr>
        <w:t xml:space="preserve"> 5, yang </w:t>
      </w:r>
      <w:proofErr w:type="spellStart"/>
      <w:r w:rsidRPr="0044344D">
        <w:rPr>
          <w:rFonts w:ascii="Century" w:hAnsi="Century"/>
          <w:sz w:val="24"/>
          <w:szCs w:val="24"/>
          <w:lang w:val="en-US"/>
        </w:rPr>
        <w:t>menunjukkan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bahwa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mereka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merasa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praktikum</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lengkap</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memadai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Selanjutnya</w:t>
      </w:r>
      <w:proofErr w:type="spellEnd"/>
      <w:r w:rsidRPr="0044344D">
        <w:rPr>
          <w:rFonts w:ascii="Century" w:hAnsi="Century"/>
          <w:sz w:val="24"/>
          <w:szCs w:val="24"/>
          <w:lang w:val="en-US"/>
        </w:rPr>
        <w:t xml:space="preserve">, 36,8% </w:t>
      </w:r>
      <w:proofErr w:type="spellStart"/>
      <w:r w:rsidRPr="0044344D">
        <w:rPr>
          <w:rFonts w:ascii="Century" w:hAnsi="Century"/>
          <w:sz w:val="24"/>
          <w:szCs w:val="24"/>
          <w:lang w:val="en-US"/>
        </w:rPr>
        <w:t>responden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4, </w:t>
      </w:r>
      <w:proofErr w:type="spellStart"/>
      <w:r w:rsidRPr="0044344D">
        <w:rPr>
          <w:rFonts w:ascii="Century" w:hAnsi="Century"/>
          <w:sz w:val="24"/>
          <w:szCs w:val="24"/>
          <w:lang w:val="en-US"/>
        </w:rPr>
        <w:t>menandakan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bahwa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alat</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disediakan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cukup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kegiatan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Sejumlah</w:t>
      </w:r>
      <w:proofErr w:type="spellEnd"/>
      <w:r w:rsidRPr="0044344D">
        <w:rPr>
          <w:rFonts w:ascii="Century" w:hAnsi="Century"/>
          <w:sz w:val="24"/>
          <w:szCs w:val="24"/>
          <w:lang w:val="en-US"/>
        </w:rPr>
        <w:t xml:space="preserve"> 10,5%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3, dan </w:t>
      </w:r>
      <w:proofErr w:type="spellStart"/>
      <w:r w:rsidRPr="0044344D">
        <w:rPr>
          <w:rFonts w:ascii="Century" w:hAnsi="Century"/>
          <w:sz w:val="24"/>
          <w:szCs w:val="24"/>
          <w:lang w:val="en-US"/>
        </w:rPr>
        <w:t>tidak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ada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1 </w:t>
      </w:r>
      <w:proofErr w:type="spellStart"/>
      <w:r w:rsidRPr="0044344D">
        <w:rPr>
          <w:rFonts w:ascii="Century" w:hAnsi="Century"/>
          <w:sz w:val="24"/>
          <w:szCs w:val="24"/>
          <w:lang w:val="en-US"/>
        </w:rPr>
        <w:t>atau</w:t>
      </w:r>
      <w:proofErr w:type="spellEnd"/>
      <w:r w:rsidRPr="0044344D">
        <w:rPr>
          <w:rFonts w:ascii="Century" w:hAnsi="Century"/>
          <w:sz w:val="24"/>
          <w:szCs w:val="24"/>
          <w:lang w:val="en-US"/>
        </w:rPr>
        <w:t xml:space="preserve"> 2. </w:t>
      </w:r>
      <w:proofErr w:type="spellStart"/>
      <w:r w:rsidRPr="0044344D">
        <w:rPr>
          <w:rFonts w:ascii="Century" w:hAnsi="Century"/>
          <w:sz w:val="24"/>
          <w:szCs w:val="24"/>
          <w:lang w:val="en-US"/>
        </w:rPr>
        <w:t>Penyediaan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sarana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pendukung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sudah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memenuhi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ekspektasi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mayoritas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sehingga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mendukung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efektivitas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mengenalkan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teknologi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langsung</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aplikatif</w:t>
      </w:r>
      <w:proofErr w:type="spellEnd"/>
      <w:r w:rsidRPr="0044344D">
        <w:rPr>
          <w:rFonts w:ascii="Century" w:hAnsi="Century"/>
          <w:sz w:val="24"/>
          <w:szCs w:val="24"/>
          <w:lang w:val="en-US"/>
        </w:rPr>
        <w:t>.</w:t>
      </w:r>
    </w:p>
    <w:p w14:paraId="1298F7E3" w14:textId="77777777" w:rsidR="005D0273" w:rsidRPr="0044344D" w:rsidRDefault="005D0273" w:rsidP="005D0273">
      <w:pPr>
        <w:pStyle w:val="BodyText"/>
        <w:tabs>
          <w:tab w:val="clear" w:pos="288"/>
        </w:tabs>
        <w:spacing w:after="0" w:line="276" w:lineRule="auto"/>
        <w:ind w:firstLine="0"/>
        <w:rPr>
          <w:rFonts w:ascii="Century" w:hAnsi="Century"/>
          <w:sz w:val="22"/>
          <w:szCs w:val="22"/>
          <w:lang w:val="en-US"/>
        </w:rPr>
      </w:pPr>
    </w:p>
    <w:p w14:paraId="2F6362E1" w14:textId="77777777" w:rsidR="005D0273" w:rsidRPr="0044344D" w:rsidRDefault="005D0273" w:rsidP="00230AB3">
      <w:pPr>
        <w:pStyle w:val="BodyText"/>
        <w:tabs>
          <w:tab w:val="clear" w:pos="288"/>
        </w:tabs>
        <w:spacing w:after="0" w:line="276" w:lineRule="auto"/>
        <w:ind w:firstLine="0"/>
        <w:jc w:val="center"/>
        <w:rPr>
          <w:rFonts w:ascii="Century" w:hAnsi="Century"/>
          <w:sz w:val="22"/>
          <w:szCs w:val="22"/>
          <w:lang w:val="en-US"/>
        </w:rPr>
      </w:pPr>
      <w:r w:rsidRPr="0044344D">
        <w:rPr>
          <w:rFonts w:ascii="Century" w:hAnsi="Century"/>
          <w:noProof/>
          <w:sz w:val="22"/>
          <w:szCs w:val="22"/>
          <w:lang w:val="en-US"/>
        </w:rPr>
        <w:drawing>
          <wp:inline distT="0" distB="0" distL="0" distR="0" wp14:anchorId="14A858F4" wp14:editId="19693C7E">
            <wp:extent cx="3561890" cy="1611517"/>
            <wp:effectExtent l="0" t="0" r="0" b="0"/>
            <wp:docPr id="367469865" name="Picture 1" descr="A graph with a bar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69865" name="Picture 1" descr="A graph with a bar and numbers&#10;&#10;AI-generated content may be incorrect."/>
                    <pic:cNvPicPr/>
                  </pic:nvPicPr>
                  <pic:blipFill>
                    <a:blip r:embed="rId21" cstate="screen">
                      <a:extLst>
                        <a:ext uri="{28A0092B-C50C-407E-A947-70E740481C1C}">
                          <a14:useLocalDpi xmlns:a14="http://schemas.microsoft.com/office/drawing/2010/main"/>
                        </a:ext>
                      </a:extLst>
                    </a:blip>
                    <a:stretch>
                      <a:fillRect/>
                    </a:stretch>
                  </pic:blipFill>
                  <pic:spPr>
                    <a:xfrm>
                      <a:off x="0" y="0"/>
                      <a:ext cx="3586494" cy="1622649"/>
                    </a:xfrm>
                    <a:prstGeom prst="rect">
                      <a:avLst/>
                    </a:prstGeom>
                  </pic:spPr>
                </pic:pic>
              </a:graphicData>
            </a:graphic>
          </wp:inline>
        </w:drawing>
      </w:r>
    </w:p>
    <w:p w14:paraId="12D51C38" w14:textId="77777777" w:rsidR="005D0273" w:rsidRPr="0044344D" w:rsidRDefault="005D0273" w:rsidP="00230AB3">
      <w:pPr>
        <w:pStyle w:val="BodyText"/>
        <w:tabs>
          <w:tab w:val="clear" w:pos="288"/>
        </w:tabs>
        <w:spacing w:after="0" w:line="276" w:lineRule="auto"/>
        <w:ind w:firstLine="0"/>
        <w:jc w:val="center"/>
        <w:rPr>
          <w:rFonts w:ascii="Century" w:hAnsi="Century"/>
          <w:sz w:val="22"/>
          <w:szCs w:val="22"/>
          <w:lang w:val="en-US"/>
        </w:rPr>
      </w:pPr>
      <w:r w:rsidRPr="00230AB3">
        <w:rPr>
          <w:rFonts w:ascii="Century" w:hAnsi="Century"/>
          <w:b/>
          <w:bCs/>
          <w:sz w:val="22"/>
          <w:szCs w:val="22"/>
          <w:lang w:val="en-US"/>
        </w:rPr>
        <w:t>Gambar 6.</w:t>
      </w:r>
      <w:r>
        <w:rPr>
          <w:rFonts w:ascii="Century" w:hAnsi="Century"/>
          <w:sz w:val="22"/>
          <w:szCs w:val="22"/>
          <w:lang w:val="en-US"/>
        </w:rPr>
        <w:t xml:space="preserve"> </w:t>
      </w:r>
      <w:r w:rsidRPr="0044344D">
        <w:rPr>
          <w:rFonts w:ascii="Century" w:hAnsi="Century"/>
          <w:sz w:val="22"/>
          <w:szCs w:val="22"/>
          <w:lang w:val="en-US"/>
        </w:rPr>
        <w:t xml:space="preserve">Hasil </w:t>
      </w:r>
      <w:proofErr w:type="spellStart"/>
      <w:r w:rsidRPr="0044344D">
        <w:rPr>
          <w:rFonts w:ascii="Century" w:hAnsi="Century"/>
          <w:sz w:val="22"/>
          <w:szCs w:val="22"/>
          <w:lang w:val="en-US"/>
        </w:rPr>
        <w:t>Kuisioner</w:t>
      </w:r>
      <w:proofErr w:type="spellEnd"/>
      <w:r w:rsidRPr="0044344D">
        <w:rPr>
          <w:rFonts w:ascii="Century" w:hAnsi="Century"/>
          <w:sz w:val="22"/>
          <w:szCs w:val="22"/>
          <w:lang w:val="en-US"/>
        </w:rPr>
        <w:t xml:space="preserve"> Tingkat </w:t>
      </w:r>
      <w:proofErr w:type="spellStart"/>
      <w:r w:rsidRPr="0044344D">
        <w:rPr>
          <w:rFonts w:ascii="Century" w:hAnsi="Century"/>
          <w:sz w:val="22"/>
          <w:szCs w:val="22"/>
          <w:lang w:val="en-US"/>
        </w:rPr>
        <w:t>Kompetensi</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Instruktur</w:t>
      </w:r>
      <w:proofErr w:type="spellEnd"/>
    </w:p>
    <w:p w14:paraId="680C9382" w14:textId="6C042BFB" w:rsidR="00E33CBD" w:rsidRDefault="00E33CBD" w:rsidP="00070FDA">
      <w:pPr>
        <w:pStyle w:val="BodyText"/>
        <w:tabs>
          <w:tab w:val="clear" w:pos="288"/>
        </w:tabs>
        <w:spacing w:after="0" w:line="276" w:lineRule="auto"/>
        <w:ind w:firstLine="284"/>
        <w:rPr>
          <w:rFonts w:ascii="Century" w:hAnsi="Century"/>
          <w:sz w:val="24"/>
          <w:szCs w:val="24"/>
          <w:lang w:val="en-US"/>
        </w:rPr>
      </w:pPr>
      <w:r w:rsidRPr="0044344D">
        <w:rPr>
          <w:rFonts w:ascii="Century" w:hAnsi="Century"/>
          <w:sz w:val="24"/>
          <w:szCs w:val="24"/>
          <w:lang w:val="en-US"/>
        </w:rPr>
        <w:lastRenderedPageBreak/>
        <w:t xml:space="preserve">Hasil </w:t>
      </w:r>
      <w:proofErr w:type="spellStart"/>
      <w:r w:rsidRPr="0044344D">
        <w:rPr>
          <w:rFonts w:ascii="Century" w:hAnsi="Century"/>
          <w:sz w:val="24"/>
          <w:szCs w:val="24"/>
          <w:lang w:val="en-US"/>
        </w:rPr>
        <w:t>evaluasi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penyampaian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oleh </w:t>
      </w:r>
      <w:proofErr w:type="spellStart"/>
      <w:r w:rsidRPr="0044344D">
        <w:rPr>
          <w:rFonts w:ascii="Century" w:hAnsi="Century"/>
          <w:sz w:val="24"/>
          <w:szCs w:val="24"/>
          <w:lang w:val="en-US"/>
        </w:rPr>
        <w:t>instruktur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menunjukkan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respons</w:t>
      </w:r>
      <w:proofErr w:type="spellEnd"/>
      <w:r w:rsidRPr="0044344D">
        <w:rPr>
          <w:rFonts w:ascii="Century" w:hAnsi="Century"/>
          <w:sz w:val="24"/>
          <w:szCs w:val="24"/>
          <w:lang w:val="en-US"/>
        </w:rPr>
        <w:t xml:space="preserve"> yang sangat </w:t>
      </w:r>
      <w:proofErr w:type="spellStart"/>
      <w:r w:rsidRPr="0044344D">
        <w:rPr>
          <w:rFonts w:ascii="Century" w:hAnsi="Century"/>
          <w:sz w:val="24"/>
          <w:szCs w:val="24"/>
          <w:lang w:val="en-US"/>
        </w:rPr>
        <w:t>positif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sebagaimana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ditunjukkan</w:t>
      </w:r>
      <w:proofErr w:type="spellEnd"/>
      <w:r w:rsidRPr="0044344D">
        <w:rPr>
          <w:rFonts w:ascii="Century" w:hAnsi="Century"/>
          <w:sz w:val="24"/>
          <w:szCs w:val="24"/>
          <w:lang w:val="en-US"/>
        </w:rPr>
        <w:t xml:space="preserve"> oleh Gambar 6. </w:t>
      </w:r>
      <w:proofErr w:type="spellStart"/>
      <w:r w:rsidRPr="0044344D">
        <w:rPr>
          <w:rFonts w:ascii="Century" w:hAnsi="Century"/>
          <w:sz w:val="24"/>
          <w:szCs w:val="24"/>
          <w:lang w:val="en-US"/>
        </w:rPr>
        <w:t>Sebanyak</w:t>
      </w:r>
      <w:proofErr w:type="spellEnd"/>
      <w:r w:rsidRPr="0044344D">
        <w:rPr>
          <w:rFonts w:ascii="Century" w:hAnsi="Century"/>
          <w:sz w:val="24"/>
          <w:szCs w:val="24"/>
          <w:lang w:val="en-US"/>
        </w:rPr>
        <w:t xml:space="preserve"> 42,1% </w:t>
      </w:r>
      <w:proofErr w:type="spellStart"/>
      <w:r w:rsidRPr="0044344D">
        <w:rPr>
          <w:rFonts w:ascii="Century" w:hAnsi="Century"/>
          <w:sz w:val="24"/>
          <w:szCs w:val="24"/>
          <w:lang w:val="en-US"/>
        </w:rPr>
        <w:t>responden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tertinggi</w:t>
      </w:r>
      <w:proofErr w:type="spellEnd"/>
      <w:r w:rsidRPr="0044344D">
        <w:rPr>
          <w:rFonts w:ascii="Century" w:hAnsi="Century"/>
          <w:sz w:val="24"/>
          <w:szCs w:val="24"/>
          <w:lang w:val="en-US"/>
        </w:rPr>
        <w:t xml:space="preserve"> 5. </w:t>
      </w:r>
      <w:proofErr w:type="spellStart"/>
      <w:r w:rsidRPr="0044344D">
        <w:rPr>
          <w:rFonts w:ascii="Century" w:hAnsi="Century"/>
          <w:sz w:val="24"/>
          <w:szCs w:val="24"/>
          <w:lang w:val="en-US"/>
        </w:rPr>
        <w:t>Instruktur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dinilai</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jelas</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kompeten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menyampaikan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Sementara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itu</w:t>
      </w:r>
      <w:proofErr w:type="spellEnd"/>
      <w:r w:rsidRPr="0044344D">
        <w:rPr>
          <w:rFonts w:ascii="Century" w:hAnsi="Century"/>
          <w:sz w:val="24"/>
          <w:szCs w:val="24"/>
          <w:lang w:val="en-US"/>
        </w:rPr>
        <w:t xml:space="preserve">, 36,8%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4, dan 21,1%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3. </w:t>
      </w:r>
      <w:proofErr w:type="spellStart"/>
      <w:r w:rsidRPr="0044344D">
        <w:rPr>
          <w:rFonts w:ascii="Century" w:hAnsi="Century"/>
          <w:sz w:val="24"/>
          <w:szCs w:val="24"/>
          <w:lang w:val="en-US"/>
        </w:rPr>
        <w:t>Meskipun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kecil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menilai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penyampaian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bisa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lebih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ditingkatkan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tidak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ada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merasa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penyampaian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kurang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atau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tidak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memadai</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ditandai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1 dan 2 </w:t>
      </w:r>
      <w:proofErr w:type="spellStart"/>
      <w:r w:rsidRPr="0044344D">
        <w:rPr>
          <w:rFonts w:ascii="Century" w:hAnsi="Century"/>
          <w:sz w:val="24"/>
          <w:szCs w:val="24"/>
          <w:lang w:val="en-US"/>
        </w:rPr>
        <w:t>adalah</w:t>
      </w:r>
      <w:proofErr w:type="spellEnd"/>
      <w:r w:rsidRPr="0044344D">
        <w:rPr>
          <w:rFonts w:ascii="Century" w:hAnsi="Century"/>
          <w:sz w:val="24"/>
          <w:szCs w:val="24"/>
          <w:lang w:val="en-US"/>
        </w:rPr>
        <w:t xml:space="preserve"> 0%,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berturut-turut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keseluruhan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hasil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menunjukkan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bahwa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kemampuan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instruktur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mengomunikasikan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tergolong</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baik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membangun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pemahaman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menyampaikan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pembelajaran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efektivitas</w:t>
      </w:r>
      <w:proofErr w:type="spellEnd"/>
      <w:r w:rsidRPr="0044344D">
        <w:rPr>
          <w:rFonts w:ascii="Century" w:hAnsi="Century"/>
          <w:sz w:val="24"/>
          <w:szCs w:val="24"/>
          <w:lang w:val="en-US"/>
        </w:rPr>
        <w:t>.</w:t>
      </w:r>
    </w:p>
    <w:p w14:paraId="33A61A3B" w14:textId="77777777" w:rsidR="008210B4" w:rsidRPr="0044344D" w:rsidRDefault="008210B4" w:rsidP="00070FDA">
      <w:pPr>
        <w:pStyle w:val="BodyText"/>
        <w:tabs>
          <w:tab w:val="clear" w:pos="288"/>
        </w:tabs>
        <w:spacing w:after="0" w:line="276" w:lineRule="auto"/>
        <w:ind w:left="851" w:firstLine="0"/>
        <w:rPr>
          <w:rFonts w:ascii="Century" w:hAnsi="Century"/>
          <w:sz w:val="22"/>
          <w:szCs w:val="22"/>
          <w:lang w:val="en-US"/>
        </w:rPr>
      </w:pPr>
    </w:p>
    <w:p w14:paraId="064929F2" w14:textId="77777777" w:rsidR="00F25AC2" w:rsidRPr="0044344D" w:rsidRDefault="00F25AC2" w:rsidP="00230AB3">
      <w:pPr>
        <w:pStyle w:val="IEEEParagraph"/>
        <w:numPr>
          <w:ilvl w:val="3"/>
          <w:numId w:val="17"/>
        </w:numPr>
        <w:spacing w:line="276" w:lineRule="auto"/>
        <w:ind w:left="426" w:hanging="426"/>
        <w:rPr>
          <w:rFonts w:ascii="Century" w:hAnsi="Century"/>
          <w:b/>
          <w:lang w:val="id-ID"/>
        </w:rPr>
      </w:pPr>
      <w:r w:rsidRPr="0044344D">
        <w:rPr>
          <w:rFonts w:ascii="Century" w:hAnsi="Century"/>
          <w:b/>
          <w:lang w:val="id-ID"/>
        </w:rPr>
        <w:t>Permasalahan yang Ditemukan</w:t>
      </w:r>
    </w:p>
    <w:p w14:paraId="3FDADA98" w14:textId="0A744801" w:rsidR="008210B4" w:rsidRDefault="00E33CBD" w:rsidP="00230AB3">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Berdasarkan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hasil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survei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kepuasan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mayoritas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responden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menyatakan</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puas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Sebagaimana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ditunjukkan</w:t>
      </w:r>
      <w:proofErr w:type="spellEnd"/>
      <w:r w:rsidRPr="0044344D">
        <w:rPr>
          <w:rFonts w:ascii="Century" w:hAnsi="Century"/>
          <w:sz w:val="24"/>
          <w:szCs w:val="24"/>
          <w:lang w:val="en-US"/>
        </w:rPr>
        <w:t xml:space="preserve"> oleh Gambar 7, </w:t>
      </w:r>
      <w:proofErr w:type="spellStart"/>
      <w:r w:rsidRPr="0044344D">
        <w:rPr>
          <w:rFonts w:ascii="Century" w:hAnsi="Century"/>
          <w:sz w:val="24"/>
          <w:szCs w:val="24"/>
          <w:lang w:val="en-US"/>
        </w:rPr>
        <w:t>sebanyak</w:t>
      </w:r>
      <w:proofErr w:type="spellEnd"/>
      <w:r w:rsidRPr="0044344D">
        <w:rPr>
          <w:rFonts w:ascii="Century" w:hAnsi="Century"/>
          <w:sz w:val="24"/>
          <w:szCs w:val="24"/>
          <w:lang w:val="en-US"/>
        </w:rPr>
        <w:t xml:space="preserve"> 70%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tertinggi</w:t>
      </w:r>
      <w:proofErr w:type="spellEnd"/>
      <w:r w:rsidRPr="0044344D">
        <w:rPr>
          <w:rFonts w:ascii="Century" w:hAnsi="Century"/>
          <w:sz w:val="24"/>
          <w:szCs w:val="24"/>
          <w:lang w:val="en-US"/>
        </w:rPr>
        <w:t xml:space="preserve"> 5, </w:t>
      </w:r>
      <w:proofErr w:type="spellStart"/>
      <w:r w:rsidRPr="0044344D">
        <w:rPr>
          <w:rFonts w:ascii="Century" w:hAnsi="Century"/>
          <w:sz w:val="24"/>
          <w:szCs w:val="24"/>
          <w:lang w:val="en-US"/>
        </w:rPr>
        <w:t>menunjukkan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bahwa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besar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merasa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bermanfaat</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memenuhi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harapan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mereka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Selanjutnya</w:t>
      </w:r>
      <w:proofErr w:type="spellEnd"/>
      <w:r w:rsidRPr="0044344D">
        <w:rPr>
          <w:rFonts w:ascii="Century" w:hAnsi="Century"/>
          <w:sz w:val="24"/>
          <w:szCs w:val="24"/>
          <w:lang w:val="en-US"/>
        </w:rPr>
        <w:t xml:space="preserve">, 25% </w:t>
      </w:r>
      <w:proofErr w:type="spellStart"/>
      <w:r w:rsidRPr="0044344D">
        <w:rPr>
          <w:rFonts w:ascii="Century" w:hAnsi="Century"/>
          <w:sz w:val="24"/>
          <w:szCs w:val="24"/>
          <w:lang w:val="en-US"/>
        </w:rPr>
        <w:t>responden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4, dan 1 orang 5% yang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skor</w:t>
      </w:r>
      <w:proofErr w:type="spellEnd"/>
      <w:r w:rsidRPr="0044344D">
        <w:rPr>
          <w:rFonts w:ascii="Century" w:hAnsi="Century"/>
          <w:sz w:val="24"/>
          <w:szCs w:val="24"/>
          <w:lang w:val="en-US"/>
        </w:rPr>
        <w:t xml:space="preserve"> 3. </w:t>
      </w:r>
      <w:proofErr w:type="spellStart"/>
      <w:r w:rsidRPr="0044344D">
        <w:rPr>
          <w:rFonts w:ascii="Century" w:hAnsi="Century"/>
          <w:sz w:val="24"/>
          <w:szCs w:val="24"/>
          <w:lang w:val="en-US"/>
        </w:rPr>
        <w:t>Tidak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ada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penilaian</w:t>
      </w:r>
      <w:proofErr w:type="spellEnd"/>
      <w:r w:rsidRPr="0044344D">
        <w:rPr>
          <w:rFonts w:ascii="Century" w:hAnsi="Century"/>
          <w:sz w:val="24"/>
          <w:szCs w:val="24"/>
          <w:lang w:val="en-US"/>
        </w:rPr>
        <w:t xml:space="preserve"> 1 dan 2. </w:t>
      </w:r>
      <w:proofErr w:type="spellStart"/>
      <w:r w:rsidRPr="0044344D">
        <w:rPr>
          <w:rFonts w:ascii="Century" w:hAnsi="Century"/>
          <w:sz w:val="24"/>
          <w:szCs w:val="24"/>
          <w:lang w:val="en-US"/>
        </w:rPr>
        <w:t>Temuan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menunjukkan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bahwa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berhasil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dilaksanakan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sisi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penyampaian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maupun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fasilitas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pendukung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sehingga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pengalaman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belajar</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positif</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berdampak</w:t>
      </w:r>
      <w:proofErr w:type="spellEnd"/>
      <w:r w:rsidRPr="0044344D">
        <w:rPr>
          <w:rFonts w:ascii="Century" w:hAnsi="Century"/>
          <w:sz w:val="24"/>
          <w:szCs w:val="24"/>
          <w:lang w:val="en-US"/>
        </w:rPr>
        <w:t xml:space="preserve">. </w:t>
      </w:r>
      <w:proofErr w:type="spellStart"/>
      <w:r w:rsidR="00F25AC2" w:rsidRPr="0044344D">
        <w:rPr>
          <w:rFonts w:ascii="Century" w:hAnsi="Century"/>
          <w:sz w:val="24"/>
          <w:szCs w:val="24"/>
          <w:lang w:val="en-US"/>
        </w:rPr>
        <w:t>Kendala</w:t>
      </w:r>
      <w:proofErr w:type="spellEnd"/>
      <w:r w:rsidR="00F25AC2" w:rsidRPr="0044344D">
        <w:rPr>
          <w:rFonts w:ascii="Century" w:hAnsi="Century"/>
          <w:sz w:val="24"/>
          <w:szCs w:val="24"/>
          <w:lang w:val="en-US"/>
        </w:rPr>
        <w:t xml:space="preserve"> yang </w:t>
      </w:r>
      <w:proofErr w:type="spellStart"/>
      <w:r w:rsidR="00F25AC2" w:rsidRPr="0044344D">
        <w:rPr>
          <w:rFonts w:ascii="Century" w:hAnsi="Century"/>
          <w:sz w:val="24"/>
          <w:szCs w:val="24"/>
          <w:lang w:val="en-US"/>
        </w:rPr>
        <w:t>teramati</w:t>
      </w:r>
      <w:proofErr w:type="spellEnd"/>
      <w:r w:rsidR="00F25AC2" w:rsidRPr="0044344D">
        <w:rPr>
          <w:rFonts w:ascii="Century" w:hAnsi="Century"/>
          <w:sz w:val="24"/>
          <w:szCs w:val="24"/>
          <w:lang w:val="en-US"/>
        </w:rPr>
        <w:t xml:space="preserve">, </w:t>
      </w:r>
      <w:proofErr w:type="spellStart"/>
      <w:r w:rsidR="008210B4" w:rsidRPr="0044344D">
        <w:rPr>
          <w:rFonts w:ascii="Century" w:hAnsi="Century"/>
          <w:sz w:val="24"/>
          <w:szCs w:val="24"/>
          <w:lang w:val="en-US"/>
        </w:rPr>
        <w:t>sebagian</w:t>
      </w:r>
      <w:proofErr w:type="spellEnd"/>
      <w:r w:rsidR="008210B4" w:rsidRPr="0044344D">
        <w:rPr>
          <w:rFonts w:ascii="Century" w:hAnsi="Century"/>
          <w:sz w:val="24"/>
          <w:szCs w:val="24"/>
          <w:lang w:val="en-US"/>
        </w:rPr>
        <w:t xml:space="preserve"> </w:t>
      </w:r>
      <w:proofErr w:type="spellStart"/>
      <w:r w:rsidR="00857749" w:rsidRPr="0044344D">
        <w:rPr>
          <w:rFonts w:ascii="Century" w:hAnsi="Century"/>
          <w:sz w:val="24"/>
          <w:szCs w:val="24"/>
          <w:lang w:val="en-US"/>
        </w:rPr>
        <w:t>responden</w:t>
      </w:r>
      <w:proofErr w:type="spellEnd"/>
      <w:r w:rsidR="00F25AC2" w:rsidRPr="0044344D">
        <w:rPr>
          <w:rFonts w:ascii="Century" w:hAnsi="Century"/>
          <w:sz w:val="24"/>
          <w:szCs w:val="24"/>
          <w:lang w:val="en-US"/>
        </w:rPr>
        <w:t xml:space="preserve"> </w:t>
      </w:r>
      <w:proofErr w:type="spellStart"/>
      <w:r w:rsidR="008210B4" w:rsidRPr="0044344D">
        <w:rPr>
          <w:rFonts w:ascii="Century" w:hAnsi="Century"/>
          <w:sz w:val="24"/>
          <w:szCs w:val="24"/>
          <w:lang w:val="en-US"/>
        </w:rPr>
        <w:t>lebih</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menyukai</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pelatihan</w:t>
      </w:r>
      <w:proofErr w:type="spellEnd"/>
      <w:r w:rsidR="008210B4" w:rsidRPr="0044344D">
        <w:rPr>
          <w:rFonts w:ascii="Century" w:hAnsi="Century"/>
          <w:sz w:val="24"/>
          <w:szCs w:val="24"/>
          <w:lang w:val="en-US"/>
        </w:rPr>
        <w:t xml:space="preserve"> yang </w:t>
      </w:r>
      <w:proofErr w:type="spellStart"/>
      <w:r w:rsidR="008210B4" w:rsidRPr="0044344D">
        <w:rPr>
          <w:rFonts w:ascii="Century" w:hAnsi="Century"/>
          <w:sz w:val="24"/>
          <w:szCs w:val="24"/>
          <w:lang w:val="en-US"/>
        </w:rPr>
        <w:t>dilaksanakan</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secara</w:t>
      </w:r>
      <w:proofErr w:type="spellEnd"/>
      <w:r w:rsidR="008210B4" w:rsidRPr="0044344D">
        <w:rPr>
          <w:rFonts w:ascii="Century" w:hAnsi="Century"/>
          <w:sz w:val="24"/>
          <w:szCs w:val="24"/>
          <w:lang w:val="en-US"/>
        </w:rPr>
        <w:t xml:space="preserve"> daring </w:t>
      </w:r>
      <w:proofErr w:type="spellStart"/>
      <w:r w:rsidR="008210B4" w:rsidRPr="0044344D">
        <w:rPr>
          <w:rFonts w:ascii="Century" w:hAnsi="Century"/>
          <w:sz w:val="24"/>
          <w:szCs w:val="24"/>
          <w:lang w:val="en-US"/>
        </w:rPr>
        <w:t>daripada</w:t>
      </w:r>
      <w:proofErr w:type="spellEnd"/>
      <w:r w:rsidR="008210B4" w:rsidRPr="0044344D">
        <w:rPr>
          <w:rFonts w:ascii="Century" w:hAnsi="Century"/>
          <w:sz w:val="24"/>
          <w:szCs w:val="24"/>
          <w:lang w:val="en-US"/>
        </w:rPr>
        <w:t xml:space="preserve"> luring. </w:t>
      </w:r>
      <w:proofErr w:type="spellStart"/>
      <w:r w:rsidR="008210B4" w:rsidRPr="0044344D">
        <w:rPr>
          <w:rFonts w:ascii="Century" w:hAnsi="Century"/>
          <w:sz w:val="24"/>
          <w:szCs w:val="24"/>
          <w:lang w:val="en-US"/>
        </w:rPr>
        <w:t>Selain</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itu</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perlu</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ada</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rekaman</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materi</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pelatihan</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membantu</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peserta</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dalam</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dokumentasi</w:t>
      </w:r>
      <w:proofErr w:type="spellEnd"/>
      <w:r w:rsidR="008210B4" w:rsidRPr="0044344D">
        <w:rPr>
          <w:rFonts w:ascii="Century" w:hAnsi="Century"/>
          <w:sz w:val="24"/>
          <w:szCs w:val="24"/>
          <w:lang w:val="en-US"/>
        </w:rPr>
        <w:t xml:space="preserve"> </w:t>
      </w:r>
      <w:proofErr w:type="spellStart"/>
      <w:r w:rsidR="008210B4" w:rsidRPr="0044344D">
        <w:rPr>
          <w:rFonts w:ascii="Century" w:hAnsi="Century"/>
          <w:sz w:val="24"/>
          <w:szCs w:val="24"/>
          <w:lang w:val="en-US"/>
        </w:rPr>
        <w:t>pengetahuan</w:t>
      </w:r>
      <w:proofErr w:type="spellEnd"/>
      <w:r w:rsidR="008210B4" w:rsidRPr="0044344D">
        <w:rPr>
          <w:rFonts w:ascii="Century" w:hAnsi="Century"/>
          <w:sz w:val="24"/>
          <w:szCs w:val="24"/>
          <w:lang w:val="en-US"/>
        </w:rPr>
        <w:t xml:space="preserve">. </w:t>
      </w:r>
    </w:p>
    <w:p w14:paraId="29FB098F" w14:textId="1EAA7976" w:rsidR="005D0273" w:rsidRDefault="005D0273" w:rsidP="00070FDA">
      <w:pPr>
        <w:pStyle w:val="BodyText"/>
        <w:tabs>
          <w:tab w:val="clear" w:pos="288"/>
        </w:tabs>
        <w:spacing w:after="0" w:line="276" w:lineRule="auto"/>
        <w:ind w:firstLine="284"/>
        <w:rPr>
          <w:rFonts w:ascii="Century" w:hAnsi="Century"/>
          <w:sz w:val="24"/>
          <w:szCs w:val="24"/>
          <w:lang w:val="en-US"/>
        </w:rPr>
      </w:pPr>
    </w:p>
    <w:p w14:paraId="2D6D81B0" w14:textId="77777777" w:rsidR="005D0273" w:rsidRPr="0044344D" w:rsidRDefault="005D0273" w:rsidP="00230AB3">
      <w:pPr>
        <w:pStyle w:val="BodyText"/>
        <w:tabs>
          <w:tab w:val="clear" w:pos="288"/>
        </w:tabs>
        <w:spacing w:after="0" w:line="276" w:lineRule="auto"/>
        <w:ind w:firstLine="0"/>
        <w:jc w:val="center"/>
        <w:rPr>
          <w:rFonts w:ascii="Century" w:hAnsi="Century"/>
          <w:sz w:val="22"/>
          <w:szCs w:val="22"/>
          <w:lang w:val="en-US"/>
        </w:rPr>
      </w:pPr>
      <w:r w:rsidRPr="0044344D">
        <w:rPr>
          <w:rFonts w:ascii="Century" w:hAnsi="Century"/>
          <w:noProof/>
          <w:sz w:val="22"/>
          <w:szCs w:val="22"/>
          <w:lang w:val="en-US"/>
        </w:rPr>
        <w:drawing>
          <wp:inline distT="0" distB="0" distL="0" distR="0" wp14:anchorId="085D786A" wp14:editId="0FBA6064">
            <wp:extent cx="3792162" cy="1683327"/>
            <wp:effectExtent l="0" t="0" r="0" b="0"/>
            <wp:docPr id="1948667854" name="Picture 1" descr="A graph with a bar and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67854" name="Picture 1" descr="A graph with a bar and a number of objects&#10;&#10;AI-generated content may be incorrect."/>
                    <pic:cNvPicPr/>
                  </pic:nvPicPr>
                  <pic:blipFill>
                    <a:blip r:embed="rId22" cstate="print">
                      <a:extLst>
                        <a:ext uri="{28A0092B-C50C-407E-A947-70E740481C1C}">
                          <a14:useLocalDpi xmlns:a14="http://schemas.microsoft.com/office/drawing/2010/main"/>
                        </a:ext>
                      </a:extLst>
                    </a:blip>
                    <a:stretch>
                      <a:fillRect/>
                    </a:stretch>
                  </pic:blipFill>
                  <pic:spPr>
                    <a:xfrm>
                      <a:off x="0" y="0"/>
                      <a:ext cx="3822797" cy="1696926"/>
                    </a:xfrm>
                    <a:prstGeom prst="rect">
                      <a:avLst/>
                    </a:prstGeom>
                  </pic:spPr>
                </pic:pic>
              </a:graphicData>
            </a:graphic>
          </wp:inline>
        </w:drawing>
      </w:r>
    </w:p>
    <w:p w14:paraId="3D26A74D" w14:textId="77777777" w:rsidR="00230AB3" w:rsidRDefault="005D0273" w:rsidP="00230AB3">
      <w:pPr>
        <w:pStyle w:val="BodyText"/>
        <w:tabs>
          <w:tab w:val="clear" w:pos="288"/>
        </w:tabs>
        <w:spacing w:after="0" w:line="276" w:lineRule="auto"/>
        <w:ind w:firstLine="0"/>
        <w:jc w:val="center"/>
        <w:rPr>
          <w:rFonts w:ascii="Century" w:hAnsi="Century"/>
          <w:sz w:val="22"/>
          <w:szCs w:val="22"/>
          <w:lang w:val="en-US"/>
        </w:rPr>
      </w:pPr>
      <w:r w:rsidRPr="00230AB3">
        <w:rPr>
          <w:rFonts w:ascii="Century" w:hAnsi="Century"/>
          <w:b/>
          <w:bCs/>
          <w:sz w:val="22"/>
          <w:szCs w:val="22"/>
          <w:lang w:val="en-US"/>
        </w:rPr>
        <w:t>Gambar 7.</w:t>
      </w:r>
      <w:r>
        <w:rPr>
          <w:rFonts w:ascii="Century" w:hAnsi="Century"/>
          <w:sz w:val="22"/>
          <w:szCs w:val="22"/>
          <w:lang w:val="en-US"/>
        </w:rPr>
        <w:t xml:space="preserve"> </w:t>
      </w:r>
      <w:r w:rsidRPr="0044344D">
        <w:rPr>
          <w:rFonts w:ascii="Century" w:hAnsi="Century"/>
          <w:sz w:val="22"/>
          <w:szCs w:val="22"/>
          <w:lang w:val="en-US"/>
        </w:rPr>
        <w:t xml:space="preserve">Hasil </w:t>
      </w:r>
      <w:proofErr w:type="spellStart"/>
      <w:r w:rsidRPr="0044344D">
        <w:rPr>
          <w:rFonts w:ascii="Century" w:hAnsi="Century"/>
          <w:sz w:val="22"/>
          <w:szCs w:val="22"/>
          <w:lang w:val="en-US"/>
        </w:rPr>
        <w:t>Kuisioner</w:t>
      </w:r>
      <w:proofErr w:type="spellEnd"/>
      <w:r w:rsidRPr="0044344D">
        <w:rPr>
          <w:rFonts w:ascii="Century" w:hAnsi="Century"/>
          <w:sz w:val="22"/>
          <w:szCs w:val="22"/>
          <w:lang w:val="en-US"/>
        </w:rPr>
        <w:t xml:space="preserve"> Tingkat </w:t>
      </w:r>
      <w:proofErr w:type="spellStart"/>
      <w:r w:rsidRPr="0044344D">
        <w:rPr>
          <w:rFonts w:ascii="Century" w:hAnsi="Century"/>
          <w:sz w:val="22"/>
          <w:szCs w:val="22"/>
          <w:lang w:val="en-US"/>
        </w:rPr>
        <w:t>Kepuasan</w:t>
      </w:r>
      <w:proofErr w:type="spellEnd"/>
      <w:r w:rsidRPr="0044344D">
        <w:rPr>
          <w:rFonts w:ascii="Century" w:hAnsi="Century"/>
          <w:sz w:val="22"/>
          <w:szCs w:val="22"/>
          <w:lang w:val="en-US"/>
        </w:rPr>
        <w:t xml:space="preserve"> </w:t>
      </w:r>
    </w:p>
    <w:p w14:paraId="5D14F73B" w14:textId="3CCA6F8F" w:rsidR="005D0273" w:rsidRPr="0044344D" w:rsidRDefault="005D0273" w:rsidP="00230AB3">
      <w:pPr>
        <w:pStyle w:val="BodyText"/>
        <w:tabs>
          <w:tab w:val="clear" w:pos="288"/>
        </w:tabs>
        <w:spacing w:after="0" w:line="276" w:lineRule="auto"/>
        <w:ind w:firstLine="0"/>
        <w:jc w:val="center"/>
        <w:rPr>
          <w:rFonts w:ascii="Century" w:hAnsi="Century"/>
          <w:sz w:val="22"/>
          <w:szCs w:val="22"/>
          <w:lang w:val="en-US"/>
        </w:rPr>
      </w:pPr>
      <w:r w:rsidRPr="0044344D">
        <w:rPr>
          <w:rFonts w:ascii="Century" w:hAnsi="Century"/>
          <w:sz w:val="22"/>
          <w:szCs w:val="22"/>
          <w:lang w:val="en-US"/>
        </w:rPr>
        <w:t xml:space="preserve">Mitra </w:t>
      </w:r>
      <w:proofErr w:type="spellStart"/>
      <w:r w:rsidRPr="0044344D">
        <w:rPr>
          <w:rFonts w:ascii="Century" w:hAnsi="Century"/>
          <w:sz w:val="22"/>
          <w:szCs w:val="22"/>
          <w:lang w:val="en-US"/>
        </w:rPr>
        <w:t>terhadap</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Kegiatan</w:t>
      </w:r>
      <w:proofErr w:type="spellEnd"/>
      <w:r w:rsidRPr="0044344D">
        <w:rPr>
          <w:rFonts w:ascii="Century" w:hAnsi="Century"/>
          <w:sz w:val="22"/>
          <w:szCs w:val="22"/>
          <w:lang w:val="en-US"/>
        </w:rPr>
        <w:t xml:space="preserve"> </w:t>
      </w:r>
      <w:proofErr w:type="spellStart"/>
      <w:r w:rsidRPr="0044344D">
        <w:rPr>
          <w:rFonts w:ascii="Century" w:hAnsi="Century"/>
          <w:sz w:val="22"/>
          <w:szCs w:val="22"/>
          <w:lang w:val="en-US"/>
        </w:rPr>
        <w:t>Abdimas</w:t>
      </w:r>
      <w:proofErr w:type="spellEnd"/>
    </w:p>
    <w:p w14:paraId="4A00BD1A" w14:textId="7C109977" w:rsidR="00E01DF5" w:rsidRDefault="00E01DF5" w:rsidP="00070FDA">
      <w:pPr>
        <w:pStyle w:val="IEEEParagraph"/>
        <w:spacing w:line="276" w:lineRule="auto"/>
        <w:rPr>
          <w:rFonts w:ascii="Century" w:hAnsi="Century"/>
        </w:rPr>
      </w:pPr>
    </w:p>
    <w:p w14:paraId="23DC72D4" w14:textId="5B2DE796" w:rsidR="00230AB3" w:rsidRDefault="00230AB3" w:rsidP="00070FDA">
      <w:pPr>
        <w:pStyle w:val="IEEEParagraph"/>
        <w:spacing w:line="276" w:lineRule="auto"/>
        <w:rPr>
          <w:rFonts w:ascii="Century" w:hAnsi="Century"/>
        </w:rPr>
      </w:pPr>
    </w:p>
    <w:p w14:paraId="0B1A44A8" w14:textId="09C8885F" w:rsidR="00230AB3" w:rsidRDefault="00230AB3" w:rsidP="00070FDA">
      <w:pPr>
        <w:pStyle w:val="IEEEParagraph"/>
        <w:spacing w:line="276" w:lineRule="auto"/>
        <w:rPr>
          <w:rFonts w:ascii="Century" w:hAnsi="Century"/>
        </w:rPr>
      </w:pPr>
    </w:p>
    <w:p w14:paraId="6D2465D9" w14:textId="28641EA9" w:rsidR="00230AB3" w:rsidRDefault="00230AB3" w:rsidP="00070FDA">
      <w:pPr>
        <w:pStyle w:val="IEEEParagraph"/>
        <w:spacing w:line="276" w:lineRule="auto"/>
        <w:rPr>
          <w:rFonts w:ascii="Century" w:hAnsi="Century"/>
        </w:rPr>
      </w:pPr>
    </w:p>
    <w:p w14:paraId="23F8F15E" w14:textId="205070ED" w:rsidR="00230AB3" w:rsidRDefault="00230AB3" w:rsidP="00070FDA">
      <w:pPr>
        <w:pStyle w:val="IEEEParagraph"/>
        <w:spacing w:line="276" w:lineRule="auto"/>
        <w:rPr>
          <w:rFonts w:ascii="Century" w:hAnsi="Century"/>
        </w:rPr>
      </w:pPr>
    </w:p>
    <w:p w14:paraId="4908FC67" w14:textId="77777777" w:rsidR="00230AB3" w:rsidRPr="0044344D" w:rsidRDefault="00230AB3" w:rsidP="00070FDA">
      <w:pPr>
        <w:pStyle w:val="IEEEParagraph"/>
        <w:spacing w:line="276" w:lineRule="auto"/>
        <w:rPr>
          <w:rFonts w:ascii="Century" w:hAnsi="Century"/>
        </w:rPr>
      </w:pPr>
    </w:p>
    <w:p w14:paraId="19637E04" w14:textId="77777777" w:rsidR="0062033E" w:rsidRPr="0044344D" w:rsidRDefault="009D2660" w:rsidP="00230AB3">
      <w:pPr>
        <w:pStyle w:val="IEEEHeading1"/>
        <w:numPr>
          <w:ilvl w:val="0"/>
          <w:numId w:val="11"/>
        </w:numPr>
        <w:spacing w:before="0" w:after="0" w:line="276" w:lineRule="auto"/>
        <w:ind w:left="426" w:hanging="426"/>
        <w:jc w:val="left"/>
        <w:rPr>
          <w:rFonts w:ascii="Century" w:hAnsi="Century"/>
          <w:b/>
          <w:sz w:val="25"/>
          <w:szCs w:val="25"/>
          <w:lang w:val="en-US"/>
        </w:rPr>
      </w:pPr>
      <w:r w:rsidRPr="0044344D">
        <w:rPr>
          <w:rFonts w:ascii="Century" w:hAnsi="Century"/>
          <w:b/>
          <w:sz w:val="25"/>
          <w:szCs w:val="25"/>
          <w:lang w:val="id-ID"/>
        </w:rPr>
        <w:lastRenderedPageBreak/>
        <w:t xml:space="preserve">SIMPULAN </w:t>
      </w:r>
      <w:r w:rsidR="00F870D3" w:rsidRPr="0044344D">
        <w:rPr>
          <w:rFonts w:ascii="Century" w:hAnsi="Century"/>
          <w:b/>
          <w:sz w:val="25"/>
          <w:szCs w:val="25"/>
          <w:lang w:val="id-ID"/>
        </w:rPr>
        <w:t>DAN</w:t>
      </w:r>
      <w:r w:rsidR="00633178" w:rsidRPr="0044344D">
        <w:rPr>
          <w:rFonts w:ascii="Century" w:hAnsi="Century"/>
          <w:b/>
          <w:sz w:val="25"/>
          <w:szCs w:val="25"/>
          <w:lang w:val="id-ID"/>
        </w:rPr>
        <w:t xml:space="preserve"> SARAN</w:t>
      </w:r>
    </w:p>
    <w:p w14:paraId="501A477B" w14:textId="78C7E01E" w:rsidR="00E33CBD" w:rsidRPr="0044344D" w:rsidRDefault="00E33CBD" w:rsidP="00230AB3">
      <w:pPr>
        <w:pStyle w:val="BodyText"/>
        <w:tabs>
          <w:tab w:val="clear" w:pos="288"/>
        </w:tabs>
        <w:spacing w:after="0" w:line="276" w:lineRule="auto"/>
        <w:ind w:firstLine="426"/>
        <w:rPr>
          <w:rFonts w:ascii="Century" w:hAnsi="Century"/>
          <w:sz w:val="24"/>
          <w:szCs w:val="24"/>
          <w:lang w:val="en-US"/>
        </w:rPr>
      </w:pPr>
      <w:proofErr w:type="spellStart"/>
      <w:r w:rsidRPr="0044344D">
        <w:rPr>
          <w:rFonts w:ascii="Century" w:hAnsi="Century"/>
          <w:sz w:val="24"/>
          <w:szCs w:val="24"/>
          <w:lang w:val="en-US"/>
        </w:rPr>
        <w:t>Pemanfaatan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alternatif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memerlukan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keterlibatan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aktif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melalui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penyebaran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informasi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tentang</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tantangan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potensinya</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pengabdian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bertujuan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instalasi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pengenalan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perangkat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pembangkit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tenaga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sebagai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sarana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pembelajaran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pemanfaatan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melibatkan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partisipasi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aktif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melalui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penyebaran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informasi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terkait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tantangan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potensi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alternatif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Berdasarkan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evaluasi</w:t>
      </w:r>
      <w:proofErr w:type="spellEnd"/>
      <w:r w:rsidRPr="0044344D">
        <w:rPr>
          <w:rFonts w:ascii="Century" w:hAnsi="Century"/>
          <w:sz w:val="24"/>
          <w:szCs w:val="24"/>
          <w:lang w:val="en-US"/>
        </w:rPr>
        <w:t xml:space="preserve">, program </w:t>
      </w:r>
      <w:proofErr w:type="spellStart"/>
      <w:r w:rsidRPr="0044344D">
        <w:rPr>
          <w:rFonts w:ascii="Century" w:hAnsi="Century"/>
          <w:sz w:val="24"/>
          <w:szCs w:val="24"/>
          <w:lang w:val="en-US"/>
        </w:rPr>
        <w:t>pengabdian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masyarakat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berhasil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meningkatkan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pemahaman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mengenai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pemanfaatan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terbarukan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terutama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surya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Mayoritas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menilai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sangat </w:t>
      </w:r>
      <w:proofErr w:type="spellStart"/>
      <w:r w:rsidRPr="0044344D">
        <w:rPr>
          <w:rFonts w:ascii="Century" w:hAnsi="Century"/>
          <w:sz w:val="24"/>
          <w:szCs w:val="24"/>
          <w:lang w:val="en-US"/>
        </w:rPr>
        <w:t>relevan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diterapkan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pendidikan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vokasi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industr</w:t>
      </w:r>
      <w:r w:rsidR="00317BEF" w:rsidRPr="0044344D">
        <w:rPr>
          <w:rFonts w:ascii="Century" w:hAnsi="Century"/>
          <w:sz w:val="24"/>
          <w:szCs w:val="24"/>
          <w:lang w:val="en-US"/>
        </w:rPr>
        <w:t>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dimana</w:t>
      </w:r>
      <w:proofErr w:type="spellEnd"/>
      <w:r w:rsidRPr="0044344D">
        <w:rPr>
          <w:rFonts w:ascii="Century" w:hAnsi="Century"/>
          <w:sz w:val="24"/>
          <w:szCs w:val="24"/>
          <w:lang w:val="en-US"/>
        </w:rPr>
        <w:t xml:space="preserve"> 52,4%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poin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terbaik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Penyampaian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oleh </w:t>
      </w:r>
      <w:proofErr w:type="spellStart"/>
      <w:r w:rsidRPr="0044344D">
        <w:rPr>
          <w:rFonts w:ascii="Century" w:hAnsi="Century"/>
          <w:sz w:val="24"/>
          <w:szCs w:val="24"/>
          <w:lang w:val="en-US"/>
        </w:rPr>
        <w:t>instruktur</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mendapat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penilaian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tertinggi</w:t>
      </w:r>
      <w:proofErr w:type="spellEnd"/>
      <w:r w:rsidRPr="0044344D">
        <w:rPr>
          <w:rFonts w:ascii="Century" w:hAnsi="Century"/>
          <w:sz w:val="24"/>
          <w:szCs w:val="24"/>
          <w:lang w:val="en-US"/>
        </w:rPr>
        <w:t xml:space="preserve"> pada 42,1%, </w:t>
      </w:r>
      <w:proofErr w:type="spellStart"/>
      <w:r w:rsidRPr="0044344D">
        <w:rPr>
          <w:rFonts w:ascii="Century" w:hAnsi="Century"/>
          <w:sz w:val="24"/>
          <w:szCs w:val="24"/>
          <w:lang w:val="en-US"/>
        </w:rPr>
        <w:t>mencerminkan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kemampuan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instruktur</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dalam</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menyampaikan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konsep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jelas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Sebanyak</w:t>
      </w:r>
      <w:proofErr w:type="spellEnd"/>
      <w:r w:rsidRPr="0044344D">
        <w:rPr>
          <w:rFonts w:ascii="Century" w:hAnsi="Century"/>
          <w:sz w:val="24"/>
          <w:szCs w:val="24"/>
          <w:lang w:val="en-US"/>
        </w:rPr>
        <w:t xml:space="preserve"> 70 %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w:t>
      </w:r>
      <w:proofErr w:type="spellStart"/>
      <w:r w:rsidR="00035364"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00E03662" w:rsidRPr="0044344D">
        <w:rPr>
          <w:rFonts w:ascii="Century" w:hAnsi="Century"/>
          <w:sz w:val="24"/>
          <w:szCs w:val="24"/>
          <w:lang w:val="en-US"/>
        </w:rPr>
        <w:t>skor</w:t>
      </w:r>
      <w:proofErr w:type="spellEnd"/>
      <w:r w:rsidR="00035364" w:rsidRPr="0044344D">
        <w:rPr>
          <w:rFonts w:ascii="Century" w:hAnsi="Century"/>
          <w:sz w:val="24"/>
          <w:szCs w:val="24"/>
          <w:lang w:val="en-US"/>
        </w:rPr>
        <w:t xml:space="preserve"> </w:t>
      </w:r>
      <w:proofErr w:type="spellStart"/>
      <w:r w:rsidR="00035364" w:rsidRPr="0044344D">
        <w:rPr>
          <w:rFonts w:ascii="Century" w:hAnsi="Century"/>
          <w:sz w:val="24"/>
          <w:szCs w:val="24"/>
          <w:lang w:val="en-US"/>
        </w:rPr>
        <w:t>penilaian</w:t>
      </w:r>
      <w:proofErr w:type="spellEnd"/>
      <w:r w:rsidR="00035364" w:rsidRPr="0044344D">
        <w:rPr>
          <w:rFonts w:ascii="Century" w:hAnsi="Century"/>
          <w:sz w:val="24"/>
          <w:szCs w:val="24"/>
          <w:lang w:val="en-US"/>
        </w:rPr>
        <w:t xml:space="preserve"> </w:t>
      </w:r>
      <w:proofErr w:type="spellStart"/>
      <w:r w:rsidR="00035364" w:rsidRPr="0044344D">
        <w:rPr>
          <w:rFonts w:ascii="Century" w:hAnsi="Century"/>
          <w:sz w:val="24"/>
          <w:szCs w:val="24"/>
          <w:lang w:val="en-US"/>
        </w:rPr>
        <w:t>tertinggi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terlihat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dari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tingkat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kepuasan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peserta</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tinggi</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penilaian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positif</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terhadap</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sarana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praktikum</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disediakan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tidak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hanya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memberikan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pengetahuan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teoritis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tetapi</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keterampilan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praktis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untuk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menghadapi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tantangan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energi</w:t>
      </w:r>
      <w:proofErr w:type="spellEnd"/>
      <w:r w:rsidRPr="0044344D">
        <w:rPr>
          <w:rFonts w:ascii="Century" w:hAnsi="Century"/>
          <w:sz w:val="24"/>
          <w:szCs w:val="24"/>
          <w:lang w:val="en-US"/>
        </w:rPr>
        <w:t xml:space="preserve"> di masa </w:t>
      </w:r>
      <w:proofErr w:type="spellStart"/>
      <w:r w:rsidRPr="0044344D">
        <w:rPr>
          <w:rFonts w:ascii="Century" w:hAnsi="Century"/>
          <w:sz w:val="24"/>
          <w:szCs w:val="24"/>
          <w:lang w:val="en-US"/>
        </w:rPr>
        <w:t>depan</w:t>
      </w:r>
      <w:proofErr w:type="spellEnd"/>
      <w:r w:rsidR="002C3754" w:rsidRPr="0044344D">
        <w:rPr>
          <w:rFonts w:ascii="Century" w:hAnsi="Century"/>
          <w:sz w:val="24"/>
          <w:szCs w:val="24"/>
          <w:lang w:val="en-US"/>
        </w:rPr>
        <w:t>. Ha</w:t>
      </w:r>
      <w:r w:rsidRPr="0044344D">
        <w:rPr>
          <w:rFonts w:ascii="Century" w:hAnsi="Century"/>
          <w:sz w:val="24"/>
          <w:szCs w:val="24"/>
          <w:lang w:val="en-US"/>
        </w:rPr>
        <w:t xml:space="preserve">rapan </w:t>
      </w:r>
      <w:r w:rsidR="006C447D" w:rsidRPr="0044344D">
        <w:rPr>
          <w:rFonts w:ascii="Century" w:hAnsi="Century"/>
          <w:sz w:val="24"/>
          <w:szCs w:val="24"/>
          <w:lang w:val="en-US"/>
        </w:rPr>
        <w:t xml:space="preserve">pada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berikutnya</w:t>
      </w:r>
      <w:proofErr w:type="spellEnd"/>
      <w:r w:rsidRPr="0044344D">
        <w:rPr>
          <w:rFonts w:ascii="Century" w:hAnsi="Century"/>
          <w:sz w:val="24"/>
          <w:szCs w:val="24"/>
          <w:lang w:val="en-US"/>
        </w:rPr>
        <w:t xml:space="preserve"> </w:t>
      </w:r>
      <w:proofErr w:type="spellStart"/>
      <w:r w:rsidR="006C447D" w:rsidRPr="0044344D">
        <w:rPr>
          <w:rFonts w:ascii="Century" w:hAnsi="Century"/>
          <w:sz w:val="24"/>
          <w:szCs w:val="24"/>
          <w:lang w:val="en-US"/>
        </w:rPr>
        <w:t>yaitu</w:t>
      </w:r>
      <w:proofErr w:type="spellEnd"/>
      <w:r w:rsidR="006C447D" w:rsidRPr="0044344D">
        <w:rPr>
          <w:rFonts w:ascii="Century" w:hAnsi="Century"/>
          <w:sz w:val="24"/>
          <w:szCs w:val="24"/>
          <w:lang w:val="en-US"/>
        </w:rPr>
        <w:t xml:space="preserve"> </w:t>
      </w:r>
      <w:proofErr w:type="spellStart"/>
      <w:r w:rsidRPr="0044344D">
        <w:rPr>
          <w:rFonts w:ascii="Century" w:hAnsi="Century"/>
          <w:sz w:val="24"/>
          <w:szCs w:val="24"/>
          <w:lang w:val="en-US"/>
        </w:rPr>
        <w:t>dapat</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dilakukan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secara</w:t>
      </w:r>
      <w:proofErr w:type="spellEnd"/>
      <w:r w:rsidRPr="0044344D">
        <w:rPr>
          <w:rFonts w:ascii="Century" w:hAnsi="Century"/>
          <w:sz w:val="24"/>
          <w:szCs w:val="24"/>
          <w:lang w:val="en-US"/>
        </w:rPr>
        <w:t xml:space="preserve"> daring </w:t>
      </w:r>
      <w:proofErr w:type="spellStart"/>
      <w:r w:rsidRPr="0044344D">
        <w:rPr>
          <w:rFonts w:ascii="Century" w:hAnsi="Century"/>
          <w:sz w:val="24"/>
          <w:szCs w:val="24"/>
          <w:lang w:val="en-US"/>
        </w:rPr>
        <w:t>dengan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w:t>
      </w:r>
      <w:proofErr w:type="spellEnd"/>
      <w:r w:rsidRPr="0044344D">
        <w:rPr>
          <w:rFonts w:ascii="Century" w:hAnsi="Century"/>
          <w:sz w:val="24"/>
          <w:szCs w:val="24"/>
          <w:lang w:val="en-US"/>
        </w:rPr>
        <w:t xml:space="preserve"> yang </w:t>
      </w:r>
      <w:proofErr w:type="spellStart"/>
      <w:r w:rsidRPr="0044344D">
        <w:rPr>
          <w:rFonts w:ascii="Century" w:hAnsi="Century"/>
          <w:sz w:val="24"/>
          <w:szCs w:val="24"/>
          <w:lang w:val="en-US"/>
        </w:rPr>
        <w:t>lebih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spesifik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seperti</w:t>
      </w:r>
      <w:proofErr w:type="spellEnd"/>
      <w:r w:rsidRPr="0044344D">
        <w:rPr>
          <w:rFonts w:ascii="Century" w:hAnsi="Century"/>
          <w:sz w:val="24"/>
          <w:szCs w:val="24"/>
          <w:lang w:val="en-US"/>
        </w:rPr>
        <w:t xml:space="preserve"> </w:t>
      </w:r>
      <w:r w:rsidRPr="00230AB3">
        <w:rPr>
          <w:rFonts w:ascii="Century" w:hAnsi="Century"/>
          <w:i/>
          <w:iCs/>
          <w:sz w:val="24"/>
          <w:szCs w:val="24"/>
          <w:lang w:val="en-US"/>
        </w:rPr>
        <w:t>smart grid.</w:t>
      </w:r>
    </w:p>
    <w:p w14:paraId="1B3527D5" w14:textId="77777777" w:rsidR="00BB64E7" w:rsidRPr="0044344D" w:rsidRDefault="00BB64E7" w:rsidP="00070FDA">
      <w:pPr>
        <w:pStyle w:val="IEEEParagraph"/>
        <w:spacing w:line="276" w:lineRule="auto"/>
        <w:ind w:firstLine="0"/>
        <w:rPr>
          <w:rFonts w:ascii="Century" w:hAnsi="Century"/>
          <w:lang w:val="en-US"/>
        </w:rPr>
      </w:pPr>
    </w:p>
    <w:p w14:paraId="6145CA4D" w14:textId="77777777" w:rsidR="003950A4" w:rsidRPr="0044344D" w:rsidRDefault="009570BE" w:rsidP="00070FDA">
      <w:pPr>
        <w:pStyle w:val="IEEEHeading1"/>
        <w:numPr>
          <w:ilvl w:val="0"/>
          <w:numId w:val="0"/>
        </w:numPr>
        <w:spacing w:before="0" w:after="0" w:line="276" w:lineRule="auto"/>
        <w:jc w:val="left"/>
        <w:rPr>
          <w:rFonts w:ascii="Century" w:hAnsi="Century"/>
          <w:b/>
          <w:sz w:val="25"/>
          <w:szCs w:val="25"/>
          <w:lang w:val="en-US"/>
        </w:rPr>
      </w:pPr>
      <w:r w:rsidRPr="0044344D">
        <w:rPr>
          <w:rFonts w:ascii="Century" w:hAnsi="Century"/>
          <w:b/>
          <w:sz w:val="25"/>
          <w:szCs w:val="25"/>
          <w:lang w:val="en-US"/>
        </w:rPr>
        <w:t>UCAPAN TERIMA KASIH</w:t>
      </w:r>
    </w:p>
    <w:p w14:paraId="4D6EE774" w14:textId="46560DE6" w:rsidR="00193A9F" w:rsidRPr="0044344D" w:rsidRDefault="00193A9F" w:rsidP="00070FDA">
      <w:pPr>
        <w:pStyle w:val="BodyText"/>
        <w:tabs>
          <w:tab w:val="clear" w:pos="288"/>
        </w:tabs>
        <w:spacing w:after="0" w:line="276" w:lineRule="auto"/>
        <w:ind w:firstLine="0"/>
        <w:rPr>
          <w:rFonts w:ascii="Century" w:hAnsi="Century"/>
          <w:sz w:val="24"/>
          <w:szCs w:val="24"/>
          <w:lang w:val="en-US"/>
        </w:rPr>
      </w:pPr>
      <w:proofErr w:type="spellStart"/>
      <w:r w:rsidRPr="0044344D">
        <w:rPr>
          <w:rFonts w:ascii="Century" w:hAnsi="Century"/>
          <w:sz w:val="24"/>
          <w:szCs w:val="24"/>
          <w:lang w:val="en-US"/>
        </w:rPr>
        <w:t>Ucapan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terima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kasih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disampaikan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kepada</w:t>
      </w:r>
      <w:proofErr w:type="spellEnd"/>
      <w:r w:rsidRPr="0044344D">
        <w:rPr>
          <w:rFonts w:ascii="Century" w:hAnsi="Century"/>
          <w:sz w:val="24"/>
          <w:szCs w:val="24"/>
          <w:lang w:val="en-US"/>
        </w:rPr>
        <w:t xml:space="preserve"> Universitas Telkom, </w:t>
      </w:r>
      <w:proofErr w:type="spellStart"/>
      <w:r w:rsidRPr="0044344D">
        <w:rPr>
          <w:rFonts w:ascii="Century" w:hAnsi="Century"/>
          <w:sz w:val="24"/>
          <w:szCs w:val="24"/>
          <w:lang w:val="en-US"/>
        </w:rPr>
        <w:t>khususnya</w:t>
      </w:r>
      <w:proofErr w:type="spellEnd"/>
      <w:r w:rsidRPr="0044344D">
        <w:rPr>
          <w:rFonts w:ascii="Century" w:hAnsi="Century"/>
          <w:sz w:val="24"/>
          <w:szCs w:val="24"/>
          <w:lang w:val="en-US"/>
        </w:rPr>
        <w:t xml:space="preserve"> Lembaga </w:t>
      </w:r>
      <w:proofErr w:type="spellStart"/>
      <w:r w:rsidRPr="0044344D">
        <w:rPr>
          <w:rFonts w:ascii="Century" w:hAnsi="Century"/>
          <w:sz w:val="24"/>
          <w:szCs w:val="24"/>
          <w:lang w:val="en-US"/>
        </w:rPr>
        <w:t>Penelitian</w:t>
      </w:r>
      <w:proofErr w:type="spellEnd"/>
      <w:r w:rsidRPr="0044344D">
        <w:rPr>
          <w:rFonts w:ascii="Century" w:hAnsi="Century"/>
          <w:sz w:val="24"/>
          <w:szCs w:val="24"/>
          <w:lang w:val="en-US"/>
        </w:rPr>
        <w:t xml:space="preserve"> dan </w:t>
      </w:r>
      <w:proofErr w:type="spellStart"/>
      <w:r w:rsidRPr="0044344D">
        <w:rPr>
          <w:rFonts w:ascii="Century" w:hAnsi="Century"/>
          <w:sz w:val="24"/>
          <w:szCs w:val="24"/>
          <w:lang w:val="en-US"/>
        </w:rPr>
        <w:t>Pengabdian</w:t>
      </w:r>
      <w:proofErr w:type="spellEnd"/>
      <w:r w:rsidRPr="0044344D">
        <w:rPr>
          <w:rFonts w:ascii="Century" w:hAnsi="Century"/>
          <w:sz w:val="24"/>
          <w:szCs w:val="24"/>
          <w:lang w:val="en-US"/>
        </w:rPr>
        <w:t xml:space="preserve"> Masyarakat (LPPM) yang </w:t>
      </w:r>
      <w:proofErr w:type="spellStart"/>
      <w:r w:rsidRPr="0044344D">
        <w:rPr>
          <w:rFonts w:ascii="Century" w:hAnsi="Century"/>
          <w:sz w:val="24"/>
          <w:szCs w:val="24"/>
          <w:lang w:val="en-US"/>
        </w:rPr>
        <w:t>telah</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memfasilitasi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kegiatan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ini</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Selain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itu</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terima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kasih</w:t>
      </w:r>
      <w:proofErr w:type="spellEnd"/>
      <w:r w:rsidRPr="0044344D">
        <w:rPr>
          <w:rFonts w:ascii="Century" w:hAnsi="Century"/>
          <w:sz w:val="24"/>
          <w:szCs w:val="24"/>
          <w:lang w:val="en-US"/>
        </w:rPr>
        <w:t xml:space="preserve"> juga </w:t>
      </w:r>
      <w:proofErr w:type="spellStart"/>
      <w:r w:rsidRPr="0044344D">
        <w:rPr>
          <w:rFonts w:ascii="Century" w:hAnsi="Century"/>
          <w:sz w:val="24"/>
          <w:szCs w:val="24"/>
          <w:lang w:val="en-US"/>
        </w:rPr>
        <w:t>disampaikan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kepada</w:t>
      </w:r>
      <w:proofErr w:type="spellEnd"/>
      <w:r w:rsidRPr="0044344D">
        <w:rPr>
          <w:rFonts w:ascii="Century" w:hAnsi="Century"/>
          <w:sz w:val="24"/>
          <w:szCs w:val="24"/>
          <w:lang w:val="en-US"/>
        </w:rPr>
        <w:t xml:space="preserve"> SMK</w:t>
      </w:r>
      <w:r w:rsidR="003854ED" w:rsidRPr="0044344D">
        <w:rPr>
          <w:rFonts w:ascii="Century" w:hAnsi="Century"/>
          <w:sz w:val="24"/>
          <w:szCs w:val="24"/>
          <w:lang w:val="en-US"/>
        </w:rPr>
        <w:t xml:space="preserve">N </w:t>
      </w:r>
      <w:r w:rsidRPr="0044344D">
        <w:rPr>
          <w:rFonts w:ascii="Century" w:hAnsi="Century"/>
          <w:sz w:val="24"/>
          <w:szCs w:val="24"/>
          <w:lang w:val="en-US"/>
        </w:rPr>
        <w:t xml:space="preserve">2 </w:t>
      </w:r>
      <w:proofErr w:type="spellStart"/>
      <w:r w:rsidRPr="0044344D">
        <w:rPr>
          <w:rFonts w:ascii="Century" w:hAnsi="Century"/>
          <w:sz w:val="24"/>
          <w:szCs w:val="24"/>
          <w:lang w:val="en-US"/>
        </w:rPr>
        <w:t>Lamongan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atas</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bantuan</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baik</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materiil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maupun</w:t>
      </w:r>
      <w:proofErr w:type="spellEnd"/>
      <w:r w:rsidRPr="0044344D">
        <w:rPr>
          <w:rFonts w:ascii="Century" w:hAnsi="Century"/>
          <w:sz w:val="24"/>
          <w:szCs w:val="24"/>
          <w:lang w:val="en-US"/>
        </w:rPr>
        <w:t xml:space="preserve"> non-</w:t>
      </w:r>
      <w:proofErr w:type="spellStart"/>
      <w:r w:rsidRPr="0044344D">
        <w:rPr>
          <w:rFonts w:ascii="Century" w:hAnsi="Century"/>
          <w:sz w:val="24"/>
          <w:szCs w:val="24"/>
          <w:lang w:val="en-US"/>
        </w:rPr>
        <w:t>materiil</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selama</w:t>
      </w:r>
      <w:proofErr w:type="spellEnd"/>
      <w:r w:rsidRPr="0044344D">
        <w:rPr>
          <w:rFonts w:ascii="Century" w:hAnsi="Century"/>
          <w:sz w:val="24"/>
          <w:szCs w:val="24"/>
          <w:lang w:val="en-US"/>
        </w:rPr>
        <w:t xml:space="preserve"> </w:t>
      </w:r>
      <w:proofErr w:type="spellStart"/>
      <w:r w:rsidRPr="0044344D">
        <w:rPr>
          <w:rFonts w:ascii="Century" w:hAnsi="Century"/>
          <w:sz w:val="24"/>
          <w:szCs w:val="24"/>
          <w:lang w:val="en-US"/>
        </w:rPr>
        <w:t>berlangsungnya</w:t>
      </w:r>
      <w:proofErr w:type="spellEnd"/>
      <w:r w:rsidRPr="0044344D">
        <w:rPr>
          <w:rFonts w:ascii="Century" w:hAnsi="Century"/>
          <w:sz w:val="24"/>
          <w:szCs w:val="24"/>
          <w:lang w:val="en-US"/>
        </w:rPr>
        <w:t xml:space="preserve"> acara </w:t>
      </w:r>
      <w:proofErr w:type="spellStart"/>
      <w:r w:rsidRPr="0044344D">
        <w:rPr>
          <w:rFonts w:ascii="Century" w:hAnsi="Century"/>
          <w:sz w:val="24"/>
          <w:szCs w:val="24"/>
          <w:lang w:val="en-US"/>
        </w:rPr>
        <w:t>pelatihan</w:t>
      </w:r>
      <w:proofErr w:type="spellEnd"/>
      <w:r w:rsidRPr="0044344D">
        <w:rPr>
          <w:rFonts w:ascii="Century" w:hAnsi="Century"/>
          <w:sz w:val="24"/>
          <w:szCs w:val="24"/>
          <w:lang w:val="en-US"/>
        </w:rPr>
        <w:t>.</w:t>
      </w:r>
    </w:p>
    <w:p w14:paraId="32B2342B" w14:textId="77777777" w:rsidR="00CE4C20" w:rsidRPr="0044344D" w:rsidRDefault="00CE4C20" w:rsidP="00070FDA">
      <w:pPr>
        <w:pStyle w:val="IEEEHeading1"/>
        <w:numPr>
          <w:ilvl w:val="0"/>
          <w:numId w:val="0"/>
        </w:numPr>
        <w:spacing w:before="0" w:after="0" w:line="276" w:lineRule="auto"/>
        <w:jc w:val="left"/>
        <w:rPr>
          <w:rFonts w:ascii="Century" w:hAnsi="Century"/>
          <w:b/>
          <w:sz w:val="25"/>
          <w:szCs w:val="25"/>
          <w:lang w:val="id-ID"/>
        </w:rPr>
      </w:pPr>
    </w:p>
    <w:p w14:paraId="79882617" w14:textId="77777777" w:rsidR="001928FB" w:rsidRPr="0044344D" w:rsidRDefault="00633178" w:rsidP="00070FDA">
      <w:pPr>
        <w:pStyle w:val="IEEEHeading1"/>
        <w:numPr>
          <w:ilvl w:val="0"/>
          <w:numId w:val="0"/>
        </w:numPr>
        <w:spacing w:before="0" w:after="0" w:line="276" w:lineRule="auto"/>
        <w:jc w:val="left"/>
        <w:rPr>
          <w:rFonts w:ascii="Century" w:hAnsi="Century"/>
          <w:b/>
          <w:sz w:val="25"/>
          <w:szCs w:val="25"/>
          <w:lang w:val="en-US"/>
        </w:rPr>
      </w:pPr>
      <w:r w:rsidRPr="0044344D">
        <w:rPr>
          <w:rFonts w:ascii="Century" w:hAnsi="Century"/>
          <w:b/>
          <w:sz w:val="25"/>
          <w:szCs w:val="25"/>
          <w:lang w:val="id-ID"/>
        </w:rPr>
        <w:t>DAFTAR RUJUKAN</w:t>
      </w:r>
    </w:p>
    <w:p w14:paraId="0D39B8A7" w14:textId="77777777" w:rsidR="005D5A40" w:rsidRPr="0044344D" w:rsidRDefault="00420C35"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color w:val="000000"/>
          <w:spacing w:val="-6"/>
          <w:sz w:val="22"/>
          <w:szCs w:val="22"/>
        </w:rPr>
        <w:fldChar w:fldCharType="begin" w:fldLock="1"/>
      </w:r>
      <w:r w:rsidR="002A1BC7" w:rsidRPr="0044344D">
        <w:rPr>
          <w:rFonts w:ascii="Century" w:hAnsi="Century"/>
          <w:color w:val="000000"/>
          <w:spacing w:val="-6"/>
          <w:sz w:val="22"/>
          <w:szCs w:val="22"/>
        </w:rPr>
        <w:instrText xml:space="preserve"> ADDIN ZOTERO_BIBL {"uncited":[],"omitted":[],"custom":[]} CSL_BIBLIOGRAPHY </w:instrText>
      </w:r>
      <w:r w:rsidRPr="0044344D">
        <w:rPr>
          <w:rFonts w:ascii="Century" w:hAnsi="Century"/>
          <w:color w:val="000000"/>
          <w:spacing w:val="-6"/>
          <w:sz w:val="22"/>
          <w:szCs w:val="22"/>
        </w:rPr>
        <w:fldChar w:fldCharType="separate"/>
      </w:r>
      <w:r w:rsidR="005D5A40" w:rsidRPr="0044344D">
        <w:rPr>
          <w:rFonts w:ascii="Century" w:hAnsi="Century"/>
          <w:sz w:val="22"/>
          <w:lang w:val="en-US"/>
        </w:rPr>
        <w:t xml:space="preserve">Ahmad, S., Shafiullah, M., Ahmed, C. B., &amp; Alowaifeer, M. (2023). A Review of Microgrid Energy Management and Control Strategies. </w:t>
      </w:r>
      <w:r w:rsidR="005D5A40" w:rsidRPr="0044344D">
        <w:rPr>
          <w:rFonts w:ascii="Century" w:hAnsi="Century"/>
          <w:i/>
          <w:iCs/>
          <w:sz w:val="22"/>
          <w:lang w:val="en-US"/>
        </w:rPr>
        <w:t>IEEE Access</w:t>
      </w:r>
      <w:r w:rsidR="005D5A40" w:rsidRPr="0044344D">
        <w:rPr>
          <w:rFonts w:ascii="Century" w:hAnsi="Century"/>
          <w:sz w:val="22"/>
          <w:lang w:val="en-US"/>
        </w:rPr>
        <w:t xml:space="preserve">, </w:t>
      </w:r>
      <w:r w:rsidR="005D5A40" w:rsidRPr="0044344D">
        <w:rPr>
          <w:rFonts w:ascii="Century" w:hAnsi="Century"/>
          <w:i/>
          <w:iCs/>
          <w:sz w:val="22"/>
          <w:lang w:val="en-US"/>
        </w:rPr>
        <w:t>11</w:t>
      </w:r>
      <w:r w:rsidR="005D5A40" w:rsidRPr="0044344D">
        <w:rPr>
          <w:rFonts w:ascii="Century" w:hAnsi="Century"/>
          <w:sz w:val="22"/>
          <w:lang w:val="en-US"/>
        </w:rPr>
        <w:t>, 21729–21757. https://doi.org/10.1109/access.2023.3248511</w:t>
      </w:r>
    </w:p>
    <w:p w14:paraId="7A6D8939"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Ali, Z. M., Ćalasan, M., Jurado, F., &amp; Abdel Aleem, S. H. E. (2024). Complexities of Power Quality and Harmonic-Induced Overheating in Modern Power Grids Studies: Challenges and Solutions. </w:t>
      </w:r>
      <w:r w:rsidRPr="0044344D">
        <w:rPr>
          <w:rFonts w:ascii="Century" w:hAnsi="Century"/>
          <w:i/>
          <w:iCs/>
          <w:sz w:val="22"/>
          <w:lang w:val="en-US"/>
        </w:rPr>
        <w:t>IEEE Access</w:t>
      </w:r>
      <w:r w:rsidRPr="0044344D">
        <w:rPr>
          <w:rFonts w:ascii="Century" w:hAnsi="Century"/>
          <w:sz w:val="22"/>
          <w:lang w:val="en-US"/>
        </w:rPr>
        <w:t xml:space="preserve">, </w:t>
      </w:r>
      <w:r w:rsidRPr="0044344D">
        <w:rPr>
          <w:rFonts w:ascii="Century" w:hAnsi="Century"/>
          <w:i/>
          <w:iCs/>
          <w:sz w:val="22"/>
          <w:lang w:val="en-US"/>
        </w:rPr>
        <w:t>12</w:t>
      </w:r>
      <w:r w:rsidRPr="0044344D">
        <w:rPr>
          <w:rFonts w:ascii="Century" w:hAnsi="Century"/>
          <w:sz w:val="22"/>
          <w:lang w:val="en-US"/>
        </w:rPr>
        <w:t>, 151554–151597. https://doi.org/10.1109/access.2024.3477729</w:t>
      </w:r>
    </w:p>
    <w:p w14:paraId="57365680" w14:textId="40DB23DF" w:rsidR="005D5A40" w:rsidRPr="00230AB3" w:rsidRDefault="005D5A40" w:rsidP="00230AB3">
      <w:pPr>
        <w:pStyle w:val="Bibliography"/>
        <w:tabs>
          <w:tab w:val="clear" w:pos="500"/>
        </w:tabs>
        <w:spacing w:line="240" w:lineRule="auto"/>
        <w:ind w:left="709" w:hanging="709"/>
        <w:jc w:val="both"/>
        <w:rPr>
          <w:rFonts w:ascii="Century" w:hAnsi="Century"/>
          <w:sz w:val="20"/>
          <w:szCs w:val="22"/>
          <w:lang w:val="en-US"/>
        </w:rPr>
      </w:pPr>
      <w:r w:rsidRPr="0044344D">
        <w:rPr>
          <w:rFonts w:ascii="Century" w:hAnsi="Century"/>
          <w:sz w:val="22"/>
          <w:lang w:val="en-US"/>
        </w:rPr>
        <w:t xml:space="preserve">Amifia, L. K., Adiputra, D., Hafidz, I., Amiroh, K., Farouq, A. A., Samrat, R. A. A., &amp; Habibi, A. (2022). </w:t>
      </w:r>
      <w:proofErr w:type="spellStart"/>
      <w:r w:rsidR="00230AB3">
        <w:t>P</w:t>
      </w:r>
      <w:r w:rsidR="00230AB3" w:rsidRPr="00230AB3">
        <w:rPr>
          <w:rFonts w:ascii="Century" w:hAnsi="Century"/>
          <w:sz w:val="22"/>
          <w:szCs w:val="22"/>
        </w:rPr>
        <w:t>eningkatan</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kapasitas</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dengan</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penerangan</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jalan</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umum</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tenaga</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surya</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berbasis</w:t>
      </w:r>
      <w:proofErr w:type="spellEnd"/>
      <w:r w:rsidR="00230AB3" w:rsidRPr="00230AB3">
        <w:rPr>
          <w:rFonts w:ascii="Century" w:hAnsi="Century"/>
          <w:sz w:val="22"/>
          <w:szCs w:val="22"/>
        </w:rPr>
        <w:t xml:space="preserve"> ICT di </w:t>
      </w:r>
      <w:proofErr w:type="spellStart"/>
      <w:r w:rsidR="00230AB3" w:rsidRPr="00230AB3">
        <w:rPr>
          <w:rFonts w:ascii="Century" w:hAnsi="Century"/>
          <w:sz w:val="22"/>
          <w:szCs w:val="22"/>
        </w:rPr>
        <w:t>Desa</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Ngeni</w:t>
      </w:r>
      <w:proofErr w:type="spellEnd"/>
      <w:r w:rsidR="00230AB3" w:rsidRPr="00230AB3">
        <w:rPr>
          <w:rFonts w:ascii="Century" w:hAnsi="Century"/>
          <w:sz w:val="22"/>
          <w:szCs w:val="22"/>
        </w:rPr>
        <w:t xml:space="preserve">. </w:t>
      </w:r>
      <w:proofErr w:type="spellStart"/>
      <w:r w:rsidR="00230AB3" w:rsidRPr="00230AB3">
        <w:rPr>
          <w:rStyle w:val="Emphasis"/>
          <w:rFonts w:ascii="Century" w:hAnsi="Century"/>
          <w:sz w:val="22"/>
          <w:szCs w:val="22"/>
        </w:rPr>
        <w:t>Panrita</w:t>
      </w:r>
      <w:proofErr w:type="spellEnd"/>
      <w:r w:rsidR="00230AB3" w:rsidRPr="00230AB3">
        <w:rPr>
          <w:rStyle w:val="Emphasis"/>
          <w:rFonts w:ascii="Century" w:hAnsi="Century"/>
          <w:sz w:val="22"/>
          <w:szCs w:val="22"/>
        </w:rPr>
        <w:t xml:space="preserve"> Abdi – </w:t>
      </w:r>
      <w:proofErr w:type="spellStart"/>
      <w:r w:rsidR="00230AB3" w:rsidRPr="00230AB3">
        <w:rPr>
          <w:rStyle w:val="Emphasis"/>
          <w:rFonts w:ascii="Century" w:hAnsi="Century"/>
          <w:sz w:val="22"/>
          <w:szCs w:val="22"/>
        </w:rPr>
        <w:t>Jurnal</w:t>
      </w:r>
      <w:proofErr w:type="spellEnd"/>
      <w:r w:rsidR="00230AB3" w:rsidRPr="00230AB3">
        <w:rPr>
          <w:rStyle w:val="Emphasis"/>
          <w:rFonts w:ascii="Century" w:hAnsi="Century"/>
          <w:sz w:val="22"/>
          <w:szCs w:val="22"/>
        </w:rPr>
        <w:t xml:space="preserve"> </w:t>
      </w:r>
      <w:proofErr w:type="spellStart"/>
      <w:r w:rsidR="00230AB3" w:rsidRPr="00230AB3">
        <w:rPr>
          <w:rStyle w:val="Emphasis"/>
          <w:rFonts w:ascii="Century" w:hAnsi="Century"/>
          <w:sz w:val="22"/>
          <w:szCs w:val="22"/>
        </w:rPr>
        <w:t>Pengabdian</w:t>
      </w:r>
      <w:proofErr w:type="spellEnd"/>
      <w:r w:rsidR="00230AB3" w:rsidRPr="00230AB3">
        <w:rPr>
          <w:rStyle w:val="Emphasis"/>
          <w:rFonts w:ascii="Century" w:hAnsi="Century"/>
          <w:sz w:val="22"/>
          <w:szCs w:val="22"/>
        </w:rPr>
        <w:t xml:space="preserve"> pada Masyarakat, 6</w:t>
      </w:r>
      <w:r w:rsidR="00230AB3" w:rsidRPr="00230AB3">
        <w:rPr>
          <w:rFonts w:ascii="Century" w:hAnsi="Century"/>
          <w:sz w:val="22"/>
          <w:szCs w:val="22"/>
        </w:rPr>
        <w:t>(4), 804–813. https://doi.org/10.20956/pa.v6i4.18122</w:t>
      </w:r>
    </w:p>
    <w:p w14:paraId="5AA16402" w14:textId="5E98FC59" w:rsidR="005D5A40" w:rsidRPr="00230AB3" w:rsidRDefault="005D5A40" w:rsidP="00230AB3">
      <w:pPr>
        <w:pStyle w:val="Bibliography"/>
        <w:tabs>
          <w:tab w:val="clear" w:pos="500"/>
        </w:tabs>
        <w:spacing w:line="240" w:lineRule="auto"/>
        <w:ind w:left="709" w:hanging="709"/>
        <w:jc w:val="both"/>
        <w:rPr>
          <w:rFonts w:ascii="Century" w:hAnsi="Century"/>
          <w:sz w:val="20"/>
          <w:szCs w:val="22"/>
          <w:lang w:val="en-US"/>
        </w:rPr>
      </w:pPr>
      <w:r w:rsidRPr="0044344D">
        <w:rPr>
          <w:rFonts w:ascii="Century" w:hAnsi="Century"/>
          <w:sz w:val="22"/>
          <w:lang w:val="en-US"/>
        </w:rPr>
        <w:t xml:space="preserve">Aprillia, B. S., Mohamad Ramdhani, &amp; Irwan Purnama. (2023). </w:t>
      </w:r>
      <w:proofErr w:type="spellStart"/>
      <w:r w:rsidR="00230AB3" w:rsidRPr="00230AB3">
        <w:rPr>
          <w:rFonts w:ascii="Century" w:hAnsi="Century"/>
          <w:sz w:val="22"/>
          <w:szCs w:val="22"/>
        </w:rPr>
        <w:t>Desiminasi</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sistem</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pembangkit</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tenaga</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surya</w:t>
      </w:r>
      <w:proofErr w:type="spellEnd"/>
      <w:r w:rsidR="00230AB3" w:rsidRPr="00230AB3">
        <w:rPr>
          <w:rFonts w:ascii="Century" w:hAnsi="Century"/>
          <w:sz w:val="22"/>
          <w:szCs w:val="22"/>
        </w:rPr>
        <w:t xml:space="preserve"> </w:t>
      </w:r>
      <w:proofErr w:type="spellStart"/>
      <w:r w:rsidR="00230AB3" w:rsidRPr="00230AB3">
        <w:rPr>
          <w:rFonts w:ascii="Century" w:hAnsi="Century"/>
          <w:sz w:val="22"/>
          <w:szCs w:val="22"/>
        </w:rPr>
        <w:t>untuk</w:t>
      </w:r>
      <w:proofErr w:type="spellEnd"/>
      <w:r w:rsidR="00230AB3" w:rsidRPr="00230AB3">
        <w:rPr>
          <w:rFonts w:ascii="Century" w:hAnsi="Century"/>
          <w:sz w:val="22"/>
          <w:szCs w:val="22"/>
        </w:rPr>
        <w:t xml:space="preserve"> guru dan </w:t>
      </w:r>
      <w:proofErr w:type="spellStart"/>
      <w:r w:rsidR="00230AB3" w:rsidRPr="00230AB3">
        <w:rPr>
          <w:rFonts w:ascii="Century" w:hAnsi="Century"/>
          <w:sz w:val="22"/>
          <w:szCs w:val="22"/>
        </w:rPr>
        <w:t>siswa</w:t>
      </w:r>
      <w:proofErr w:type="spellEnd"/>
      <w:r w:rsidR="00230AB3" w:rsidRPr="00230AB3">
        <w:rPr>
          <w:rFonts w:ascii="Century" w:hAnsi="Century"/>
          <w:sz w:val="22"/>
          <w:szCs w:val="22"/>
        </w:rPr>
        <w:t xml:space="preserve"> di </w:t>
      </w:r>
      <w:proofErr w:type="spellStart"/>
      <w:r w:rsidR="00230AB3" w:rsidRPr="00230AB3">
        <w:rPr>
          <w:rFonts w:ascii="Century" w:hAnsi="Century"/>
          <w:sz w:val="22"/>
          <w:szCs w:val="22"/>
        </w:rPr>
        <w:t>Kabupaten</w:t>
      </w:r>
      <w:proofErr w:type="spellEnd"/>
      <w:r w:rsidR="00230AB3" w:rsidRPr="00230AB3">
        <w:rPr>
          <w:rFonts w:ascii="Century" w:hAnsi="Century"/>
          <w:sz w:val="22"/>
          <w:szCs w:val="22"/>
        </w:rPr>
        <w:t xml:space="preserve"> Bandung. </w:t>
      </w:r>
      <w:r w:rsidR="00230AB3" w:rsidRPr="00230AB3">
        <w:rPr>
          <w:rStyle w:val="Emphasis"/>
          <w:rFonts w:ascii="Century" w:hAnsi="Century"/>
          <w:sz w:val="22"/>
          <w:szCs w:val="22"/>
        </w:rPr>
        <w:t>Warta LPM, 26</w:t>
      </w:r>
      <w:r w:rsidR="00230AB3" w:rsidRPr="00230AB3">
        <w:rPr>
          <w:rFonts w:ascii="Century" w:hAnsi="Century"/>
          <w:sz w:val="22"/>
          <w:szCs w:val="22"/>
        </w:rPr>
        <w:t xml:space="preserve">(2), 166–173. </w:t>
      </w:r>
      <w:hyperlink r:id="rId23" w:tgtFrame="_new" w:history="1">
        <w:r w:rsidR="00230AB3" w:rsidRPr="00230AB3">
          <w:rPr>
            <w:rStyle w:val="Hyperlink"/>
            <w:rFonts w:ascii="Century" w:hAnsi="Century"/>
            <w:color w:val="auto"/>
            <w:sz w:val="22"/>
            <w:szCs w:val="22"/>
            <w:u w:val="none"/>
          </w:rPr>
          <w:t>https://doi.org/10.23917/warta.v26i2.1016</w:t>
        </w:r>
      </w:hyperlink>
    </w:p>
    <w:p w14:paraId="7C869610"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Barri, M. H., Aprillia, B. S., Sugiana, A., &amp; Adam, K. B. (2021). Integrasi Modul Energi Surya untuk Membantu Sistem Kelistrikan di Pondok Pesantren Darul Bayan Kecamatan Jatinangor Kabupaten Bandung. </w:t>
      </w:r>
      <w:r w:rsidRPr="0044344D">
        <w:rPr>
          <w:rFonts w:ascii="Century" w:hAnsi="Century"/>
          <w:i/>
          <w:iCs/>
          <w:sz w:val="22"/>
          <w:lang w:val="en-US"/>
        </w:rPr>
        <w:t>J-Dinamika</w:t>
      </w:r>
      <w:r w:rsidRPr="0044344D">
        <w:rPr>
          <w:i/>
          <w:iCs/>
          <w:sz w:val="22"/>
          <w:lang w:val="en-US"/>
        </w:rPr>
        <w:t> </w:t>
      </w:r>
      <w:r w:rsidRPr="0044344D">
        <w:rPr>
          <w:rFonts w:ascii="Century" w:hAnsi="Century"/>
          <w:i/>
          <w:iCs/>
          <w:sz w:val="22"/>
          <w:lang w:val="en-US"/>
        </w:rPr>
        <w:t xml:space="preserve">: </w:t>
      </w:r>
      <w:r w:rsidRPr="0044344D">
        <w:rPr>
          <w:rFonts w:ascii="Century" w:hAnsi="Century"/>
          <w:i/>
          <w:iCs/>
          <w:sz w:val="22"/>
          <w:lang w:val="en-US"/>
        </w:rPr>
        <w:lastRenderedPageBreak/>
        <w:t>Jurnal Pengabdian Masyarakat</w:t>
      </w:r>
      <w:r w:rsidRPr="0044344D">
        <w:rPr>
          <w:rFonts w:ascii="Century" w:hAnsi="Century"/>
          <w:sz w:val="22"/>
          <w:lang w:val="en-US"/>
        </w:rPr>
        <w:t xml:space="preserve">, </w:t>
      </w:r>
      <w:r w:rsidRPr="0044344D">
        <w:rPr>
          <w:rFonts w:ascii="Century" w:hAnsi="Century"/>
          <w:i/>
          <w:iCs/>
          <w:sz w:val="22"/>
          <w:lang w:val="en-US"/>
        </w:rPr>
        <w:t>6</w:t>
      </w:r>
      <w:r w:rsidRPr="0044344D">
        <w:rPr>
          <w:rFonts w:ascii="Century" w:hAnsi="Century"/>
          <w:sz w:val="22"/>
          <w:lang w:val="en-US"/>
        </w:rPr>
        <w:t>(1), 117–122. https://doi.org/10.25047/j-dinamika.v6i1.2368</w:t>
      </w:r>
    </w:p>
    <w:p w14:paraId="5237CEE2"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Bayu, H., &amp; Windarta, J. (2021). Tinjauan Kebijakan dan Regulasi Pengembangan PLTS di Indonesia. </w:t>
      </w:r>
      <w:r w:rsidRPr="0044344D">
        <w:rPr>
          <w:rFonts w:ascii="Century" w:hAnsi="Century"/>
          <w:i/>
          <w:iCs/>
          <w:sz w:val="22"/>
          <w:lang w:val="en-US"/>
        </w:rPr>
        <w:t>Jurnal Energi Baru dan Terbarukan</w:t>
      </w:r>
      <w:r w:rsidRPr="0044344D">
        <w:rPr>
          <w:rFonts w:ascii="Century" w:hAnsi="Century"/>
          <w:sz w:val="22"/>
          <w:lang w:val="en-US"/>
        </w:rPr>
        <w:t xml:space="preserve">, </w:t>
      </w:r>
      <w:r w:rsidRPr="0044344D">
        <w:rPr>
          <w:rFonts w:ascii="Century" w:hAnsi="Century"/>
          <w:i/>
          <w:iCs/>
          <w:sz w:val="22"/>
          <w:lang w:val="en-US"/>
        </w:rPr>
        <w:t>2</w:t>
      </w:r>
      <w:r w:rsidRPr="0044344D">
        <w:rPr>
          <w:rFonts w:ascii="Century" w:hAnsi="Century"/>
          <w:sz w:val="22"/>
          <w:lang w:val="en-US"/>
        </w:rPr>
        <w:t>(3), 123–132. https://doi.org/10.14710/jebt.2021.10043</w:t>
      </w:r>
    </w:p>
    <w:p w14:paraId="4208A3AC"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i/>
          <w:iCs/>
          <w:sz w:val="22"/>
          <w:lang w:val="en-US"/>
        </w:rPr>
        <w:t>Climate Strategies &amp; Targets</w:t>
      </w:r>
      <w:r w:rsidRPr="0044344D">
        <w:rPr>
          <w:rFonts w:ascii="Century" w:hAnsi="Century"/>
          <w:sz w:val="22"/>
          <w:lang w:val="en-US"/>
        </w:rPr>
        <w:t>. (n.d.). Retrieved March 8, 2023, from https://climate.ec.europa.eu/eu-action/climate-strategies-targets_en</w:t>
      </w:r>
    </w:p>
    <w:p w14:paraId="607BC2B7"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Dudkina, E., Fioriti, D., Crisostomi, E., &amp; Poli, D. (2022). On the impact of different electricity markets on the operation of a network of microgrids in remote areas. </w:t>
      </w:r>
      <w:r w:rsidRPr="0044344D">
        <w:rPr>
          <w:rFonts w:ascii="Century" w:hAnsi="Century"/>
          <w:i/>
          <w:iCs/>
          <w:sz w:val="22"/>
          <w:lang w:val="en-US"/>
        </w:rPr>
        <w:t>Electric Power Systems Research</w:t>
      </w:r>
      <w:r w:rsidRPr="0044344D">
        <w:rPr>
          <w:rFonts w:ascii="Century" w:hAnsi="Century"/>
          <w:sz w:val="22"/>
          <w:lang w:val="en-US"/>
        </w:rPr>
        <w:t xml:space="preserve">, </w:t>
      </w:r>
      <w:r w:rsidRPr="0044344D">
        <w:rPr>
          <w:rFonts w:ascii="Century" w:hAnsi="Century"/>
          <w:i/>
          <w:iCs/>
          <w:sz w:val="22"/>
          <w:lang w:val="en-US"/>
        </w:rPr>
        <w:t>212</w:t>
      </w:r>
      <w:r w:rsidRPr="0044344D">
        <w:rPr>
          <w:rFonts w:ascii="Century" w:hAnsi="Century"/>
          <w:sz w:val="22"/>
          <w:lang w:val="en-US"/>
        </w:rPr>
        <w:t>, 108243. https://doi.org/10.1016/j.epsr.2022.108243</w:t>
      </w:r>
    </w:p>
    <w:p w14:paraId="06E9E065"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Handayani, N. A., &amp; Ariyanti, D. (2012). Potency of Solar Energy Applications in Indonesia. </w:t>
      </w:r>
      <w:r w:rsidRPr="0044344D">
        <w:rPr>
          <w:rFonts w:ascii="Century" w:hAnsi="Century"/>
          <w:i/>
          <w:iCs/>
          <w:sz w:val="22"/>
          <w:lang w:val="en-US"/>
        </w:rPr>
        <w:t>International Journal of Renewable Energy Development</w:t>
      </w:r>
      <w:r w:rsidRPr="0044344D">
        <w:rPr>
          <w:rFonts w:ascii="Century" w:hAnsi="Century"/>
          <w:sz w:val="22"/>
          <w:lang w:val="en-US"/>
        </w:rPr>
        <w:t xml:space="preserve">, </w:t>
      </w:r>
      <w:r w:rsidRPr="0044344D">
        <w:rPr>
          <w:rFonts w:ascii="Century" w:hAnsi="Century"/>
          <w:i/>
          <w:iCs/>
          <w:sz w:val="22"/>
          <w:lang w:val="en-US"/>
        </w:rPr>
        <w:t>1</w:t>
      </w:r>
      <w:r w:rsidRPr="0044344D">
        <w:rPr>
          <w:rFonts w:ascii="Century" w:hAnsi="Century"/>
          <w:sz w:val="22"/>
          <w:lang w:val="en-US"/>
        </w:rPr>
        <w:t>(2), 33–38. https://doi.org/10.14710/ijred.1.2.33-38</w:t>
      </w:r>
    </w:p>
    <w:p w14:paraId="5552241C"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Hirvonen, J., Kayo, G., Hasan, A., &amp; Sirén, K. (2016). Zero energy level and economic potential of small-scale building-integrated PV with different heating systems in Nordic conditions. </w:t>
      </w:r>
      <w:r w:rsidRPr="0044344D">
        <w:rPr>
          <w:rFonts w:ascii="Century" w:hAnsi="Century"/>
          <w:i/>
          <w:iCs/>
          <w:sz w:val="22"/>
          <w:lang w:val="en-US"/>
        </w:rPr>
        <w:t>Applied Energy</w:t>
      </w:r>
      <w:r w:rsidRPr="0044344D">
        <w:rPr>
          <w:rFonts w:ascii="Century" w:hAnsi="Century"/>
          <w:sz w:val="22"/>
          <w:lang w:val="en-US"/>
        </w:rPr>
        <w:t xml:space="preserve">, </w:t>
      </w:r>
      <w:r w:rsidRPr="0044344D">
        <w:rPr>
          <w:rFonts w:ascii="Century" w:hAnsi="Century"/>
          <w:i/>
          <w:iCs/>
          <w:sz w:val="22"/>
          <w:lang w:val="en-US"/>
        </w:rPr>
        <w:t>167</w:t>
      </w:r>
      <w:r w:rsidRPr="0044344D">
        <w:rPr>
          <w:rFonts w:ascii="Century" w:hAnsi="Century"/>
          <w:sz w:val="22"/>
          <w:lang w:val="en-US"/>
        </w:rPr>
        <w:t>, 255–269. https://doi.org/10.1016/j.apenergy.2015.12.037</w:t>
      </w:r>
    </w:p>
    <w:p w14:paraId="4B402076"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IEA, IRENA, UNSD, &amp; WHO. (2021). </w:t>
      </w:r>
      <w:r w:rsidRPr="0044344D">
        <w:rPr>
          <w:rFonts w:ascii="Century" w:hAnsi="Century"/>
          <w:i/>
          <w:iCs/>
          <w:sz w:val="22"/>
          <w:lang w:val="en-US"/>
        </w:rPr>
        <w:t>Tracking SDG 7: The Energy Progress Report</w:t>
      </w:r>
      <w:r w:rsidRPr="0044344D">
        <w:rPr>
          <w:rFonts w:ascii="Century" w:hAnsi="Century"/>
          <w:sz w:val="22"/>
          <w:lang w:val="en-US"/>
        </w:rPr>
        <w:t>. https://trackingsdg7.esmap.org/data/files/download-documents/tracking_sdg_7_2020-full_report_-_web_0.pdf</w:t>
      </w:r>
    </w:p>
    <w:p w14:paraId="762A23FC"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Kow, K. W., Wong, Y. W., Rajkumar, R. K., &amp; Rajkumar, R. K. (2016). A review on performance of artificial intelligence and conventional method in mitigating PV grid-tied related power quality events. </w:t>
      </w:r>
      <w:r w:rsidRPr="0044344D">
        <w:rPr>
          <w:rFonts w:ascii="Century" w:hAnsi="Century"/>
          <w:i/>
          <w:iCs/>
          <w:sz w:val="22"/>
          <w:lang w:val="en-US"/>
        </w:rPr>
        <w:t>Renewable and Sustainable Energy Reviews</w:t>
      </w:r>
      <w:r w:rsidRPr="0044344D">
        <w:rPr>
          <w:rFonts w:ascii="Century" w:hAnsi="Century"/>
          <w:sz w:val="22"/>
          <w:lang w:val="en-US"/>
        </w:rPr>
        <w:t xml:space="preserve">, </w:t>
      </w:r>
      <w:r w:rsidRPr="0044344D">
        <w:rPr>
          <w:rFonts w:ascii="Century" w:hAnsi="Century"/>
          <w:i/>
          <w:iCs/>
          <w:sz w:val="22"/>
          <w:lang w:val="en-US"/>
        </w:rPr>
        <w:t>56</w:t>
      </w:r>
      <w:r w:rsidRPr="0044344D">
        <w:rPr>
          <w:rFonts w:ascii="Century" w:hAnsi="Century"/>
          <w:sz w:val="22"/>
          <w:lang w:val="en-US"/>
        </w:rPr>
        <w:t>, 334–346. https://doi.org/10.1016/j.rser.2015.11.064</w:t>
      </w:r>
    </w:p>
    <w:p w14:paraId="49B36193" w14:textId="6815615E"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Lubna, L., Sudarti, S., &amp; Yushardi, Y. (2021). </w:t>
      </w:r>
      <w:proofErr w:type="spellStart"/>
      <w:r w:rsidR="00230AB3" w:rsidRPr="0044344D">
        <w:rPr>
          <w:rFonts w:ascii="Century" w:hAnsi="Century"/>
          <w:sz w:val="22"/>
          <w:lang w:val="en-US"/>
        </w:rPr>
        <w:t>Potensi</w:t>
      </w:r>
      <w:proofErr w:type="spellEnd"/>
      <w:r w:rsidR="00230AB3" w:rsidRPr="0044344D">
        <w:rPr>
          <w:rFonts w:ascii="Century" w:hAnsi="Century"/>
          <w:sz w:val="22"/>
          <w:lang w:val="en-US"/>
        </w:rPr>
        <w:t xml:space="preserve"> </w:t>
      </w:r>
      <w:proofErr w:type="spellStart"/>
      <w:r w:rsidR="00230AB3" w:rsidRPr="0044344D">
        <w:rPr>
          <w:rFonts w:ascii="Century" w:hAnsi="Century"/>
          <w:sz w:val="22"/>
          <w:lang w:val="en-US"/>
        </w:rPr>
        <w:t>Energi</w:t>
      </w:r>
      <w:proofErr w:type="spellEnd"/>
      <w:r w:rsidR="00230AB3" w:rsidRPr="0044344D">
        <w:rPr>
          <w:rFonts w:ascii="Century" w:hAnsi="Century"/>
          <w:sz w:val="22"/>
          <w:lang w:val="en-US"/>
        </w:rPr>
        <w:t xml:space="preserve"> Surya </w:t>
      </w:r>
      <w:proofErr w:type="spellStart"/>
      <w:r w:rsidR="00230AB3" w:rsidRPr="0044344D">
        <w:rPr>
          <w:rFonts w:ascii="Century" w:hAnsi="Century"/>
          <w:sz w:val="22"/>
          <w:lang w:val="en-US"/>
        </w:rPr>
        <w:t>Fotovoltaik</w:t>
      </w:r>
      <w:proofErr w:type="spellEnd"/>
      <w:r w:rsidR="00230AB3" w:rsidRPr="0044344D">
        <w:rPr>
          <w:rFonts w:ascii="Century" w:hAnsi="Century"/>
          <w:sz w:val="22"/>
          <w:lang w:val="en-US"/>
        </w:rPr>
        <w:t xml:space="preserve"> </w:t>
      </w:r>
      <w:proofErr w:type="spellStart"/>
      <w:proofErr w:type="gramStart"/>
      <w:r w:rsidR="00230AB3" w:rsidRPr="0044344D">
        <w:rPr>
          <w:rFonts w:ascii="Century" w:hAnsi="Century"/>
          <w:sz w:val="22"/>
          <w:lang w:val="en-US"/>
        </w:rPr>
        <w:t>Sebagai</w:t>
      </w:r>
      <w:proofErr w:type="spellEnd"/>
      <w:r w:rsidR="00230AB3" w:rsidRPr="0044344D">
        <w:rPr>
          <w:rFonts w:ascii="Century" w:hAnsi="Century"/>
          <w:sz w:val="22"/>
          <w:lang w:val="en-US"/>
        </w:rPr>
        <w:t xml:space="preserve">  </w:t>
      </w:r>
      <w:proofErr w:type="spellStart"/>
      <w:r w:rsidR="00230AB3" w:rsidRPr="0044344D">
        <w:rPr>
          <w:rFonts w:ascii="Century" w:hAnsi="Century"/>
          <w:sz w:val="22"/>
          <w:lang w:val="en-US"/>
        </w:rPr>
        <w:t>Sumber</w:t>
      </w:r>
      <w:proofErr w:type="spellEnd"/>
      <w:proofErr w:type="gramEnd"/>
      <w:r w:rsidR="00230AB3" w:rsidRPr="0044344D">
        <w:rPr>
          <w:rFonts w:ascii="Century" w:hAnsi="Century"/>
          <w:sz w:val="22"/>
          <w:lang w:val="en-US"/>
        </w:rPr>
        <w:t xml:space="preserve"> </w:t>
      </w:r>
      <w:proofErr w:type="spellStart"/>
      <w:r w:rsidR="00230AB3" w:rsidRPr="0044344D">
        <w:rPr>
          <w:rFonts w:ascii="Century" w:hAnsi="Century"/>
          <w:sz w:val="22"/>
          <w:lang w:val="en-US"/>
        </w:rPr>
        <w:t>Energi</w:t>
      </w:r>
      <w:proofErr w:type="spellEnd"/>
      <w:r w:rsidR="00230AB3" w:rsidRPr="0044344D">
        <w:rPr>
          <w:rFonts w:ascii="Century" w:hAnsi="Century"/>
          <w:sz w:val="22"/>
          <w:lang w:val="en-US"/>
        </w:rPr>
        <w:t xml:space="preserve"> </w:t>
      </w:r>
      <w:proofErr w:type="spellStart"/>
      <w:r w:rsidR="00230AB3" w:rsidRPr="0044344D">
        <w:rPr>
          <w:rFonts w:ascii="Century" w:hAnsi="Century"/>
          <w:sz w:val="22"/>
          <w:lang w:val="en-US"/>
        </w:rPr>
        <w:t>Alternatif</w:t>
      </w:r>
      <w:proofErr w:type="spellEnd"/>
      <w:r w:rsidRPr="0044344D">
        <w:rPr>
          <w:rFonts w:ascii="Century" w:hAnsi="Century"/>
          <w:sz w:val="22"/>
          <w:lang w:val="en-US"/>
        </w:rPr>
        <w:t xml:space="preserve">. </w:t>
      </w:r>
      <w:r w:rsidRPr="0044344D">
        <w:rPr>
          <w:rFonts w:ascii="Century" w:hAnsi="Century"/>
          <w:i/>
          <w:iCs/>
          <w:sz w:val="22"/>
          <w:lang w:val="en-US"/>
        </w:rPr>
        <w:t>Pelita</w:t>
      </w:r>
      <w:r w:rsidRPr="0044344D">
        <w:rPr>
          <w:i/>
          <w:iCs/>
          <w:sz w:val="22"/>
          <w:lang w:val="en-US"/>
        </w:rPr>
        <w:t> </w:t>
      </w:r>
      <w:r w:rsidRPr="0044344D">
        <w:rPr>
          <w:rFonts w:ascii="Century" w:hAnsi="Century"/>
          <w:i/>
          <w:iCs/>
          <w:sz w:val="22"/>
          <w:lang w:val="en-US"/>
        </w:rPr>
        <w:t>: Jurnal Penelitian dan Karya Ilmiah</w:t>
      </w:r>
      <w:r w:rsidRPr="0044344D">
        <w:rPr>
          <w:rFonts w:ascii="Century" w:hAnsi="Century"/>
          <w:sz w:val="22"/>
          <w:lang w:val="en-US"/>
        </w:rPr>
        <w:t xml:space="preserve">, </w:t>
      </w:r>
      <w:r w:rsidRPr="0044344D">
        <w:rPr>
          <w:rFonts w:ascii="Century" w:hAnsi="Century"/>
          <w:i/>
          <w:iCs/>
          <w:sz w:val="22"/>
          <w:lang w:val="en-US"/>
        </w:rPr>
        <w:t>21</w:t>
      </w:r>
      <w:r w:rsidRPr="0044344D">
        <w:rPr>
          <w:rFonts w:ascii="Century" w:hAnsi="Century"/>
          <w:sz w:val="22"/>
          <w:lang w:val="en-US"/>
        </w:rPr>
        <w:t>(1), 76–79. https://doi.org/10.33592/pelita.v21i1.1269</w:t>
      </w:r>
    </w:p>
    <w:p w14:paraId="01B314F4"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McNeil, M. A., Karali, N., &amp; Letschert, V. (2019). Forecasting Indonesia’s electricity load through 2030 and peak demand reductions from appliance and lighting efficiency. </w:t>
      </w:r>
      <w:r w:rsidRPr="0044344D">
        <w:rPr>
          <w:rFonts w:ascii="Century" w:hAnsi="Century"/>
          <w:i/>
          <w:iCs/>
          <w:sz w:val="22"/>
          <w:lang w:val="en-US"/>
        </w:rPr>
        <w:t>Energy for Sustainable Development</w:t>
      </w:r>
      <w:r w:rsidRPr="0044344D">
        <w:rPr>
          <w:rFonts w:ascii="Century" w:hAnsi="Century"/>
          <w:sz w:val="22"/>
          <w:lang w:val="en-US"/>
        </w:rPr>
        <w:t xml:space="preserve">, </w:t>
      </w:r>
      <w:r w:rsidRPr="0044344D">
        <w:rPr>
          <w:rFonts w:ascii="Century" w:hAnsi="Century"/>
          <w:i/>
          <w:iCs/>
          <w:sz w:val="22"/>
          <w:lang w:val="en-US"/>
        </w:rPr>
        <w:t>49</w:t>
      </w:r>
      <w:r w:rsidRPr="0044344D">
        <w:rPr>
          <w:rFonts w:ascii="Century" w:hAnsi="Century"/>
          <w:sz w:val="22"/>
          <w:lang w:val="en-US"/>
        </w:rPr>
        <w:t>, 65–77. https://doi.org/10.1016/j.esd.2019.01.001</w:t>
      </w:r>
    </w:p>
    <w:p w14:paraId="4E37923B"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Miao, W., Lam, K. H., &amp; Pong, P. W. T. (2020). Online Monitoring of Aluminum Electrolytic Capacitors in Photovoltaic Systems by Magnetoresistive Sensors. </w:t>
      </w:r>
      <w:r w:rsidRPr="0044344D">
        <w:rPr>
          <w:rFonts w:ascii="Century" w:hAnsi="Century"/>
          <w:i/>
          <w:iCs/>
          <w:sz w:val="22"/>
          <w:lang w:val="en-US"/>
        </w:rPr>
        <w:t>IEEE Sensors Journal</w:t>
      </w:r>
      <w:r w:rsidRPr="0044344D">
        <w:rPr>
          <w:rFonts w:ascii="Century" w:hAnsi="Century"/>
          <w:sz w:val="22"/>
          <w:lang w:val="en-US"/>
        </w:rPr>
        <w:t xml:space="preserve">, </w:t>
      </w:r>
      <w:r w:rsidRPr="0044344D">
        <w:rPr>
          <w:rFonts w:ascii="Century" w:hAnsi="Century"/>
          <w:i/>
          <w:iCs/>
          <w:sz w:val="22"/>
          <w:lang w:val="en-US"/>
        </w:rPr>
        <w:t>20</w:t>
      </w:r>
      <w:r w:rsidRPr="0044344D">
        <w:rPr>
          <w:rFonts w:ascii="Century" w:hAnsi="Century"/>
          <w:sz w:val="22"/>
          <w:lang w:val="en-US"/>
        </w:rPr>
        <w:t>(2), 767–777. https://doi.org/10.1109/JSEN.2019.2945943</w:t>
      </w:r>
    </w:p>
    <w:p w14:paraId="44F1C71D"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Setiawan, A., Lilbilad, W. M., Nurmanwala, E., Safitri, S. D., Syahra, N. A., &amp; Hidayah, Q. (2022). Tenaga Surya sebagai Solusi Penerangan Jalan Umum Di Desa Girikerto Kecamatan Turi Kabupaten Sleman. </w:t>
      </w:r>
      <w:r w:rsidRPr="0044344D">
        <w:rPr>
          <w:rFonts w:ascii="Century" w:hAnsi="Century"/>
          <w:i/>
          <w:iCs/>
          <w:sz w:val="22"/>
          <w:lang w:val="en-US"/>
        </w:rPr>
        <w:t>Indonesian Journal of Community Empowerment and Service (ICOMES)</w:t>
      </w:r>
      <w:r w:rsidRPr="0044344D">
        <w:rPr>
          <w:rFonts w:ascii="Century" w:hAnsi="Century"/>
          <w:sz w:val="22"/>
          <w:lang w:val="en-US"/>
        </w:rPr>
        <w:t xml:space="preserve">, </w:t>
      </w:r>
      <w:r w:rsidRPr="0044344D">
        <w:rPr>
          <w:rFonts w:ascii="Century" w:hAnsi="Century"/>
          <w:i/>
          <w:iCs/>
          <w:sz w:val="22"/>
          <w:lang w:val="en-US"/>
        </w:rPr>
        <w:t>2</w:t>
      </w:r>
      <w:r w:rsidRPr="0044344D">
        <w:rPr>
          <w:rFonts w:ascii="Century" w:hAnsi="Century"/>
          <w:sz w:val="22"/>
          <w:lang w:val="en-US"/>
        </w:rPr>
        <w:t>(1), 16–19. https://doi.org/10.33369/icomes.v2i1.20786</w:t>
      </w:r>
    </w:p>
    <w:p w14:paraId="0A7080AD"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977615">
        <w:rPr>
          <w:rFonts w:ascii="Century" w:hAnsi="Century"/>
          <w:sz w:val="22"/>
          <w:lang w:val="en-US"/>
        </w:rPr>
        <w:t>SMKN 2 Lamongan.</w:t>
      </w:r>
      <w:r w:rsidRPr="0044344D">
        <w:rPr>
          <w:rFonts w:ascii="Century" w:hAnsi="Century"/>
          <w:sz w:val="22"/>
          <w:lang w:val="en-US"/>
        </w:rPr>
        <w:t xml:space="preserve"> (2025, March 24). https://smkn2-lmg.sch.id/</w:t>
      </w:r>
    </w:p>
    <w:p w14:paraId="190517DC" w14:textId="77777777" w:rsidR="005D5A40" w:rsidRPr="0044344D" w:rsidRDefault="005D5A40" w:rsidP="00230AB3">
      <w:pPr>
        <w:pStyle w:val="Bibliography"/>
        <w:tabs>
          <w:tab w:val="clear" w:pos="500"/>
        </w:tabs>
        <w:spacing w:line="240" w:lineRule="auto"/>
        <w:ind w:left="709" w:hanging="709"/>
        <w:jc w:val="both"/>
        <w:rPr>
          <w:rFonts w:ascii="Century" w:hAnsi="Century"/>
          <w:sz w:val="22"/>
          <w:lang w:val="en-US"/>
        </w:rPr>
      </w:pPr>
      <w:r w:rsidRPr="0044344D">
        <w:rPr>
          <w:rFonts w:ascii="Century" w:hAnsi="Century"/>
          <w:sz w:val="22"/>
          <w:lang w:val="en-US"/>
        </w:rPr>
        <w:t xml:space="preserve">Stecca, M., Ramirez Elizondo, L., Batista Soeiro, T., Bauer, P., &amp; Palensky, P. (2020). A Comprehensive Review of the Integration of Battery Energy Storage Systems into Distribution Networks. </w:t>
      </w:r>
      <w:r w:rsidRPr="0044344D">
        <w:rPr>
          <w:rFonts w:ascii="Century" w:hAnsi="Century"/>
          <w:i/>
          <w:iCs/>
          <w:sz w:val="22"/>
          <w:lang w:val="en-US"/>
        </w:rPr>
        <w:t>IEEE Open Journal of the Industrial Electronics Society</w:t>
      </w:r>
      <w:r w:rsidRPr="0044344D">
        <w:rPr>
          <w:rFonts w:ascii="Century" w:hAnsi="Century"/>
          <w:sz w:val="22"/>
          <w:lang w:val="en-US"/>
        </w:rPr>
        <w:t>, 1–1. https://doi.org/10.1109/OJIES.2020.2981832</w:t>
      </w:r>
    </w:p>
    <w:p w14:paraId="644FC878" w14:textId="628CCEE5" w:rsidR="005F45B1" w:rsidRPr="0044344D" w:rsidRDefault="00420C35" w:rsidP="00230AB3">
      <w:pPr>
        <w:pStyle w:val="References"/>
        <w:ind w:left="709" w:hanging="709"/>
        <w:rPr>
          <w:rFonts w:ascii="Century" w:hAnsi="Century"/>
          <w:color w:val="000000"/>
          <w:spacing w:val="-6"/>
          <w:sz w:val="22"/>
          <w:szCs w:val="24"/>
        </w:rPr>
      </w:pPr>
      <w:r w:rsidRPr="0044344D">
        <w:rPr>
          <w:rFonts w:ascii="Century" w:hAnsi="Century"/>
          <w:color w:val="000000"/>
          <w:spacing w:val="-6"/>
          <w:sz w:val="22"/>
          <w:szCs w:val="22"/>
        </w:rPr>
        <w:fldChar w:fldCharType="end"/>
      </w:r>
    </w:p>
    <w:p w14:paraId="63CA8200" w14:textId="77777777" w:rsidR="005F45B1" w:rsidRPr="0044344D" w:rsidRDefault="005F45B1" w:rsidP="00070FDA">
      <w:pPr>
        <w:pStyle w:val="References"/>
        <w:spacing w:line="276" w:lineRule="auto"/>
        <w:rPr>
          <w:rFonts w:ascii="Century" w:hAnsi="Century"/>
          <w:color w:val="FF0000"/>
          <w:sz w:val="22"/>
          <w:szCs w:val="22"/>
        </w:rPr>
      </w:pPr>
    </w:p>
    <w:sectPr w:rsidR="005F45B1" w:rsidRPr="0044344D"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30EF" w14:textId="77777777" w:rsidR="00193D8D" w:rsidRDefault="00193D8D" w:rsidP="00A1414F">
      <w:r>
        <w:separator/>
      </w:r>
    </w:p>
  </w:endnote>
  <w:endnote w:type="continuationSeparator" w:id="0">
    <w:p w14:paraId="426571AD" w14:textId="77777777" w:rsidR="00193D8D" w:rsidRDefault="00193D8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alatino">
    <w:panose1 w:val="00000000000000000000"/>
    <w:charset w:val="4D"/>
    <w:family w:val="auto"/>
    <w:notTrueType/>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DAE8" w14:textId="77777777" w:rsidR="00F22C0B" w:rsidRDefault="00193D8D"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8D3937">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5E42" w14:textId="77777777" w:rsidR="00193D8D" w:rsidRDefault="00193D8D" w:rsidP="00A1414F">
      <w:r>
        <w:separator/>
      </w:r>
    </w:p>
  </w:footnote>
  <w:footnote w:type="continuationSeparator" w:id="0">
    <w:p w14:paraId="2888C716" w14:textId="77777777" w:rsidR="00193D8D" w:rsidRDefault="00193D8D"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4FF8" w14:textId="60FBEDAC"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8D3937">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44344D">
      <w:rPr>
        <w:rFonts w:ascii="Trebuchet MS" w:hAnsi="Trebuchet MS"/>
        <w:sz w:val="20"/>
        <w:szCs w:val="20"/>
        <w:lang w:val="id-ID"/>
      </w:rPr>
      <w:t>Vol.</w:t>
    </w:r>
    <w:r w:rsidR="0044344D">
      <w:rPr>
        <w:rFonts w:ascii="Trebuchet MS" w:hAnsi="Trebuchet MS"/>
        <w:sz w:val="20"/>
        <w:szCs w:val="20"/>
        <w:lang w:val="en-US"/>
      </w:rPr>
      <w:t xml:space="preserve"> 9</w:t>
    </w:r>
    <w:r w:rsidR="0044344D">
      <w:rPr>
        <w:rFonts w:ascii="Trebuchet MS" w:hAnsi="Trebuchet MS"/>
        <w:sz w:val="20"/>
        <w:szCs w:val="20"/>
        <w:lang w:val="id-ID"/>
      </w:rPr>
      <w:t>, No.</w:t>
    </w:r>
    <w:r w:rsidR="0044344D">
      <w:rPr>
        <w:rFonts w:ascii="Trebuchet MS" w:hAnsi="Trebuchet MS"/>
        <w:sz w:val="20"/>
        <w:szCs w:val="20"/>
        <w:lang w:val="en-US"/>
      </w:rPr>
      <w:t xml:space="preserve"> 4</w:t>
    </w:r>
    <w:r w:rsidR="0044344D">
      <w:rPr>
        <w:rFonts w:ascii="Trebuchet MS" w:hAnsi="Trebuchet MS"/>
        <w:sz w:val="20"/>
        <w:szCs w:val="20"/>
        <w:lang w:val="id-ID"/>
      </w:rPr>
      <w:t xml:space="preserve">, </w:t>
    </w:r>
    <w:proofErr w:type="spellStart"/>
    <w:r w:rsidR="0044344D">
      <w:rPr>
        <w:rFonts w:ascii="Trebuchet MS" w:hAnsi="Trebuchet MS"/>
        <w:sz w:val="20"/>
        <w:szCs w:val="20"/>
        <w:lang w:val="en-US"/>
      </w:rPr>
      <w:t>Agustus</w:t>
    </w:r>
    <w:proofErr w:type="spellEnd"/>
    <w:r w:rsidR="0044344D">
      <w:rPr>
        <w:rFonts w:ascii="Trebuchet MS" w:hAnsi="Trebuchet MS"/>
        <w:sz w:val="20"/>
        <w:szCs w:val="20"/>
        <w:lang w:val="id-ID"/>
      </w:rPr>
      <w:t xml:space="preserve"> </w:t>
    </w:r>
    <w:r w:rsidR="0044344D">
      <w:rPr>
        <w:rFonts w:ascii="Trebuchet MS" w:hAnsi="Trebuchet MS"/>
        <w:sz w:val="20"/>
        <w:szCs w:val="20"/>
        <w:lang w:val="en-US"/>
      </w:rPr>
      <w:t>2025</w:t>
    </w:r>
    <w:r w:rsidR="0044344D">
      <w:rPr>
        <w:rFonts w:ascii="Trebuchet MS" w:hAnsi="Trebuchet MS"/>
        <w:sz w:val="20"/>
        <w:szCs w:val="20"/>
        <w:lang w:val="id-ID"/>
      </w:rPr>
      <w:t>, hal</w:t>
    </w:r>
    <w:r w:rsidR="0044344D">
      <w:rPr>
        <w:rFonts w:ascii="Trebuchet MS" w:hAnsi="Trebuchet MS"/>
        <w:sz w:val="20"/>
        <w:szCs w:val="20"/>
        <w:lang w:val="en-US"/>
      </w:rPr>
      <w:t xml:space="preserve">. </w:t>
    </w:r>
    <w:r w:rsidR="00D56AEA" w:rsidRPr="00D56AEA">
      <w:rPr>
        <w:rFonts w:ascii="Trebuchet MS" w:hAnsi="Trebuchet MS"/>
        <w:sz w:val="20"/>
        <w:szCs w:val="20"/>
        <w:lang w:val="en-US"/>
      </w:rPr>
      <w:t>3725-3736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BDB"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8D3937">
      <w:rPr>
        <w:noProof/>
        <w:sz w:val="22"/>
        <w:szCs w:val="22"/>
      </w:rPr>
      <w:t>5</w:t>
    </w:r>
    <w:r w:rsidRPr="005F45B1">
      <w:rPr>
        <w:noProof/>
        <w:sz w:val="22"/>
        <w:szCs w:val="22"/>
      </w:rPr>
      <w:fldChar w:fldCharType="end"/>
    </w:r>
  </w:p>
  <w:p w14:paraId="353DDCB7" w14:textId="24E36228" w:rsidR="00613D89" w:rsidRPr="001A1D29" w:rsidRDefault="00D56AEA" w:rsidP="00613D89">
    <w:pPr>
      <w:pStyle w:val="Header"/>
      <w:jc w:val="right"/>
      <w:rPr>
        <w:sz w:val="20"/>
        <w:szCs w:val="20"/>
      </w:rPr>
    </w:pPr>
    <w:r w:rsidRPr="00D56AEA">
      <w:rPr>
        <w:rFonts w:ascii="Arial Narrow" w:hAnsi="Arial Narrow"/>
        <w:i/>
        <w:sz w:val="22"/>
        <w:szCs w:val="22"/>
        <w:lang w:val="id-ID"/>
      </w:rPr>
      <w:t xml:space="preserve">Isa Hafidz, </w:t>
    </w:r>
    <w:r w:rsidRPr="00D56AEA">
      <w:rPr>
        <w:rFonts w:ascii="Arial Narrow" w:hAnsi="Arial Narrow"/>
        <w:i/>
        <w:sz w:val="22"/>
        <w:szCs w:val="22"/>
        <w:lang w:val="id-ID"/>
      </w:rPr>
      <w:t>Upaya Peningkatan Kualitas</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86C2" w14:textId="77777777" w:rsidR="00BF4618" w:rsidRDefault="00CB7669">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751B4A68" wp14:editId="33026208">
              <wp:simplePos x="0" y="0"/>
              <wp:positionH relativeFrom="column">
                <wp:posOffset>1783715</wp:posOffset>
              </wp:positionH>
              <wp:positionV relativeFrom="paragraph">
                <wp:posOffset>-34290</wp:posOffset>
              </wp:positionV>
              <wp:extent cx="3687445" cy="994410"/>
              <wp:effectExtent l="0" t="0" r="0" b="0"/>
              <wp:wrapNone/>
              <wp:docPr id="933232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5398F52E" w14:textId="77777777" w:rsidR="0044344D" w:rsidRDefault="0044344D" w:rsidP="0044344D">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E02C53F" w14:textId="77777777" w:rsidR="0044344D" w:rsidRDefault="0044344D" w:rsidP="0044344D">
                          <w:pPr>
                            <w:jc w:val="right"/>
                            <w:rPr>
                              <w:rFonts w:ascii="Century Gothic" w:hAnsi="Century Gothic"/>
                              <w:b/>
                              <w:sz w:val="14"/>
                              <w:szCs w:val="16"/>
                            </w:rPr>
                          </w:pPr>
                          <w:hyperlink r:id="rId1" w:history="1">
                            <w:r>
                              <w:rPr>
                                <w:rStyle w:val="Hyperlink"/>
                                <w:sz w:val="22"/>
                              </w:rPr>
                              <w:t>http://journal.ummat.ac.id/index.php/jmm</w:t>
                            </w:r>
                          </w:hyperlink>
                        </w:p>
                        <w:p w14:paraId="3B55CC11" w14:textId="08DAAEFB" w:rsidR="0044344D" w:rsidRDefault="0044344D" w:rsidP="0044344D">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D56AEA" w:rsidRPr="00D56AEA">
                            <w:rPr>
                              <w:rFonts w:ascii="Century Gothic" w:hAnsi="Century Gothic"/>
                              <w:b/>
                              <w:sz w:val="20"/>
                              <w:szCs w:val="20"/>
                            </w:rPr>
                            <w:t>3725-3736</w:t>
                          </w:r>
                        </w:p>
                        <w:p w14:paraId="65827B45" w14:textId="77777777" w:rsidR="0044344D" w:rsidRDefault="0044344D" w:rsidP="0044344D">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59BFF0C3" w14:textId="1B45C020" w:rsidR="0044344D" w:rsidRDefault="0044344D" w:rsidP="0044344D">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A1FA60E" wp14:editId="3B324DD0">
                                <wp:extent cx="414655" cy="146050"/>
                                <wp:effectExtent l="0" t="0" r="444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55" cy="146050"/>
                                        </a:xfrm>
                                        <a:prstGeom prst="rect">
                                          <a:avLst/>
                                        </a:prstGeom>
                                        <a:noFill/>
                                        <a:ln>
                                          <a:noFill/>
                                        </a:ln>
                                      </pic:spPr>
                                    </pic:pic>
                                  </a:graphicData>
                                </a:graphic>
                              </wp:inline>
                            </w:drawing>
                          </w:r>
                          <w:r>
                            <w:rPr>
                              <w:rFonts w:ascii="Century Gothic" w:hAnsi="Century Gothic"/>
                              <w:sz w:val="19"/>
                              <w:szCs w:val="19"/>
                            </w:rPr>
                            <w:t>:</w:t>
                          </w:r>
                          <w:hyperlink r:id="rId3" w:history="1">
                            <w:r w:rsidRPr="00783703">
                              <w:rPr>
                                <w:rStyle w:val="Hyperlink"/>
                                <w:rFonts w:ascii="Arial" w:hAnsi="Arial" w:cs="Arial"/>
                                <w:sz w:val="19"/>
                                <w:szCs w:val="19"/>
                              </w:rPr>
                              <w:t>https://doi.org/10.31764/jmm.v9i4.32</w:t>
                            </w:r>
                            <w:r w:rsidRPr="00783703">
                              <w:rPr>
                                <w:rStyle w:val="Hyperlink"/>
                                <w:rFonts w:ascii="Arial" w:hAnsi="Arial" w:cs="Arial"/>
                                <w:sz w:val="19"/>
                                <w:szCs w:val="19"/>
                              </w:rPr>
                              <w:t>319</w:t>
                            </w:r>
                          </w:hyperlink>
                        </w:p>
                        <w:p w14:paraId="33845BDB" w14:textId="77777777" w:rsidR="0044344D" w:rsidRDefault="0044344D" w:rsidP="0044344D">
                          <w:pPr>
                            <w:jc w:val="right"/>
                            <w:rPr>
                              <w:rFonts w:ascii="Arial" w:hAnsi="Arial" w:cs="Arial"/>
                              <w:sz w:val="19"/>
                              <w:szCs w:val="19"/>
                            </w:rPr>
                          </w:pPr>
                        </w:p>
                        <w:p w14:paraId="77C4B36D" w14:textId="77777777" w:rsidR="0044344D" w:rsidRDefault="0044344D" w:rsidP="0044344D">
                          <w:pPr>
                            <w:jc w:val="right"/>
                            <w:rPr>
                              <w:rFonts w:ascii="Arial" w:hAnsi="Arial" w:cs="Arial"/>
                              <w:sz w:val="19"/>
                              <w:szCs w:val="19"/>
                            </w:rPr>
                          </w:pPr>
                        </w:p>
                        <w:p w14:paraId="502458C1" w14:textId="77777777" w:rsidR="0044344D" w:rsidRDefault="0044344D" w:rsidP="0044344D">
                          <w:pPr>
                            <w:jc w:val="right"/>
                            <w:rPr>
                              <w:rFonts w:ascii="Arial" w:hAnsi="Arial" w:cs="Arial"/>
                              <w:sz w:val="19"/>
                              <w:szCs w:val="19"/>
                            </w:rPr>
                          </w:pPr>
                        </w:p>
                        <w:p w14:paraId="1D6DBD35" w14:textId="77777777" w:rsidR="0044344D" w:rsidRDefault="0044344D" w:rsidP="0044344D">
                          <w:pPr>
                            <w:jc w:val="right"/>
                            <w:rPr>
                              <w:rFonts w:ascii="Arial" w:hAnsi="Arial" w:cs="Arial"/>
                              <w:sz w:val="19"/>
                              <w:szCs w:val="19"/>
                            </w:rPr>
                          </w:pPr>
                        </w:p>
                        <w:p w14:paraId="16004C9C" w14:textId="77777777" w:rsidR="0044344D" w:rsidRDefault="0044344D" w:rsidP="0044344D">
                          <w:pPr>
                            <w:jc w:val="right"/>
                            <w:rPr>
                              <w:rFonts w:ascii="Arial" w:hAnsi="Arial" w:cs="Arial"/>
                              <w:sz w:val="19"/>
                              <w:szCs w:val="19"/>
                            </w:rPr>
                          </w:pPr>
                        </w:p>
                        <w:p w14:paraId="2487B28C" w14:textId="77777777" w:rsidR="0044344D" w:rsidRDefault="0044344D" w:rsidP="0044344D">
                          <w:pPr>
                            <w:jc w:val="right"/>
                            <w:rPr>
                              <w:rFonts w:ascii="Arial" w:hAnsi="Arial" w:cs="Arial"/>
                              <w:sz w:val="19"/>
                              <w:szCs w:val="19"/>
                            </w:rPr>
                          </w:pPr>
                        </w:p>
                        <w:p w14:paraId="04D96F58" w14:textId="77777777" w:rsidR="0044344D" w:rsidRDefault="0044344D" w:rsidP="0044344D">
                          <w:pPr>
                            <w:jc w:val="right"/>
                            <w:rPr>
                              <w:rFonts w:ascii="Arial" w:hAnsi="Arial" w:cs="Arial"/>
                              <w:sz w:val="19"/>
                              <w:szCs w:val="19"/>
                            </w:rPr>
                          </w:pPr>
                        </w:p>
                        <w:p w14:paraId="24912537" w14:textId="77777777" w:rsidR="0044344D" w:rsidRDefault="0044344D" w:rsidP="0044344D">
                          <w:pPr>
                            <w:jc w:val="right"/>
                            <w:rPr>
                              <w:rFonts w:ascii="Arial" w:hAnsi="Arial" w:cs="Arial"/>
                              <w:sz w:val="19"/>
                              <w:szCs w:val="19"/>
                            </w:rPr>
                          </w:pPr>
                        </w:p>
                        <w:p w14:paraId="6F4D62D4" w14:textId="77777777" w:rsidR="0044344D" w:rsidRDefault="0044344D" w:rsidP="0044344D">
                          <w:pPr>
                            <w:jc w:val="right"/>
                            <w:rPr>
                              <w:rFonts w:ascii="Arial" w:hAnsi="Arial" w:cs="Arial"/>
                              <w:sz w:val="19"/>
                              <w:szCs w:val="19"/>
                            </w:rPr>
                          </w:pPr>
                        </w:p>
                        <w:p w14:paraId="06D55388" w14:textId="77777777" w:rsidR="0044344D" w:rsidRDefault="0044344D" w:rsidP="0044344D">
                          <w:pPr>
                            <w:jc w:val="right"/>
                            <w:rPr>
                              <w:rFonts w:ascii="Arial" w:hAnsi="Arial" w:cs="Arial"/>
                              <w:sz w:val="19"/>
                              <w:szCs w:val="19"/>
                            </w:rPr>
                          </w:pPr>
                        </w:p>
                        <w:p w14:paraId="40F24D44" w14:textId="77777777" w:rsidR="0044344D" w:rsidRDefault="0044344D" w:rsidP="0044344D">
                          <w:pPr>
                            <w:jc w:val="right"/>
                            <w:rPr>
                              <w:rFonts w:ascii="Arial" w:hAnsi="Arial" w:cs="Arial"/>
                              <w:sz w:val="19"/>
                              <w:szCs w:val="19"/>
                            </w:rPr>
                          </w:pPr>
                        </w:p>
                        <w:p w14:paraId="2A8B00C5" w14:textId="77777777" w:rsidR="0044344D" w:rsidRDefault="0044344D" w:rsidP="0044344D">
                          <w:pPr>
                            <w:jc w:val="right"/>
                            <w:rPr>
                              <w:rFonts w:ascii="Arial" w:hAnsi="Arial" w:cs="Arial"/>
                              <w:sz w:val="19"/>
                              <w:szCs w:val="19"/>
                            </w:rPr>
                          </w:pPr>
                        </w:p>
                        <w:p w14:paraId="31A961F4" w14:textId="77777777" w:rsidR="0044344D" w:rsidRDefault="0044344D" w:rsidP="0044344D">
                          <w:pPr>
                            <w:jc w:val="right"/>
                            <w:rPr>
                              <w:rFonts w:ascii="Arial" w:hAnsi="Arial" w:cs="Arial"/>
                              <w:sz w:val="19"/>
                              <w:szCs w:val="19"/>
                            </w:rPr>
                          </w:pPr>
                        </w:p>
                        <w:p w14:paraId="76BEAE83"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B4A68" id="_x0000_t202" coordsize="21600,21600" o:spt="202" path="m,l,21600r21600,l21600,xe">
              <v:stroke joinstyle="miter"/>
              <v:path gradientshapeok="t" o:connecttype="rect"/>
            </v:shapetype>
            <v:shape id="Text Box 1"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" strokecolor="white [3212]" strokeweight="0">
              <v:fill opacity="0"/>
              <v:path arrowok="t"/>
              <v:textbox>
                <w:txbxContent>
                  <w:p w14:paraId="5398F52E" w14:textId="77777777" w:rsidR="0044344D" w:rsidRDefault="0044344D" w:rsidP="0044344D">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E02C53F" w14:textId="77777777" w:rsidR="0044344D" w:rsidRDefault="0044344D" w:rsidP="0044344D">
                    <w:pPr>
                      <w:jc w:val="right"/>
                      <w:rPr>
                        <w:rFonts w:ascii="Century Gothic" w:hAnsi="Century Gothic"/>
                        <w:b/>
                        <w:sz w:val="14"/>
                        <w:szCs w:val="16"/>
                      </w:rPr>
                    </w:pPr>
                    <w:hyperlink r:id="rId4" w:history="1">
                      <w:r>
                        <w:rPr>
                          <w:rStyle w:val="Hyperlink"/>
                          <w:sz w:val="22"/>
                        </w:rPr>
                        <w:t>http://journal.ummat.ac.id/index.php/jmm</w:t>
                      </w:r>
                    </w:hyperlink>
                  </w:p>
                  <w:p w14:paraId="3B55CC11" w14:textId="08DAAEFB" w:rsidR="0044344D" w:rsidRDefault="0044344D" w:rsidP="0044344D">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D56AEA" w:rsidRPr="00D56AEA">
                      <w:rPr>
                        <w:rFonts w:ascii="Century Gothic" w:hAnsi="Century Gothic"/>
                        <w:b/>
                        <w:sz w:val="20"/>
                        <w:szCs w:val="20"/>
                      </w:rPr>
                      <w:t>3725-3736</w:t>
                    </w:r>
                  </w:p>
                  <w:p w14:paraId="65827B45" w14:textId="77777777" w:rsidR="0044344D" w:rsidRDefault="0044344D" w:rsidP="0044344D">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59BFF0C3" w14:textId="1B45C020" w:rsidR="0044344D" w:rsidRDefault="0044344D" w:rsidP="0044344D">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A1FA60E" wp14:editId="3B324DD0">
                          <wp:extent cx="414655" cy="146050"/>
                          <wp:effectExtent l="0" t="0" r="444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55" cy="146050"/>
                                  </a:xfrm>
                                  <a:prstGeom prst="rect">
                                    <a:avLst/>
                                  </a:prstGeom>
                                  <a:noFill/>
                                  <a:ln>
                                    <a:noFill/>
                                  </a:ln>
                                </pic:spPr>
                              </pic:pic>
                            </a:graphicData>
                          </a:graphic>
                        </wp:inline>
                      </w:drawing>
                    </w:r>
                    <w:r>
                      <w:rPr>
                        <w:rFonts w:ascii="Century Gothic" w:hAnsi="Century Gothic"/>
                        <w:sz w:val="19"/>
                        <w:szCs w:val="19"/>
                      </w:rPr>
                      <w:t>:</w:t>
                    </w:r>
                    <w:hyperlink r:id="rId5" w:history="1">
                      <w:r w:rsidRPr="00783703">
                        <w:rPr>
                          <w:rStyle w:val="Hyperlink"/>
                          <w:rFonts w:ascii="Arial" w:hAnsi="Arial" w:cs="Arial"/>
                          <w:sz w:val="19"/>
                          <w:szCs w:val="19"/>
                        </w:rPr>
                        <w:t>https://doi.org/10.31764/jmm.v9i4.32</w:t>
                      </w:r>
                      <w:r w:rsidRPr="00783703">
                        <w:rPr>
                          <w:rStyle w:val="Hyperlink"/>
                          <w:rFonts w:ascii="Arial" w:hAnsi="Arial" w:cs="Arial"/>
                          <w:sz w:val="19"/>
                          <w:szCs w:val="19"/>
                        </w:rPr>
                        <w:t>319</w:t>
                      </w:r>
                    </w:hyperlink>
                  </w:p>
                  <w:p w14:paraId="33845BDB" w14:textId="77777777" w:rsidR="0044344D" w:rsidRDefault="0044344D" w:rsidP="0044344D">
                    <w:pPr>
                      <w:jc w:val="right"/>
                      <w:rPr>
                        <w:rFonts w:ascii="Arial" w:hAnsi="Arial" w:cs="Arial"/>
                        <w:sz w:val="19"/>
                        <w:szCs w:val="19"/>
                      </w:rPr>
                    </w:pPr>
                  </w:p>
                  <w:p w14:paraId="77C4B36D" w14:textId="77777777" w:rsidR="0044344D" w:rsidRDefault="0044344D" w:rsidP="0044344D">
                    <w:pPr>
                      <w:jc w:val="right"/>
                      <w:rPr>
                        <w:rFonts w:ascii="Arial" w:hAnsi="Arial" w:cs="Arial"/>
                        <w:sz w:val="19"/>
                        <w:szCs w:val="19"/>
                      </w:rPr>
                    </w:pPr>
                  </w:p>
                  <w:p w14:paraId="502458C1" w14:textId="77777777" w:rsidR="0044344D" w:rsidRDefault="0044344D" w:rsidP="0044344D">
                    <w:pPr>
                      <w:jc w:val="right"/>
                      <w:rPr>
                        <w:rFonts w:ascii="Arial" w:hAnsi="Arial" w:cs="Arial"/>
                        <w:sz w:val="19"/>
                        <w:szCs w:val="19"/>
                      </w:rPr>
                    </w:pPr>
                  </w:p>
                  <w:p w14:paraId="1D6DBD35" w14:textId="77777777" w:rsidR="0044344D" w:rsidRDefault="0044344D" w:rsidP="0044344D">
                    <w:pPr>
                      <w:jc w:val="right"/>
                      <w:rPr>
                        <w:rFonts w:ascii="Arial" w:hAnsi="Arial" w:cs="Arial"/>
                        <w:sz w:val="19"/>
                        <w:szCs w:val="19"/>
                      </w:rPr>
                    </w:pPr>
                  </w:p>
                  <w:p w14:paraId="16004C9C" w14:textId="77777777" w:rsidR="0044344D" w:rsidRDefault="0044344D" w:rsidP="0044344D">
                    <w:pPr>
                      <w:jc w:val="right"/>
                      <w:rPr>
                        <w:rFonts w:ascii="Arial" w:hAnsi="Arial" w:cs="Arial"/>
                        <w:sz w:val="19"/>
                        <w:szCs w:val="19"/>
                      </w:rPr>
                    </w:pPr>
                  </w:p>
                  <w:p w14:paraId="2487B28C" w14:textId="77777777" w:rsidR="0044344D" w:rsidRDefault="0044344D" w:rsidP="0044344D">
                    <w:pPr>
                      <w:jc w:val="right"/>
                      <w:rPr>
                        <w:rFonts w:ascii="Arial" w:hAnsi="Arial" w:cs="Arial"/>
                        <w:sz w:val="19"/>
                        <w:szCs w:val="19"/>
                      </w:rPr>
                    </w:pPr>
                  </w:p>
                  <w:p w14:paraId="04D96F58" w14:textId="77777777" w:rsidR="0044344D" w:rsidRDefault="0044344D" w:rsidP="0044344D">
                    <w:pPr>
                      <w:jc w:val="right"/>
                      <w:rPr>
                        <w:rFonts w:ascii="Arial" w:hAnsi="Arial" w:cs="Arial"/>
                        <w:sz w:val="19"/>
                        <w:szCs w:val="19"/>
                      </w:rPr>
                    </w:pPr>
                  </w:p>
                  <w:p w14:paraId="24912537" w14:textId="77777777" w:rsidR="0044344D" w:rsidRDefault="0044344D" w:rsidP="0044344D">
                    <w:pPr>
                      <w:jc w:val="right"/>
                      <w:rPr>
                        <w:rFonts w:ascii="Arial" w:hAnsi="Arial" w:cs="Arial"/>
                        <w:sz w:val="19"/>
                        <w:szCs w:val="19"/>
                      </w:rPr>
                    </w:pPr>
                  </w:p>
                  <w:p w14:paraId="6F4D62D4" w14:textId="77777777" w:rsidR="0044344D" w:rsidRDefault="0044344D" w:rsidP="0044344D">
                    <w:pPr>
                      <w:jc w:val="right"/>
                      <w:rPr>
                        <w:rFonts w:ascii="Arial" w:hAnsi="Arial" w:cs="Arial"/>
                        <w:sz w:val="19"/>
                        <w:szCs w:val="19"/>
                      </w:rPr>
                    </w:pPr>
                  </w:p>
                  <w:p w14:paraId="06D55388" w14:textId="77777777" w:rsidR="0044344D" w:rsidRDefault="0044344D" w:rsidP="0044344D">
                    <w:pPr>
                      <w:jc w:val="right"/>
                      <w:rPr>
                        <w:rFonts w:ascii="Arial" w:hAnsi="Arial" w:cs="Arial"/>
                        <w:sz w:val="19"/>
                        <w:szCs w:val="19"/>
                      </w:rPr>
                    </w:pPr>
                  </w:p>
                  <w:p w14:paraId="40F24D44" w14:textId="77777777" w:rsidR="0044344D" w:rsidRDefault="0044344D" w:rsidP="0044344D">
                    <w:pPr>
                      <w:jc w:val="right"/>
                      <w:rPr>
                        <w:rFonts w:ascii="Arial" w:hAnsi="Arial" w:cs="Arial"/>
                        <w:sz w:val="19"/>
                        <w:szCs w:val="19"/>
                      </w:rPr>
                    </w:pPr>
                  </w:p>
                  <w:p w14:paraId="2A8B00C5" w14:textId="77777777" w:rsidR="0044344D" w:rsidRDefault="0044344D" w:rsidP="0044344D">
                    <w:pPr>
                      <w:jc w:val="right"/>
                      <w:rPr>
                        <w:rFonts w:ascii="Arial" w:hAnsi="Arial" w:cs="Arial"/>
                        <w:sz w:val="19"/>
                        <w:szCs w:val="19"/>
                      </w:rPr>
                    </w:pPr>
                  </w:p>
                  <w:p w14:paraId="31A961F4" w14:textId="77777777" w:rsidR="0044344D" w:rsidRDefault="0044344D" w:rsidP="0044344D">
                    <w:pPr>
                      <w:jc w:val="right"/>
                      <w:rPr>
                        <w:rFonts w:ascii="Arial" w:hAnsi="Arial" w:cs="Arial"/>
                        <w:sz w:val="19"/>
                        <w:szCs w:val="19"/>
                      </w:rPr>
                    </w:pPr>
                  </w:p>
                  <w:p w14:paraId="76BEAE83" w14:textId="77777777" w:rsidR="009151A5" w:rsidRPr="004F3606" w:rsidRDefault="009151A5" w:rsidP="004211FE">
                    <w:pPr>
                      <w:jc w:val="right"/>
                      <w:rPr>
                        <w:rFonts w:ascii="Arial" w:hAnsi="Arial" w:cs="Arial"/>
                        <w:sz w:val="19"/>
                        <w:szCs w:val="19"/>
                      </w:rPr>
                    </w:pPr>
                  </w:p>
                </w:txbxContent>
              </v:textbox>
            </v:shape>
          </w:pict>
        </mc:Fallback>
      </mc:AlternateContent>
    </w:r>
  </w:p>
  <w:p w14:paraId="58E17659" w14:textId="77777777" w:rsidR="004F3606" w:rsidRDefault="004F3606">
    <w:pPr>
      <w:pStyle w:val="Header"/>
      <w:rPr>
        <w:noProof/>
        <w:lang w:val="en-US" w:eastAsia="en-US"/>
      </w:rPr>
    </w:pPr>
  </w:p>
  <w:p w14:paraId="5C86252C" w14:textId="77777777" w:rsidR="004F3606" w:rsidRDefault="004F3606">
    <w:pPr>
      <w:pStyle w:val="Header"/>
      <w:rPr>
        <w:noProof/>
        <w:lang w:val="en-US" w:eastAsia="en-US"/>
      </w:rPr>
    </w:pPr>
  </w:p>
  <w:p w14:paraId="214CF7F5" w14:textId="77777777" w:rsidR="004F3606" w:rsidRDefault="004F3606">
    <w:pPr>
      <w:pStyle w:val="Header"/>
      <w:rPr>
        <w:noProof/>
        <w:lang w:val="en-US" w:eastAsia="en-US"/>
      </w:rPr>
    </w:pPr>
  </w:p>
  <w:p w14:paraId="20D125DB"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04B1BE7"/>
    <w:multiLevelType w:val="hybridMultilevel"/>
    <w:tmpl w:val="83643AFA"/>
    <w:lvl w:ilvl="0" w:tplc="F0C0823A">
      <w:start w:val="1"/>
      <w:numFmt w:val="decimal"/>
      <w:lvlText w:val="Gambar %1."/>
      <w:lvlJc w:val="left"/>
      <w:pPr>
        <w:ind w:left="1008"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5"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2"/>
  </w:num>
  <w:num w:numId="9">
    <w:abstractNumId w:val="14"/>
  </w:num>
  <w:num w:numId="10">
    <w:abstractNumId w:val="3"/>
  </w:num>
  <w:num w:numId="11">
    <w:abstractNumId w:val="6"/>
  </w:num>
  <w:num w:numId="12">
    <w:abstractNumId w:val="12"/>
    <w:lvlOverride w:ilvl="0">
      <w:startOverride w:val="1"/>
    </w:lvlOverride>
  </w:num>
  <w:num w:numId="13">
    <w:abstractNumId w:val="0"/>
  </w:num>
  <w:num w:numId="14">
    <w:abstractNumId w:val="13"/>
  </w:num>
  <w:num w:numId="15">
    <w:abstractNumId w:val="15"/>
  </w:num>
  <w:num w:numId="16">
    <w:abstractNumId w:val="10"/>
  </w:num>
  <w:num w:numId="17">
    <w:abstractNumId w:val="4"/>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5"/>
  </w:num>
  <w:num w:numId="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sv-S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50A"/>
    <w:rsid w:val="000069C7"/>
    <w:rsid w:val="000079B2"/>
    <w:rsid w:val="000139D0"/>
    <w:rsid w:val="00017719"/>
    <w:rsid w:val="00020A6F"/>
    <w:rsid w:val="000215DC"/>
    <w:rsid w:val="00021AB7"/>
    <w:rsid w:val="000227C5"/>
    <w:rsid w:val="00022C01"/>
    <w:rsid w:val="00027F1D"/>
    <w:rsid w:val="0003296C"/>
    <w:rsid w:val="00034AE9"/>
    <w:rsid w:val="00035364"/>
    <w:rsid w:val="00036359"/>
    <w:rsid w:val="00053481"/>
    <w:rsid w:val="00054421"/>
    <w:rsid w:val="00056745"/>
    <w:rsid w:val="00056CE7"/>
    <w:rsid w:val="00062E46"/>
    <w:rsid w:val="00064FD8"/>
    <w:rsid w:val="00066CB7"/>
    <w:rsid w:val="0006703C"/>
    <w:rsid w:val="00070FDA"/>
    <w:rsid w:val="00074AC8"/>
    <w:rsid w:val="00081408"/>
    <w:rsid w:val="00081EBE"/>
    <w:rsid w:val="00082A45"/>
    <w:rsid w:val="0008577D"/>
    <w:rsid w:val="00086EDC"/>
    <w:rsid w:val="00093581"/>
    <w:rsid w:val="000A6695"/>
    <w:rsid w:val="000B3567"/>
    <w:rsid w:val="000B36A3"/>
    <w:rsid w:val="000B4A2C"/>
    <w:rsid w:val="000B4EB7"/>
    <w:rsid w:val="000C013C"/>
    <w:rsid w:val="000C3CE4"/>
    <w:rsid w:val="000C6A6F"/>
    <w:rsid w:val="000D3578"/>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93A9F"/>
    <w:rsid w:val="00193D8D"/>
    <w:rsid w:val="0019507C"/>
    <w:rsid w:val="001A1D29"/>
    <w:rsid w:val="001A50EA"/>
    <w:rsid w:val="001A6E68"/>
    <w:rsid w:val="001A720C"/>
    <w:rsid w:val="001B52EF"/>
    <w:rsid w:val="001B735E"/>
    <w:rsid w:val="001C0608"/>
    <w:rsid w:val="001C19EB"/>
    <w:rsid w:val="001C1A51"/>
    <w:rsid w:val="001C2EAE"/>
    <w:rsid w:val="001D04EB"/>
    <w:rsid w:val="001D34BD"/>
    <w:rsid w:val="001E0DEE"/>
    <w:rsid w:val="001E147C"/>
    <w:rsid w:val="001F16CD"/>
    <w:rsid w:val="001F47D2"/>
    <w:rsid w:val="00201427"/>
    <w:rsid w:val="00202141"/>
    <w:rsid w:val="002136EF"/>
    <w:rsid w:val="002202B7"/>
    <w:rsid w:val="0022285A"/>
    <w:rsid w:val="00224C61"/>
    <w:rsid w:val="00226AB3"/>
    <w:rsid w:val="00230AB3"/>
    <w:rsid w:val="00230E61"/>
    <w:rsid w:val="0025798B"/>
    <w:rsid w:val="00257FCF"/>
    <w:rsid w:val="0026094F"/>
    <w:rsid w:val="00271242"/>
    <w:rsid w:val="0027227B"/>
    <w:rsid w:val="0027288E"/>
    <w:rsid w:val="00273AC7"/>
    <w:rsid w:val="00273D2C"/>
    <w:rsid w:val="00274366"/>
    <w:rsid w:val="00275BFA"/>
    <w:rsid w:val="00285ECD"/>
    <w:rsid w:val="0028667D"/>
    <w:rsid w:val="00290E1B"/>
    <w:rsid w:val="00291B17"/>
    <w:rsid w:val="00292EFC"/>
    <w:rsid w:val="00295405"/>
    <w:rsid w:val="00297086"/>
    <w:rsid w:val="002A1BC7"/>
    <w:rsid w:val="002A2FD6"/>
    <w:rsid w:val="002A6742"/>
    <w:rsid w:val="002B09BC"/>
    <w:rsid w:val="002C1A7F"/>
    <w:rsid w:val="002C270E"/>
    <w:rsid w:val="002C3754"/>
    <w:rsid w:val="002C4239"/>
    <w:rsid w:val="002C559D"/>
    <w:rsid w:val="002C6430"/>
    <w:rsid w:val="002C67F8"/>
    <w:rsid w:val="002D2D42"/>
    <w:rsid w:val="002D3DAA"/>
    <w:rsid w:val="002D68C9"/>
    <w:rsid w:val="002F15EA"/>
    <w:rsid w:val="002F72D0"/>
    <w:rsid w:val="003003AB"/>
    <w:rsid w:val="00303687"/>
    <w:rsid w:val="00303AFA"/>
    <w:rsid w:val="00311C49"/>
    <w:rsid w:val="0031279E"/>
    <w:rsid w:val="00312EC2"/>
    <w:rsid w:val="00317BEF"/>
    <w:rsid w:val="0032028B"/>
    <w:rsid w:val="0032119E"/>
    <w:rsid w:val="00321304"/>
    <w:rsid w:val="003303CD"/>
    <w:rsid w:val="00331F84"/>
    <w:rsid w:val="00332EE1"/>
    <w:rsid w:val="003343DF"/>
    <w:rsid w:val="0033572C"/>
    <w:rsid w:val="003366F9"/>
    <w:rsid w:val="00353F69"/>
    <w:rsid w:val="00355B72"/>
    <w:rsid w:val="00360589"/>
    <w:rsid w:val="00360C6A"/>
    <w:rsid w:val="00360D09"/>
    <w:rsid w:val="00366B29"/>
    <w:rsid w:val="003717D0"/>
    <w:rsid w:val="00377715"/>
    <w:rsid w:val="0038106C"/>
    <w:rsid w:val="00382E62"/>
    <w:rsid w:val="003837D6"/>
    <w:rsid w:val="00384BCA"/>
    <w:rsid w:val="003854ED"/>
    <w:rsid w:val="003868BE"/>
    <w:rsid w:val="00394DC4"/>
    <w:rsid w:val="003950A4"/>
    <w:rsid w:val="003B0D77"/>
    <w:rsid w:val="003B57FF"/>
    <w:rsid w:val="003C3E37"/>
    <w:rsid w:val="003C6DAE"/>
    <w:rsid w:val="003C7209"/>
    <w:rsid w:val="003D01AD"/>
    <w:rsid w:val="003D138F"/>
    <w:rsid w:val="003D31CB"/>
    <w:rsid w:val="003D3E2E"/>
    <w:rsid w:val="003D4C64"/>
    <w:rsid w:val="003E3577"/>
    <w:rsid w:val="003F3A61"/>
    <w:rsid w:val="003F67B6"/>
    <w:rsid w:val="003F7E7F"/>
    <w:rsid w:val="00400DC7"/>
    <w:rsid w:val="00403498"/>
    <w:rsid w:val="00410A5D"/>
    <w:rsid w:val="00414909"/>
    <w:rsid w:val="004202C3"/>
    <w:rsid w:val="00420C35"/>
    <w:rsid w:val="004211FE"/>
    <w:rsid w:val="004216B1"/>
    <w:rsid w:val="00425A6A"/>
    <w:rsid w:val="00426FBB"/>
    <w:rsid w:val="004337B8"/>
    <w:rsid w:val="00433FD7"/>
    <w:rsid w:val="00437E30"/>
    <w:rsid w:val="00437E48"/>
    <w:rsid w:val="0044344D"/>
    <w:rsid w:val="0044773F"/>
    <w:rsid w:val="004608F7"/>
    <w:rsid w:val="0046428B"/>
    <w:rsid w:val="00471085"/>
    <w:rsid w:val="0047429A"/>
    <w:rsid w:val="004772BF"/>
    <w:rsid w:val="004778A8"/>
    <w:rsid w:val="0048374C"/>
    <w:rsid w:val="0048707A"/>
    <w:rsid w:val="0048771D"/>
    <w:rsid w:val="00490208"/>
    <w:rsid w:val="00492B1D"/>
    <w:rsid w:val="00494206"/>
    <w:rsid w:val="00496CD6"/>
    <w:rsid w:val="004978A0"/>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4F7F97"/>
    <w:rsid w:val="005004BF"/>
    <w:rsid w:val="00502E89"/>
    <w:rsid w:val="00504748"/>
    <w:rsid w:val="00505FE2"/>
    <w:rsid w:val="0051095A"/>
    <w:rsid w:val="00510E95"/>
    <w:rsid w:val="00511E18"/>
    <w:rsid w:val="00513419"/>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83E"/>
    <w:rsid w:val="00556E5B"/>
    <w:rsid w:val="005628CD"/>
    <w:rsid w:val="00564397"/>
    <w:rsid w:val="0056697B"/>
    <w:rsid w:val="00577285"/>
    <w:rsid w:val="005818EA"/>
    <w:rsid w:val="00585769"/>
    <w:rsid w:val="00591130"/>
    <w:rsid w:val="00591DB6"/>
    <w:rsid w:val="005A12FB"/>
    <w:rsid w:val="005A3F28"/>
    <w:rsid w:val="005A40BE"/>
    <w:rsid w:val="005A7F4E"/>
    <w:rsid w:val="005B13E2"/>
    <w:rsid w:val="005B3934"/>
    <w:rsid w:val="005B47D7"/>
    <w:rsid w:val="005C4BA9"/>
    <w:rsid w:val="005C5526"/>
    <w:rsid w:val="005C62C6"/>
    <w:rsid w:val="005D0273"/>
    <w:rsid w:val="005D21E9"/>
    <w:rsid w:val="005D4CE1"/>
    <w:rsid w:val="005D5A40"/>
    <w:rsid w:val="005D79BF"/>
    <w:rsid w:val="005D7B9E"/>
    <w:rsid w:val="005F0834"/>
    <w:rsid w:val="005F45B1"/>
    <w:rsid w:val="005F6788"/>
    <w:rsid w:val="005F6DC3"/>
    <w:rsid w:val="006017FD"/>
    <w:rsid w:val="00601A8E"/>
    <w:rsid w:val="00602488"/>
    <w:rsid w:val="0060604B"/>
    <w:rsid w:val="006079BE"/>
    <w:rsid w:val="00613D89"/>
    <w:rsid w:val="00617F7E"/>
    <w:rsid w:val="0062033E"/>
    <w:rsid w:val="00624482"/>
    <w:rsid w:val="00633178"/>
    <w:rsid w:val="006343E3"/>
    <w:rsid w:val="00643796"/>
    <w:rsid w:val="0064799C"/>
    <w:rsid w:val="00652E37"/>
    <w:rsid w:val="00654156"/>
    <w:rsid w:val="006559DB"/>
    <w:rsid w:val="00660721"/>
    <w:rsid w:val="00662376"/>
    <w:rsid w:val="006652E9"/>
    <w:rsid w:val="00694D34"/>
    <w:rsid w:val="00695022"/>
    <w:rsid w:val="00695864"/>
    <w:rsid w:val="006977E6"/>
    <w:rsid w:val="006A05F7"/>
    <w:rsid w:val="006A3AE1"/>
    <w:rsid w:val="006A3E96"/>
    <w:rsid w:val="006A4145"/>
    <w:rsid w:val="006B09B8"/>
    <w:rsid w:val="006B43C9"/>
    <w:rsid w:val="006B47CA"/>
    <w:rsid w:val="006B5506"/>
    <w:rsid w:val="006C447D"/>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25AC7"/>
    <w:rsid w:val="00733156"/>
    <w:rsid w:val="00733E74"/>
    <w:rsid w:val="00737973"/>
    <w:rsid w:val="0074085C"/>
    <w:rsid w:val="00745C86"/>
    <w:rsid w:val="00764603"/>
    <w:rsid w:val="0076604D"/>
    <w:rsid w:val="00772C88"/>
    <w:rsid w:val="00773EF6"/>
    <w:rsid w:val="00781DBA"/>
    <w:rsid w:val="0078352F"/>
    <w:rsid w:val="0078621C"/>
    <w:rsid w:val="00790909"/>
    <w:rsid w:val="0079301B"/>
    <w:rsid w:val="007939E6"/>
    <w:rsid w:val="007A77C6"/>
    <w:rsid w:val="007B5A07"/>
    <w:rsid w:val="007B668E"/>
    <w:rsid w:val="007C29DC"/>
    <w:rsid w:val="007C7D51"/>
    <w:rsid w:val="007D2F33"/>
    <w:rsid w:val="007D3E71"/>
    <w:rsid w:val="007E132A"/>
    <w:rsid w:val="007E34AA"/>
    <w:rsid w:val="007E5D6A"/>
    <w:rsid w:val="007E645D"/>
    <w:rsid w:val="007F7260"/>
    <w:rsid w:val="007F75CA"/>
    <w:rsid w:val="00810F0B"/>
    <w:rsid w:val="00815DBA"/>
    <w:rsid w:val="00816EA9"/>
    <w:rsid w:val="00820A91"/>
    <w:rsid w:val="008210B4"/>
    <w:rsid w:val="00821E08"/>
    <w:rsid w:val="008247D1"/>
    <w:rsid w:val="00825A13"/>
    <w:rsid w:val="00834154"/>
    <w:rsid w:val="008346CF"/>
    <w:rsid w:val="00834EFD"/>
    <w:rsid w:val="008368D5"/>
    <w:rsid w:val="00841914"/>
    <w:rsid w:val="00841989"/>
    <w:rsid w:val="00842B65"/>
    <w:rsid w:val="00844B24"/>
    <w:rsid w:val="0084515F"/>
    <w:rsid w:val="00845A15"/>
    <w:rsid w:val="008504F1"/>
    <w:rsid w:val="0085092D"/>
    <w:rsid w:val="00857749"/>
    <w:rsid w:val="00865FB3"/>
    <w:rsid w:val="00867D6B"/>
    <w:rsid w:val="00873013"/>
    <w:rsid w:val="0087383D"/>
    <w:rsid w:val="008746C3"/>
    <w:rsid w:val="008757E0"/>
    <w:rsid w:val="00877D4C"/>
    <w:rsid w:val="008816B1"/>
    <w:rsid w:val="008825A2"/>
    <w:rsid w:val="00890649"/>
    <w:rsid w:val="0089763B"/>
    <w:rsid w:val="008A0B0A"/>
    <w:rsid w:val="008A1519"/>
    <w:rsid w:val="008A2479"/>
    <w:rsid w:val="008B114A"/>
    <w:rsid w:val="008B6295"/>
    <w:rsid w:val="008B6AE3"/>
    <w:rsid w:val="008D1045"/>
    <w:rsid w:val="008D3937"/>
    <w:rsid w:val="008E0499"/>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5801"/>
    <w:rsid w:val="00946DC6"/>
    <w:rsid w:val="009507C0"/>
    <w:rsid w:val="009537A7"/>
    <w:rsid w:val="009550E8"/>
    <w:rsid w:val="00955B59"/>
    <w:rsid w:val="009570BE"/>
    <w:rsid w:val="00957158"/>
    <w:rsid w:val="00957F88"/>
    <w:rsid w:val="009671E5"/>
    <w:rsid w:val="00971BB3"/>
    <w:rsid w:val="00971EBF"/>
    <w:rsid w:val="00977615"/>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C6672"/>
    <w:rsid w:val="009D2660"/>
    <w:rsid w:val="009D34EA"/>
    <w:rsid w:val="009D3C51"/>
    <w:rsid w:val="009F59F5"/>
    <w:rsid w:val="00A0270D"/>
    <w:rsid w:val="00A03A12"/>
    <w:rsid w:val="00A03E75"/>
    <w:rsid w:val="00A04DC8"/>
    <w:rsid w:val="00A074C1"/>
    <w:rsid w:val="00A11080"/>
    <w:rsid w:val="00A1414F"/>
    <w:rsid w:val="00A20D66"/>
    <w:rsid w:val="00A22FE0"/>
    <w:rsid w:val="00A2629F"/>
    <w:rsid w:val="00A32A74"/>
    <w:rsid w:val="00A37654"/>
    <w:rsid w:val="00A4337B"/>
    <w:rsid w:val="00A45FCE"/>
    <w:rsid w:val="00A64A36"/>
    <w:rsid w:val="00A7266B"/>
    <w:rsid w:val="00A7379B"/>
    <w:rsid w:val="00A75671"/>
    <w:rsid w:val="00A773CC"/>
    <w:rsid w:val="00A848D6"/>
    <w:rsid w:val="00A86C59"/>
    <w:rsid w:val="00A87305"/>
    <w:rsid w:val="00A87725"/>
    <w:rsid w:val="00A9261F"/>
    <w:rsid w:val="00A9318B"/>
    <w:rsid w:val="00A94AC1"/>
    <w:rsid w:val="00A95B87"/>
    <w:rsid w:val="00A9735F"/>
    <w:rsid w:val="00AA3C0D"/>
    <w:rsid w:val="00AA5A8D"/>
    <w:rsid w:val="00AA6F12"/>
    <w:rsid w:val="00AB1806"/>
    <w:rsid w:val="00AB18B7"/>
    <w:rsid w:val="00AB1C07"/>
    <w:rsid w:val="00AB2575"/>
    <w:rsid w:val="00AC157F"/>
    <w:rsid w:val="00AD2BAB"/>
    <w:rsid w:val="00AD335D"/>
    <w:rsid w:val="00AE1477"/>
    <w:rsid w:val="00AE406C"/>
    <w:rsid w:val="00AF792B"/>
    <w:rsid w:val="00B00190"/>
    <w:rsid w:val="00B10F2B"/>
    <w:rsid w:val="00B1569C"/>
    <w:rsid w:val="00B16A6B"/>
    <w:rsid w:val="00B31498"/>
    <w:rsid w:val="00B333DE"/>
    <w:rsid w:val="00B3521D"/>
    <w:rsid w:val="00B45E81"/>
    <w:rsid w:val="00B47460"/>
    <w:rsid w:val="00B55D5E"/>
    <w:rsid w:val="00B56B16"/>
    <w:rsid w:val="00B717BA"/>
    <w:rsid w:val="00B735B0"/>
    <w:rsid w:val="00B76B25"/>
    <w:rsid w:val="00B81E91"/>
    <w:rsid w:val="00B91814"/>
    <w:rsid w:val="00B92B81"/>
    <w:rsid w:val="00B94516"/>
    <w:rsid w:val="00B96636"/>
    <w:rsid w:val="00BA183C"/>
    <w:rsid w:val="00BA665D"/>
    <w:rsid w:val="00BA7955"/>
    <w:rsid w:val="00BB13C6"/>
    <w:rsid w:val="00BB2855"/>
    <w:rsid w:val="00BB3407"/>
    <w:rsid w:val="00BB64E7"/>
    <w:rsid w:val="00BC48DA"/>
    <w:rsid w:val="00BC57FF"/>
    <w:rsid w:val="00BC6B25"/>
    <w:rsid w:val="00BC7909"/>
    <w:rsid w:val="00BD19C1"/>
    <w:rsid w:val="00BD25B8"/>
    <w:rsid w:val="00BD34C2"/>
    <w:rsid w:val="00BD5490"/>
    <w:rsid w:val="00BF097D"/>
    <w:rsid w:val="00BF1228"/>
    <w:rsid w:val="00BF4618"/>
    <w:rsid w:val="00BF4CD7"/>
    <w:rsid w:val="00BF5282"/>
    <w:rsid w:val="00C0011E"/>
    <w:rsid w:val="00C012E1"/>
    <w:rsid w:val="00C029BD"/>
    <w:rsid w:val="00C06BB4"/>
    <w:rsid w:val="00C10D20"/>
    <w:rsid w:val="00C12AC4"/>
    <w:rsid w:val="00C12E0C"/>
    <w:rsid w:val="00C14968"/>
    <w:rsid w:val="00C21916"/>
    <w:rsid w:val="00C242FE"/>
    <w:rsid w:val="00C2650B"/>
    <w:rsid w:val="00C32E48"/>
    <w:rsid w:val="00C439E8"/>
    <w:rsid w:val="00C457CA"/>
    <w:rsid w:val="00C500EF"/>
    <w:rsid w:val="00C51EB1"/>
    <w:rsid w:val="00C52304"/>
    <w:rsid w:val="00C57FB7"/>
    <w:rsid w:val="00C62CEB"/>
    <w:rsid w:val="00C6468B"/>
    <w:rsid w:val="00C65F3F"/>
    <w:rsid w:val="00C70749"/>
    <w:rsid w:val="00C72414"/>
    <w:rsid w:val="00C77C77"/>
    <w:rsid w:val="00C8667B"/>
    <w:rsid w:val="00C86750"/>
    <w:rsid w:val="00C91EF5"/>
    <w:rsid w:val="00C9234E"/>
    <w:rsid w:val="00C93BB2"/>
    <w:rsid w:val="00C94DB1"/>
    <w:rsid w:val="00C96585"/>
    <w:rsid w:val="00C9683E"/>
    <w:rsid w:val="00CA2A24"/>
    <w:rsid w:val="00CA4CE3"/>
    <w:rsid w:val="00CB1354"/>
    <w:rsid w:val="00CB60BA"/>
    <w:rsid w:val="00CB65CB"/>
    <w:rsid w:val="00CB7669"/>
    <w:rsid w:val="00CC75C0"/>
    <w:rsid w:val="00CD23EF"/>
    <w:rsid w:val="00CD4F3F"/>
    <w:rsid w:val="00CE34BC"/>
    <w:rsid w:val="00CE4C20"/>
    <w:rsid w:val="00CE4FE8"/>
    <w:rsid w:val="00CE562B"/>
    <w:rsid w:val="00CF75F6"/>
    <w:rsid w:val="00D05BEA"/>
    <w:rsid w:val="00D150AD"/>
    <w:rsid w:val="00D17A3B"/>
    <w:rsid w:val="00D17D7F"/>
    <w:rsid w:val="00D20663"/>
    <w:rsid w:val="00D2480A"/>
    <w:rsid w:val="00D30F2D"/>
    <w:rsid w:val="00D311F8"/>
    <w:rsid w:val="00D36B52"/>
    <w:rsid w:val="00D3708C"/>
    <w:rsid w:val="00D377C8"/>
    <w:rsid w:val="00D37FE2"/>
    <w:rsid w:val="00D41274"/>
    <w:rsid w:val="00D43BF3"/>
    <w:rsid w:val="00D52008"/>
    <w:rsid w:val="00D56AEA"/>
    <w:rsid w:val="00D5746B"/>
    <w:rsid w:val="00D60CD8"/>
    <w:rsid w:val="00D677E9"/>
    <w:rsid w:val="00D767BB"/>
    <w:rsid w:val="00D8752A"/>
    <w:rsid w:val="00D92681"/>
    <w:rsid w:val="00D939B0"/>
    <w:rsid w:val="00D95295"/>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3662"/>
    <w:rsid w:val="00E0641E"/>
    <w:rsid w:val="00E06664"/>
    <w:rsid w:val="00E11080"/>
    <w:rsid w:val="00E143CB"/>
    <w:rsid w:val="00E20C19"/>
    <w:rsid w:val="00E304BC"/>
    <w:rsid w:val="00E32853"/>
    <w:rsid w:val="00E33A00"/>
    <w:rsid w:val="00E33CBD"/>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B49"/>
    <w:rsid w:val="00E84912"/>
    <w:rsid w:val="00E8576B"/>
    <w:rsid w:val="00E86466"/>
    <w:rsid w:val="00E87116"/>
    <w:rsid w:val="00E94339"/>
    <w:rsid w:val="00E97563"/>
    <w:rsid w:val="00EA4935"/>
    <w:rsid w:val="00EA4B81"/>
    <w:rsid w:val="00EB0B63"/>
    <w:rsid w:val="00EB2163"/>
    <w:rsid w:val="00EC1C35"/>
    <w:rsid w:val="00EC265C"/>
    <w:rsid w:val="00EC65B7"/>
    <w:rsid w:val="00ED25B0"/>
    <w:rsid w:val="00ED61CB"/>
    <w:rsid w:val="00EE4353"/>
    <w:rsid w:val="00EE7368"/>
    <w:rsid w:val="00EF2488"/>
    <w:rsid w:val="00EF290B"/>
    <w:rsid w:val="00EF3452"/>
    <w:rsid w:val="00EF61AD"/>
    <w:rsid w:val="00F062D8"/>
    <w:rsid w:val="00F06A72"/>
    <w:rsid w:val="00F06C6A"/>
    <w:rsid w:val="00F11217"/>
    <w:rsid w:val="00F1242E"/>
    <w:rsid w:val="00F136F0"/>
    <w:rsid w:val="00F20BBB"/>
    <w:rsid w:val="00F20DCD"/>
    <w:rsid w:val="00F22C0B"/>
    <w:rsid w:val="00F25AC2"/>
    <w:rsid w:val="00F32839"/>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3C71"/>
    <w:rsid w:val="00F85074"/>
    <w:rsid w:val="00F870D3"/>
    <w:rsid w:val="00F92D3B"/>
    <w:rsid w:val="00F93767"/>
    <w:rsid w:val="00FA3899"/>
    <w:rsid w:val="00FA4909"/>
    <w:rsid w:val="00FA4CF1"/>
    <w:rsid w:val="00FA5A26"/>
    <w:rsid w:val="00FA6751"/>
    <w:rsid w:val="00FA7575"/>
    <w:rsid w:val="00FB1048"/>
    <w:rsid w:val="00FB3938"/>
    <w:rsid w:val="00FB5F66"/>
    <w:rsid w:val="00FB62C4"/>
    <w:rsid w:val="00FB7701"/>
    <w:rsid w:val="00FC2DF1"/>
    <w:rsid w:val="00FC3FC4"/>
    <w:rsid w:val="00FD0B66"/>
    <w:rsid w:val="00FD15E7"/>
    <w:rsid w:val="00FD1AC5"/>
    <w:rsid w:val="00FD549E"/>
    <w:rsid w:val="00FD5CF0"/>
    <w:rsid w:val="00FE3286"/>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48EABC"/>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odyText">
    <w:name w:val="Body Text"/>
    <w:basedOn w:val="Normal"/>
    <w:link w:val="BodyTextChar"/>
    <w:rsid w:val="00CE4FE8"/>
    <w:pPr>
      <w:tabs>
        <w:tab w:val="left" w:pos="288"/>
      </w:tabs>
      <w:spacing w:after="120" w:line="228" w:lineRule="auto"/>
      <w:ind w:firstLine="288"/>
      <w:jc w:val="both"/>
    </w:pPr>
    <w:rPr>
      <w:spacing w:val="-1"/>
      <w:sz w:val="20"/>
      <w:szCs w:val="20"/>
      <w:lang w:val="x-none" w:eastAsia="x-none"/>
    </w:rPr>
  </w:style>
  <w:style w:type="character" w:customStyle="1" w:styleId="BodyTextChar">
    <w:name w:val="Body Text Char"/>
    <w:basedOn w:val="DefaultParagraphFont"/>
    <w:link w:val="BodyText"/>
    <w:rsid w:val="00CE4FE8"/>
    <w:rPr>
      <w:spacing w:val="-1"/>
      <w:lang w:val="x-none" w:eastAsia="x-none"/>
    </w:rPr>
  </w:style>
  <w:style w:type="paragraph" w:styleId="Bibliography">
    <w:name w:val="Bibliography"/>
    <w:basedOn w:val="Normal"/>
    <w:next w:val="Normal"/>
    <w:uiPriority w:val="37"/>
    <w:unhideWhenUsed/>
    <w:rsid w:val="00773EF6"/>
    <w:pPr>
      <w:tabs>
        <w:tab w:val="left" w:pos="500"/>
      </w:tabs>
      <w:spacing w:line="480" w:lineRule="auto"/>
      <w:ind w:left="720" w:hanging="720"/>
    </w:pPr>
  </w:style>
  <w:style w:type="character" w:styleId="CommentReference">
    <w:name w:val="annotation reference"/>
    <w:basedOn w:val="DefaultParagraphFont"/>
    <w:uiPriority w:val="99"/>
    <w:semiHidden/>
    <w:unhideWhenUsed/>
    <w:rsid w:val="00857749"/>
    <w:rPr>
      <w:sz w:val="16"/>
      <w:szCs w:val="16"/>
    </w:rPr>
  </w:style>
  <w:style w:type="paragraph" w:styleId="CommentText">
    <w:name w:val="annotation text"/>
    <w:basedOn w:val="Normal"/>
    <w:link w:val="CommentTextChar"/>
    <w:uiPriority w:val="99"/>
    <w:semiHidden/>
    <w:unhideWhenUsed/>
    <w:rsid w:val="00857749"/>
    <w:rPr>
      <w:sz w:val="20"/>
      <w:szCs w:val="20"/>
    </w:rPr>
  </w:style>
  <w:style w:type="character" w:customStyle="1" w:styleId="CommentTextChar">
    <w:name w:val="Comment Text Char"/>
    <w:basedOn w:val="DefaultParagraphFont"/>
    <w:link w:val="CommentText"/>
    <w:uiPriority w:val="99"/>
    <w:semiHidden/>
    <w:rsid w:val="00857749"/>
    <w:rPr>
      <w:lang w:val="en-AU" w:eastAsia="zh-CN"/>
    </w:rPr>
  </w:style>
  <w:style w:type="paragraph" w:styleId="CommentSubject">
    <w:name w:val="annotation subject"/>
    <w:basedOn w:val="CommentText"/>
    <w:next w:val="CommentText"/>
    <w:link w:val="CommentSubjectChar"/>
    <w:uiPriority w:val="99"/>
    <w:semiHidden/>
    <w:unhideWhenUsed/>
    <w:rsid w:val="00857749"/>
    <w:rPr>
      <w:b/>
      <w:bCs/>
    </w:rPr>
  </w:style>
  <w:style w:type="character" w:customStyle="1" w:styleId="CommentSubjectChar">
    <w:name w:val="Comment Subject Char"/>
    <w:basedOn w:val="CommentTextChar"/>
    <w:link w:val="CommentSubject"/>
    <w:uiPriority w:val="99"/>
    <w:semiHidden/>
    <w:rsid w:val="00857749"/>
    <w:rPr>
      <w:b/>
      <w:bCs/>
      <w:lang w:val="en-AU" w:eastAsia="zh-CN"/>
    </w:rPr>
  </w:style>
  <w:style w:type="character" w:styleId="UnresolvedMention">
    <w:name w:val="Unresolved Mention"/>
    <w:basedOn w:val="DefaultParagraphFont"/>
    <w:uiPriority w:val="99"/>
    <w:semiHidden/>
    <w:unhideWhenUsed/>
    <w:rsid w:val="0044344D"/>
    <w:rPr>
      <w:color w:val="605E5C"/>
      <w:shd w:val="clear" w:color="auto" w:fill="E1DFDD"/>
    </w:rPr>
  </w:style>
  <w:style w:type="character" w:styleId="Emphasis">
    <w:name w:val="Emphasis"/>
    <w:basedOn w:val="DefaultParagraphFont"/>
    <w:uiPriority w:val="20"/>
    <w:qFormat/>
    <w:rsid w:val="00230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57305021">
      <w:bodyDiv w:val="1"/>
      <w:marLeft w:val="0"/>
      <w:marRight w:val="0"/>
      <w:marTop w:val="0"/>
      <w:marBottom w:val="0"/>
      <w:divBdr>
        <w:top w:val="none" w:sz="0" w:space="0" w:color="auto"/>
        <w:left w:val="none" w:sz="0" w:space="0" w:color="auto"/>
        <w:bottom w:val="none" w:sz="0" w:space="0" w:color="auto"/>
        <w:right w:val="none" w:sz="0" w:space="0" w:color="auto"/>
      </w:divBdr>
    </w:div>
    <w:div w:id="1184172288">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isahafidz@telkomuniversity.ac.id"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23917/warta.v26i2.1016" TargetMode="External"/><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319"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319"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FC0736A-9CFD-49D2-B56A-0916CF46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10436</Words>
  <Characters>59489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4</cp:revision>
  <cp:lastPrinted>2017-04-18T03:46:00Z</cp:lastPrinted>
  <dcterms:created xsi:type="dcterms:W3CDTF">2025-07-21T07:40:00Z</dcterms:created>
  <dcterms:modified xsi:type="dcterms:W3CDTF">2025-07-21T07:47:00Z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zotero-version="6.0.37"&gt;&lt;session id="oTbTfzvZ"/&gt;&lt;style id="http://www.zotero.org/styles/apa" locale="en-US" hasBibliography="1" bibliographyStyleHasBeenSet="1"/&gt;&lt;prefs&gt;&lt;pref name="fieldType" value="Field"/&gt;&lt;/prefs&gt;&lt;/data&gt;</vt:lpwstr>
  </property>
</Properties>
</file>