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7746A" w14:textId="49DD0BC2" w:rsidR="003C2461" w:rsidRPr="00C62ADA" w:rsidRDefault="00BC24B3">
      <w:pPr>
        <w:pStyle w:val="Judul"/>
        <w:spacing w:before="120" w:after="0"/>
        <w:jc w:val="both"/>
        <w:rPr>
          <w:rFonts w:ascii="Palatino Linotype" w:hAnsi="Palatino Linotype"/>
          <w:sz w:val="26"/>
          <w:szCs w:val="26"/>
        </w:rPr>
      </w:pPr>
      <w:proofErr w:type="spellStart"/>
      <w:r w:rsidRPr="00C62ADA">
        <w:rPr>
          <w:rFonts w:ascii="Palatino Linotype" w:hAnsi="Palatino Linotype"/>
          <w:sz w:val="26"/>
          <w:szCs w:val="26"/>
        </w:rPr>
        <w:t>Disemenasi</w:t>
      </w:r>
      <w:proofErr w:type="spellEnd"/>
      <w:r w:rsidRPr="00C62ADA">
        <w:rPr>
          <w:rFonts w:ascii="Palatino Linotype" w:hAnsi="Palatino Linotype"/>
          <w:sz w:val="26"/>
          <w:szCs w:val="26"/>
        </w:rPr>
        <w:t xml:space="preserve"> </w:t>
      </w:r>
      <w:proofErr w:type="spellStart"/>
      <w:r w:rsidR="00C62ADA" w:rsidRPr="00C62ADA">
        <w:rPr>
          <w:rFonts w:ascii="Palatino Linotype" w:hAnsi="Palatino Linotype"/>
          <w:sz w:val="26"/>
          <w:szCs w:val="26"/>
        </w:rPr>
        <w:t>agens</w:t>
      </w:r>
      <w:proofErr w:type="spellEnd"/>
      <w:r w:rsidR="00C62ADA" w:rsidRPr="00C62ADA">
        <w:rPr>
          <w:rFonts w:ascii="Palatino Linotype" w:hAnsi="Palatino Linotype"/>
          <w:sz w:val="26"/>
          <w:szCs w:val="26"/>
        </w:rPr>
        <w:t xml:space="preserve"> </w:t>
      </w:r>
      <w:proofErr w:type="spellStart"/>
      <w:r w:rsidR="00C62ADA" w:rsidRPr="00C62ADA">
        <w:rPr>
          <w:rFonts w:ascii="Palatino Linotype" w:hAnsi="Palatino Linotype"/>
          <w:sz w:val="26"/>
          <w:szCs w:val="26"/>
        </w:rPr>
        <w:t>pengendali</w:t>
      </w:r>
      <w:proofErr w:type="spellEnd"/>
      <w:r w:rsidR="00C62ADA" w:rsidRPr="00C62ADA">
        <w:rPr>
          <w:rFonts w:ascii="Palatino Linotype" w:hAnsi="Palatino Linotype"/>
          <w:sz w:val="26"/>
          <w:szCs w:val="26"/>
        </w:rPr>
        <w:t xml:space="preserve"> </w:t>
      </w:r>
      <w:proofErr w:type="spellStart"/>
      <w:r w:rsidR="00C62ADA" w:rsidRPr="00C62ADA">
        <w:rPr>
          <w:rFonts w:ascii="Palatino Linotype" w:hAnsi="Palatino Linotype"/>
          <w:sz w:val="26"/>
          <w:szCs w:val="26"/>
        </w:rPr>
        <w:t>hayati</w:t>
      </w:r>
      <w:proofErr w:type="spellEnd"/>
      <w:r w:rsidR="00C62ADA" w:rsidRPr="00C62ADA">
        <w:rPr>
          <w:rFonts w:ascii="Palatino Linotype" w:hAnsi="Palatino Linotype"/>
          <w:sz w:val="26"/>
          <w:szCs w:val="26"/>
        </w:rPr>
        <w:t xml:space="preserve"> </w:t>
      </w:r>
      <w:proofErr w:type="spellStart"/>
      <w:r w:rsidR="00C62ADA" w:rsidRPr="00C62ADA">
        <w:rPr>
          <w:rFonts w:ascii="Palatino Linotype" w:hAnsi="Palatino Linotype"/>
          <w:sz w:val="26"/>
          <w:szCs w:val="26"/>
        </w:rPr>
        <w:t>melalui</w:t>
      </w:r>
      <w:proofErr w:type="spellEnd"/>
      <w:r w:rsidR="00C62ADA" w:rsidRPr="00C62ADA">
        <w:rPr>
          <w:rFonts w:ascii="Palatino Linotype" w:hAnsi="Palatino Linotype"/>
          <w:sz w:val="26"/>
          <w:szCs w:val="26"/>
        </w:rPr>
        <w:t xml:space="preserve"> </w:t>
      </w:r>
      <w:proofErr w:type="spellStart"/>
      <w:r w:rsidR="00C62ADA" w:rsidRPr="00C62ADA">
        <w:rPr>
          <w:rFonts w:ascii="Palatino Linotype" w:hAnsi="Palatino Linotype"/>
          <w:sz w:val="26"/>
          <w:szCs w:val="26"/>
        </w:rPr>
        <w:t>penguatan</w:t>
      </w:r>
      <w:proofErr w:type="spellEnd"/>
      <w:r w:rsidR="00C62ADA" w:rsidRPr="00C62ADA">
        <w:rPr>
          <w:rFonts w:ascii="Palatino Linotype" w:hAnsi="Palatino Linotype"/>
          <w:sz w:val="26"/>
          <w:szCs w:val="26"/>
        </w:rPr>
        <w:t xml:space="preserve"> </w:t>
      </w:r>
      <w:proofErr w:type="spellStart"/>
      <w:r w:rsidR="00C62ADA" w:rsidRPr="00C62ADA">
        <w:rPr>
          <w:rFonts w:ascii="Palatino Linotype" w:hAnsi="Palatino Linotype"/>
          <w:sz w:val="26"/>
          <w:szCs w:val="26"/>
        </w:rPr>
        <w:t>kelembagaan</w:t>
      </w:r>
      <w:proofErr w:type="spellEnd"/>
      <w:r w:rsidR="00C62ADA" w:rsidRPr="00C62ADA">
        <w:rPr>
          <w:rFonts w:ascii="Palatino Linotype" w:hAnsi="Palatino Linotype"/>
          <w:sz w:val="26"/>
          <w:szCs w:val="26"/>
        </w:rPr>
        <w:t xml:space="preserve"> </w:t>
      </w:r>
      <w:r w:rsidRPr="00C62ADA">
        <w:rPr>
          <w:rFonts w:ascii="Palatino Linotype" w:hAnsi="Palatino Linotype"/>
          <w:sz w:val="26"/>
          <w:szCs w:val="26"/>
        </w:rPr>
        <w:t xml:space="preserve">PPAH di </w:t>
      </w:r>
      <w:proofErr w:type="spellStart"/>
      <w:r w:rsidR="009A121E">
        <w:rPr>
          <w:rFonts w:ascii="Palatino Linotype" w:hAnsi="Palatino Linotype"/>
          <w:sz w:val="26"/>
          <w:szCs w:val="26"/>
        </w:rPr>
        <w:t>d</w:t>
      </w:r>
      <w:r w:rsidRPr="00C62ADA">
        <w:rPr>
          <w:rFonts w:ascii="Palatino Linotype" w:hAnsi="Palatino Linotype"/>
          <w:sz w:val="26"/>
          <w:szCs w:val="26"/>
        </w:rPr>
        <w:t>esa</w:t>
      </w:r>
      <w:proofErr w:type="spellEnd"/>
      <w:r w:rsidRPr="00C62ADA">
        <w:rPr>
          <w:rFonts w:ascii="Palatino Linotype" w:hAnsi="Palatino Linotype"/>
          <w:sz w:val="26"/>
          <w:szCs w:val="26"/>
        </w:rPr>
        <w:t xml:space="preserve"> Purnama </w:t>
      </w:r>
      <w:proofErr w:type="spellStart"/>
      <w:r w:rsidR="009A121E">
        <w:rPr>
          <w:rFonts w:ascii="Palatino Linotype" w:hAnsi="Palatino Linotype"/>
          <w:sz w:val="26"/>
          <w:szCs w:val="26"/>
        </w:rPr>
        <w:t>k</w:t>
      </w:r>
      <w:r w:rsidRPr="00C62ADA">
        <w:rPr>
          <w:rFonts w:ascii="Palatino Linotype" w:hAnsi="Palatino Linotype"/>
          <w:sz w:val="26"/>
          <w:szCs w:val="26"/>
        </w:rPr>
        <w:t>abupaten</w:t>
      </w:r>
      <w:proofErr w:type="spellEnd"/>
      <w:r w:rsidRPr="00C62ADA">
        <w:rPr>
          <w:rFonts w:ascii="Palatino Linotype" w:hAnsi="Palatino Linotype"/>
          <w:sz w:val="26"/>
          <w:szCs w:val="26"/>
        </w:rPr>
        <w:t xml:space="preserve"> </w:t>
      </w:r>
      <w:proofErr w:type="spellStart"/>
      <w:r w:rsidRPr="00C62ADA">
        <w:rPr>
          <w:rFonts w:ascii="Palatino Linotype" w:hAnsi="Palatino Linotype"/>
          <w:sz w:val="26"/>
          <w:szCs w:val="26"/>
        </w:rPr>
        <w:t>Bondowoso</w:t>
      </w:r>
      <w:proofErr w:type="spellEnd"/>
    </w:p>
    <w:p w14:paraId="32B9F135" w14:textId="77777777" w:rsidR="003C2461" w:rsidRPr="00C62ADA" w:rsidRDefault="003C2461">
      <w:pPr>
        <w:pStyle w:val="Judul"/>
        <w:spacing w:before="0" w:after="0"/>
        <w:jc w:val="left"/>
        <w:rPr>
          <w:rFonts w:ascii="Palatino Linotype" w:hAnsi="Palatino Linotype"/>
          <w:szCs w:val="36"/>
          <w:lang w:val="id-ID"/>
        </w:rPr>
      </w:pPr>
    </w:p>
    <w:p w14:paraId="22674AE8" w14:textId="76E39DE3" w:rsidR="003C2461" w:rsidRPr="009A121E" w:rsidRDefault="00BC24B3" w:rsidP="009A121E">
      <w:pPr>
        <w:pStyle w:val="Penulis"/>
        <w:spacing w:before="0" w:after="0"/>
        <w:contextualSpacing/>
        <w:jc w:val="both"/>
        <w:rPr>
          <w:rFonts w:ascii="Palatino Linotype" w:hAnsi="Palatino Linotype" w:cs="Arial"/>
          <w:b/>
          <w:sz w:val="20"/>
          <w:szCs w:val="20"/>
          <w:lang w:val="id-ID"/>
        </w:rPr>
      </w:pPr>
      <w:r w:rsidRPr="009A121E">
        <w:rPr>
          <w:rFonts w:ascii="Palatino Linotype" w:hAnsi="Palatino Linotype" w:cs="Arial"/>
          <w:b/>
          <w:sz w:val="20"/>
          <w:szCs w:val="20"/>
          <w:lang w:val="id-ID"/>
        </w:rPr>
        <w:t>Wagiyana</w:t>
      </w:r>
      <w:r w:rsidRPr="009A121E">
        <w:rPr>
          <w:rFonts w:ascii="Palatino Linotype" w:hAnsi="Palatino Linotype" w:cs="Arial"/>
          <w:b/>
          <w:sz w:val="20"/>
          <w:szCs w:val="20"/>
          <w:vertAlign w:val="superscript"/>
          <w:lang w:val="id-ID"/>
        </w:rPr>
        <w:t>1</w:t>
      </w:r>
      <w:r w:rsidRPr="00C62ADA">
        <w:rPr>
          <w:rFonts w:ascii="Palatino Linotype" w:hAnsi="Palatino Linotype" w:cs="Arial"/>
          <w:b/>
          <w:sz w:val="20"/>
          <w:szCs w:val="20"/>
          <w:lang w:val="id-ID"/>
        </w:rPr>
        <w:t xml:space="preserve">, </w:t>
      </w:r>
      <w:r w:rsidRPr="009A121E">
        <w:rPr>
          <w:rFonts w:ascii="Palatino Linotype" w:hAnsi="Palatino Linotype" w:cs="Arial"/>
          <w:b/>
          <w:sz w:val="20"/>
          <w:szCs w:val="20"/>
          <w:lang w:val="id-ID"/>
        </w:rPr>
        <w:t>Suharto</w:t>
      </w:r>
      <w:r w:rsidRPr="009A121E">
        <w:rPr>
          <w:rFonts w:ascii="Palatino Linotype" w:hAnsi="Palatino Linotype" w:cs="Arial"/>
          <w:b/>
          <w:sz w:val="20"/>
          <w:szCs w:val="20"/>
          <w:vertAlign w:val="superscript"/>
          <w:lang w:val="id-ID"/>
        </w:rPr>
        <w:t>1</w:t>
      </w:r>
      <w:r w:rsidRPr="009A121E">
        <w:rPr>
          <w:rFonts w:ascii="Palatino Linotype" w:hAnsi="Palatino Linotype" w:cs="Arial"/>
          <w:b/>
          <w:sz w:val="20"/>
          <w:szCs w:val="20"/>
          <w:lang w:val="id-ID"/>
        </w:rPr>
        <w:t>, Mohammad Hoesain</w:t>
      </w:r>
      <w:r w:rsidRPr="009A121E">
        <w:rPr>
          <w:rFonts w:ascii="Palatino Linotype" w:hAnsi="Palatino Linotype" w:cs="Arial"/>
          <w:b/>
          <w:sz w:val="20"/>
          <w:szCs w:val="20"/>
          <w:vertAlign w:val="superscript"/>
          <w:lang w:val="id-ID"/>
        </w:rPr>
        <w:t>1</w:t>
      </w:r>
      <w:r w:rsidRPr="009A121E">
        <w:rPr>
          <w:rFonts w:ascii="Palatino Linotype" w:hAnsi="Palatino Linotype" w:cs="Arial"/>
          <w:b/>
          <w:sz w:val="20"/>
          <w:szCs w:val="20"/>
          <w:lang w:val="id-ID"/>
        </w:rPr>
        <w:t>, Saifuddin Hasjim</w:t>
      </w:r>
      <w:r w:rsidRPr="009A121E">
        <w:rPr>
          <w:rFonts w:ascii="Palatino Linotype" w:hAnsi="Palatino Linotype" w:cs="Arial"/>
          <w:b/>
          <w:sz w:val="20"/>
          <w:szCs w:val="20"/>
          <w:vertAlign w:val="superscript"/>
          <w:lang w:val="id-ID"/>
        </w:rPr>
        <w:t>1</w:t>
      </w:r>
      <w:r w:rsidRPr="00C62ADA">
        <w:rPr>
          <w:rFonts w:ascii="Palatino Linotype" w:hAnsi="Palatino Linotype" w:cs="Arial"/>
          <w:b/>
          <w:sz w:val="20"/>
          <w:szCs w:val="20"/>
          <w:lang w:val="id-ID"/>
        </w:rPr>
        <w:t xml:space="preserve">, </w:t>
      </w:r>
      <w:r w:rsidRPr="009A121E">
        <w:rPr>
          <w:rFonts w:ascii="Palatino Linotype" w:hAnsi="Palatino Linotype" w:cs="Arial"/>
          <w:b/>
          <w:sz w:val="20"/>
          <w:szCs w:val="20"/>
          <w:lang w:val="id-ID"/>
        </w:rPr>
        <w:t>Rachmi Masnilah</w:t>
      </w:r>
      <w:r w:rsidRPr="009A121E">
        <w:rPr>
          <w:rFonts w:ascii="Palatino Linotype" w:hAnsi="Palatino Linotype" w:cs="Arial"/>
          <w:b/>
          <w:sz w:val="20"/>
          <w:szCs w:val="20"/>
          <w:vertAlign w:val="superscript"/>
          <w:lang w:val="id-ID"/>
        </w:rPr>
        <w:t>1</w:t>
      </w:r>
      <w:r w:rsidRPr="009A121E">
        <w:rPr>
          <w:rFonts w:ascii="Palatino Linotype" w:hAnsi="Palatino Linotype" w:cs="Arial"/>
          <w:b/>
          <w:sz w:val="20"/>
          <w:szCs w:val="20"/>
          <w:lang w:val="id-ID"/>
        </w:rPr>
        <w:t>, Suhartiningsih Dwi Nurcahyanti</w:t>
      </w:r>
      <w:r w:rsidRPr="009A121E">
        <w:rPr>
          <w:rFonts w:ascii="Palatino Linotype" w:hAnsi="Palatino Linotype" w:cs="Arial"/>
          <w:b/>
          <w:sz w:val="20"/>
          <w:szCs w:val="20"/>
          <w:vertAlign w:val="superscript"/>
          <w:lang w:val="id-ID"/>
        </w:rPr>
        <w:t>1</w:t>
      </w:r>
      <w:r w:rsidRPr="009A121E">
        <w:rPr>
          <w:rFonts w:ascii="Palatino Linotype" w:hAnsi="Palatino Linotype" w:cs="Arial"/>
          <w:b/>
          <w:sz w:val="20"/>
          <w:szCs w:val="20"/>
          <w:lang w:val="id-ID"/>
        </w:rPr>
        <w:t>, Ankardiansyah Pandu Pradana</w:t>
      </w:r>
      <w:r w:rsidRPr="009A121E">
        <w:rPr>
          <w:rFonts w:ascii="Palatino Linotype" w:hAnsi="Palatino Linotype" w:cs="Arial"/>
          <w:b/>
          <w:sz w:val="20"/>
          <w:szCs w:val="20"/>
          <w:vertAlign w:val="superscript"/>
          <w:lang w:val="id-ID"/>
        </w:rPr>
        <w:t>1</w:t>
      </w:r>
      <w:r w:rsidRPr="009A121E">
        <w:rPr>
          <w:rFonts w:ascii="Palatino Linotype" w:hAnsi="Palatino Linotype" w:cs="Arial"/>
          <w:b/>
          <w:sz w:val="20"/>
          <w:szCs w:val="20"/>
          <w:lang w:val="id-ID"/>
        </w:rPr>
        <w:t>, Bakhroini Habriantono</w:t>
      </w:r>
      <w:r w:rsidRPr="009A121E">
        <w:rPr>
          <w:rFonts w:ascii="Palatino Linotype" w:hAnsi="Palatino Linotype" w:cs="Arial"/>
          <w:b/>
          <w:sz w:val="20"/>
          <w:szCs w:val="20"/>
          <w:vertAlign w:val="superscript"/>
          <w:lang w:val="id-ID"/>
        </w:rPr>
        <w:t>1</w:t>
      </w:r>
      <w:r w:rsidRPr="00C62ADA">
        <w:rPr>
          <w:rFonts w:ascii="Palatino Linotype" w:hAnsi="Palatino Linotype" w:cs="Arial"/>
          <w:b/>
          <w:sz w:val="20"/>
          <w:szCs w:val="20"/>
          <w:lang w:val="id-ID"/>
        </w:rPr>
        <w:t xml:space="preserve">, </w:t>
      </w:r>
      <w:r w:rsidRPr="009A121E">
        <w:rPr>
          <w:rFonts w:ascii="Palatino Linotype" w:hAnsi="Palatino Linotype" w:cs="Arial"/>
          <w:b/>
          <w:sz w:val="20"/>
          <w:szCs w:val="20"/>
          <w:lang w:val="id-ID"/>
        </w:rPr>
        <w:t>Fariz Kustiawan Alfarisy</w:t>
      </w:r>
      <w:r w:rsidRPr="009A121E">
        <w:rPr>
          <w:rFonts w:ascii="Palatino Linotype" w:hAnsi="Palatino Linotype" w:cs="Arial"/>
          <w:b/>
          <w:sz w:val="20"/>
          <w:szCs w:val="20"/>
          <w:vertAlign w:val="superscript"/>
          <w:lang w:val="id-ID"/>
        </w:rPr>
        <w:t>1</w:t>
      </w:r>
      <w:r w:rsidRPr="009A121E">
        <w:rPr>
          <w:rFonts w:ascii="Palatino Linotype" w:hAnsi="Palatino Linotype" w:cs="Arial"/>
          <w:b/>
          <w:sz w:val="20"/>
          <w:szCs w:val="20"/>
          <w:lang w:val="id-ID"/>
        </w:rPr>
        <w:t>, Tejasari</w:t>
      </w:r>
      <w:r w:rsidRPr="009A121E">
        <w:rPr>
          <w:rFonts w:ascii="Palatino Linotype" w:hAnsi="Palatino Linotype" w:cs="Arial"/>
          <w:b/>
          <w:sz w:val="20"/>
          <w:szCs w:val="20"/>
          <w:vertAlign w:val="superscript"/>
          <w:lang w:val="id-ID"/>
        </w:rPr>
        <w:t>2</w:t>
      </w:r>
      <w:r w:rsidRPr="009A121E">
        <w:rPr>
          <w:rFonts w:ascii="Palatino Linotype" w:hAnsi="Palatino Linotype" w:cs="Arial"/>
          <w:b/>
          <w:sz w:val="20"/>
          <w:szCs w:val="20"/>
          <w:lang w:val="id-ID"/>
        </w:rPr>
        <w:t>, Gusna Merina</w:t>
      </w:r>
      <w:r w:rsidRPr="009A121E">
        <w:rPr>
          <w:rFonts w:ascii="Palatino Linotype" w:hAnsi="Palatino Linotype" w:cs="Arial"/>
          <w:b/>
          <w:sz w:val="20"/>
          <w:szCs w:val="20"/>
          <w:vertAlign w:val="superscript"/>
          <w:lang w:val="id-ID"/>
        </w:rPr>
        <w:t>3</w:t>
      </w:r>
      <w:r w:rsidRPr="009A121E">
        <w:rPr>
          <w:rFonts w:ascii="Palatino Linotype" w:hAnsi="Palatino Linotype" w:cs="Arial"/>
          <w:b/>
          <w:sz w:val="20"/>
          <w:szCs w:val="20"/>
          <w:lang w:val="id-ID"/>
        </w:rPr>
        <w:t>, Farchan Mushaf Al Ramadhani</w:t>
      </w:r>
      <w:r w:rsidRPr="009A121E">
        <w:rPr>
          <w:rFonts w:ascii="Palatino Linotype" w:hAnsi="Palatino Linotype" w:cs="Arial"/>
          <w:b/>
          <w:sz w:val="20"/>
          <w:szCs w:val="20"/>
          <w:vertAlign w:val="superscript"/>
          <w:lang w:val="id-ID"/>
        </w:rPr>
        <w:t>4</w:t>
      </w:r>
      <w:r w:rsidRPr="009A121E">
        <w:rPr>
          <w:rFonts w:ascii="Palatino Linotype" w:hAnsi="Palatino Linotype" w:cs="Arial"/>
          <w:b/>
          <w:sz w:val="20"/>
          <w:szCs w:val="20"/>
          <w:lang w:val="id-ID"/>
        </w:rPr>
        <w:t>, Dimas Ganda Permana Putra</w:t>
      </w:r>
      <w:r w:rsidRPr="009A121E">
        <w:rPr>
          <w:rFonts w:ascii="Palatino Linotype" w:hAnsi="Palatino Linotype" w:cs="Arial"/>
          <w:b/>
          <w:sz w:val="20"/>
          <w:szCs w:val="20"/>
          <w:vertAlign w:val="superscript"/>
          <w:lang w:val="id-ID"/>
        </w:rPr>
        <w:t>5</w:t>
      </w:r>
    </w:p>
    <w:p w14:paraId="6FB17926" w14:textId="77777777" w:rsidR="003C2461" w:rsidRPr="00C62ADA" w:rsidRDefault="003C2461">
      <w:pPr>
        <w:pStyle w:val="Penulis"/>
        <w:spacing w:before="0" w:after="0"/>
        <w:contextualSpacing/>
        <w:jc w:val="left"/>
        <w:rPr>
          <w:rFonts w:ascii="Palatino Linotype" w:hAnsi="Palatino Linotype" w:cs="Arial"/>
          <w:szCs w:val="22"/>
          <w:lang w:val="id-ID"/>
        </w:rPr>
      </w:pPr>
    </w:p>
    <w:p w14:paraId="0681A2F7" w14:textId="77777777" w:rsidR="003C2461" w:rsidRPr="00C62ADA" w:rsidRDefault="00BC24B3">
      <w:pPr>
        <w:pStyle w:val="Penulis"/>
        <w:spacing w:before="0" w:after="0"/>
        <w:contextualSpacing/>
        <w:jc w:val="both"/>
        <w:rPr>
          <w:rFonts w:ascii="Palatino Linotype" w:hAnsi="Palatino Linotype" w:cs="Arial"/>
          <w:bCs/>
          <w:sz w:val="16"/>
          <w:szCs w:val="16"/>
        </w:rPr>
      </w:pPr>
      <w:r w:rsidRPr="00C62ADA">
        <w:rPr>
          <w:rFonts w:ascii="Palatino Linotype" w:hAnsi="Palatino Linotype" w:cs="Arial"/>
          <w:bCs/>
          <w:sz w:val="16"/>
          <w:szCs w:val="16"/>
          <w:vertAlign w:val="superscript"/>
        </w:rPr>
        <w:t>1</w:t>
      </w:r>
      <w:r w:rsidRPr="00C62ADA">
        <w:rPr>
          <w:rFonts w:ascii="Palatino Linotype" w:hAnsi="Palatino Linotype" w:cs="Arial"/>
          <w:bCs/>
          <w:sz w:val="16"/>
          <w:szCs w:val="16"/>
        </w:rPr>
        <w:t xml:space="preserve">Program Studi </w:t>
      </w:r>
      <w:proofErr w:type="spellStart"/>
      <w:r w:rsidRPr="00C62ADA">
        <w:rPr>
          <w:rFonts w:ascii="Palatino Linotype" w:hAnsi="Palatino Linotype" w:cs="Arial"/>
          <w:bCs/>
          <w:sz w:val="16"/>
          <w:szCs w:val="16"/>
        </w:rPr>
        <w:t>Proteksi</w:t>
      </w:r>
      <w:proofErr w:type="spellEnd"/>
      <w:r w:rsidRPr="00C62ADA">
        <w:rPr>
          <w:rFonts w:ascii="Palatino Linotype" w:hAnsi="Palatino Linotype" w:cs="Arial"/>
          <w:bCs/>
          <w:sz w:val="16"/>
          <w:szCs w:val="16"/>
        </w:rPr>
        <w:t xml:space="preserve"> </w:t>
      </w:r>
      <w:proofErr w:type="spellStart"/>
      <w:r w:rsidRPr="00C62ADA">
        <w:rPr>
          <w:rFonts w:ascii="Palatino Linotype" w:hAnsi="Palatino Linotype" w:cs="Arial"/>
          <w:bCs/>
          <w:sz w:val="16"/>
          <w:szCs w:val="16"/>
        </w:rPr>
        <w:t>Tanaman</w:t>
      </w:r>
      <w:proofErr w:type="spellEnd"/>
      <w:r w:rsidRPr="00C62ADA">
        <w:rPr>
          <w:rFonts w:ascii="Palatino Linotype" w:hAnsi="Palatino Linotype" w:cs="Arial"/>
          <w:bCs/>
          <w:sz w:val="16"/>
          <w:szCs w:val="16"/>
        </w:rPr>
        <w:t xml:space="preserve">, </w:t>
      </w:r>
      <w:proofErr w:type="spellStart"/>
      <w:r w:rsidRPr="00C62ADA">
        <w:rPr>
          <w:rFonts w:ascii="Palatino Linotype" w:hAnsi="Palatino Linotype" w:cs="Arial"/>
          <w:bCs/>
          <w:sz w:val="16"/>
          <w:szCs w:val="16"/>
        </w:rPr>
        <w:t>Fakultas</w:t>
      </w:r>
      <w:proofErr w:type="spellEnd"/>
      <w:r w:rsidRPr="00C62ADA">
        <w:rPr>
          <w:rFonts w:ascii="Palatino Linotype" w:hAnsi="Palatino Linotype" w:cs="Arial"/>
          <w:bCs/>
          <w:sz w:val="16"/>
          <w:szCs w:val="16"/>
        </w:rPr>
        <w:t xml:space="preserve"> </w:t>
      </w:r>
      <w:proofErr w:type="spellStart"/>
      <w:r w:rsidRPr="00C62ADA">
        <w:rPr>
          <w:rFonts w:ascii="Palatino Linotype" w:hAnsi="Palatino Linotype" w:cs="Arial"/>
          <w:bCs/>
          <w:sz w:val="16"/>
          <w:szCs w:val="16"/>
        </w:rPr>
        <w:t>Pertanian</w:t>
      </w:r>
      <w:proofErr w:type="spellEnd"/>
      <w:r w:rsidRPr="00C62ADA">
        <w:rPr>
          <w:rFonts w:ascii="Palatino Linotype" w:hAnsi="Palatino Linotype" w:cs="Arial"/>
          <w:bCs/>
          <w:sz w:val="16"/>
          <w:szCs w:val="16"/>
        </w:rPr>
        <w:t>, Universitas Jember, Indonesia</w:t>
      </w:r>
    </w:p>
    <w:p w14:paraId="36559075" w14:textId="77777777" w:rsidR="003C2461" w:rsidRPr="00C62ADA" w:rsidRDefault="00BC24B3">
      <w:pPr>
        <w:pStyle w:val="Penulis"/>
        <w:spacing w:before="0" w:after="0"/>
        <w:contextualSpacing/>
        <w:jc w:val="both"/>
        <w:rPr>
          <w:rFonts w:ascii="Palatino Linotype" w:hAnsi="Palatino Linotype" w:cs="Arial"/>
          <w:bCs/>
          <w:sz w:val="16"/>
          <w:szCs w:val="16"/>
        </w:rPr>
      </w:pPr>
      <w:r w:rsidRPr="00C62ADA">
        <w:rPr>
          <w:rFonts w:ascii="Palatino Linotype" w:hAnsi="Palatino Linotype" w:cs="Arial"/>
          <w:bCs/>
          <w:sz w:val="16"/>
          <w:szCs w:val="16"/>
          <w:vertAlign w:val="superscript"/>
        </w:rPr>
        <w:t>2</w:t>
      </w:r>
      <w:r w:rsidRPr="00C62ADA">
        <w:rPr>
          <w:rFonts w:ascii="Palatino Linotype" w:hAnsi="Palatino Linotype" w:cs="Arial"/>
          <w:bCs/>
          <w:sz w:val="16"/>
          <w:szCs w:val="16"/>
        </w:rPr>
        <w:t xml:space="preserve">Program Studi </w:t>
      </w:r>
      <w:proofErr w:type="spellStart"/>
      <w:r w:rsidRPr="00C62ADA">
        <w:rPr>
          <w:rFonts w:ascii="Palatino Linotype" w:hAnsi="Palatino Linotype" w:cs="Arial"/>
          <w:bCs/>
          <w:sz w:val="16"/>
          <w:szCs w:val="16"/>
        </w:rPr>
        <w:t>Teknologi</w:t>
      </w:r>
      <w:proofErr w:type="spellEnd"/>
      <w:r w:rsidRPr="00C62ADA">
        <w:rPr>
          <w:rFonts w:ascii="Palatino Linotype" w:hAnsi="Palatino Linotype" w:cs="Arial"/>
          <w:bCs/>
          <w:sz w:val="16"/>
          <w:szCs w:val="16"/>
        </w:rPr>
        <w:t xml:space="preserve"> </w:t>
      </w:r>
      <w:proofErr w:type="spellStart"/>
      <w:r w:rsidRPr="00C62ADA">
        <w:rPr>
          <w:rFonts w:ascii="Palatino Linotype" w:hAnsi="Palatino Linotype" w:cs="Arial"/>
          <w:bCs/>
          <w:sz w:val="16"/>
          <w:szCs w:val="16"/>
        </w:rPr>
        <w:t>Industri</w:t>
      </w:r>
      <w:proofErr w:type="spellEnd"/>
      <w:r w:rsidRPr="00C62ADA">
        <w:rPr>
          <w:rFonts w:ascii="Palatino Linotype" w:hAnsi="Palatino Linotype" w:cs="Arial"/>
          <w:bCs/>
          <w:sz w:val="16"/>
          <w:szCs w:val="16"/>
        </w:rPr>
        <w:t xml:space="preserve"> </w:t>
      </w:r>
      <w:proofErr w:type="spellStart"/>
      <w:r w:rsidRPr="00C62ADA">
        <w:rPr>
          <w:rFonts w:ascii="Palatino Linotype" w:hAnsi="Palatino Linotype" w:cs="Arial"/>
          <w:bCs/>
          <w:sz w:val="16"/>
          <w:szCs w:val="16"/>
        </w:rPr>
        <w:t>Pertanian</w:t>
      </w:r>
      <w:proofErr w:type="spellEnd"/>
      <w:r w:rsidRPr="00C62ADA">
        <w:rPr>
          <w:rFonts w:ascii="Palatino Linotype" w:hAnsi="Palatino Linotype" w:cs="Arial"/>
          <w:bCs/>
          <w:sz w:val="16"/>
          <w:szCs w:val="16"/>
        </w:rPr>
        <w:t xml:space="preserve">, </w:t>
      </w:r>
      <w:proofErr w:type="spellStart"/>
      <w:r w:rsidRPr="00C62ADA">
        <w:rPr>
          <w:rFonts w:ascii="Palatino Linotype" w:hAnsi="Palatino Linotype" w:cs="Arial"/>
          <w:bCs/>
          <w:sz w:val="16"/>
          <w:szCs w:val="16"/>
        </w:rPr>
        <w:t>Fakultas</w:t>
      </w:r>
      <w:proofErr w:type="spellEnd"/>
      <w:r w:rsidRPr="00C62ADA">
        <w:rPr>
          <w:rFonts w:ascii="Palatino Linotype" w:hAnsi="Palatino Linotype" w:cs="Arial"/>
          <w:bCs/>
          <w:sz w:val="16"/>
          <w:szCs w:val="16"/>
        </w:rPr>
        <w:t xml:space="preserve"> </w:t>
      </w:r>
      <w:proofErr w:type="spellStart"/>
      <w:r w:rsidRPr="00C62ADA">
        <w:rPr>
          <w:rFonts w:ascii="Palatino Linotype" w:hAnsi="Palatino Linotype" w:cs="Arial"/>
          <w:bCs/>
          <w:sz w:val="16"/>
          <w:szCs w:val="16"/>
        </w:rPr>
        <w:t>Teknologi</w:t>
      </w:r>
      <w:proofErr w:type="spellEnd"/>
      <w:r w:rsidRPr="00C62ADA">
        <w:rPr>
          <w:rFonts w:ascii="Palatino Linotype" w:hAnsi="Palatino Linotype" w:cs="Arial"/>
          <w:bCs/>
          <w:sz w:val="16"/>
          <w:szCs w:val="16"/>
        </w:rPr>
        <w:t xml:space="preserve"> </w:t>
      </w:r>
      <w:proofErr w:type="spellStart"/>
      <w:r w:rsidRPr="00C62ADA">
        <w:rPr>
          <w:rFonts w:ascii="Palatino Linotype" w:hAnsi="Palatino Linotype" w:cs="Arial"/>
          <w:bCs/>
          <w:sz w:val="16"/>
          <w:szCs w:val="16"/>
        </w:rPr>
        <w:t>Pertanian</w:t>
      </w:r>
      <w:proofErr w:type="spellEnd"/>
      <w:r w:rsidRPr="00C62ADA">
        <w:rPr>
          <w:rFonts w:ascii="Palatino Linotype" w:hAnsi="Palatino Linotype" w:cs="Arial"/>
          <w:bCs/>
          <w:sz w:val="16"/>
          <w:szCs w:val="16"/>
        </w:rPr>
        <w:t>, Universitas Jember, Indonesia</w:t>
      </w:r>
    </w:p>
    <w:p w14:paraId="0B93B139" w14:textId="77777777" w:rsidR="003C2461" w:rsidRPr="00C62ADA" w:rsidRDefault="00BC24B3">
      <w:pPr>
        <w:pStyle w:val="Penulis"/>
        <w:spacing w:before="0" w:after="0"/>
        <w:contextualSpacing/>
        <w:jc w:val="both"/>
        <w:rPr>
          <w:rFonts w:ascii="Palatino Linotype" w:hAnsi="Palatino Linotype" w:cs="Arial"/>
          <w:bCs/>
          <w:sz w:val="16"/>
          <w:szCs w:val="16"/>
        </w:rPr>
      </w:pPr>
      <w:r w:rsidRPr="00C62ADA">
        <w:rPr>
          <w:rFonts w:ascii="Palatino Linotype" w:hAnsi="Palatino Linotype" w:cs="Arial"/>
          <w:bCs/>
          <w:sz w:val="16"/>
          <w:szCs w:val="16"/>
          <w:vertAlign w:val="superscript"/>
        </w:rPr>
        <w:t>3</w:t>
      </w:r>
      <w:r w:rsidRPr="00C62ADA">
        <w:rPr>
          <w:rFonts w:ascii="Palatino Linotype" w:hAnsi="Palatino Linotype" w:cs="Arial"/>
          <w:bCs/>
          <w:sz w:val="16"/>
          <w:szCs w:val="16"/>
        </w:rPr>
        <w:t xml:space="preserve">Program Studi </w:t>
      </w:r>
      <w:proofErr w:type="spellStart"/>
      <w:r w:rsidRPr="00C62ADA">
        <w:rPr>
          <w:rFonts w:ascii="Palatino Linotype" w:hAnsi="Palatino Linotype" w:cs="Arial"/>
          <w:bCs/>
          <w:sz w:val="16"/>
          <w:szCs w:val="16"/>
        </w:rPr>
        <w:t>Manajemen</w:t>
      </w:r>
      <w:proofErr w:type="spellEnd"/>
      <w:r w:rsidRPr="00C62ADA">
        <w:rPr>
          <w:rFonts w:ascii="Palatino Linotype" w:hAnsi="Palatino Linotype" w:cs="Arial"/>
          <w:bCs/>
          <w:sz w:val="16"/>
          <w:szCs w:val="16"/>
        </w:rPr>
        <w:t xml:space="preserve"> </w:t>
      </w:r>
      <w:proofErr w:type="spellStart"/>
      <w:r w:rsidRPr="00C62ADA">
        <w:rPr>
          <w:rFonts w:ascii="Palatino Linotype" w:hAnsi="Palatino Linotype" w:cs="Arial"/>
          <w:bCs/>
          <w:sz w:val="16"/>
          <w:szCs w:val="16"/>
        </w:rPr>
        <w:t>Sumber</w:t>
      </w:r>
      <w:proofErr w:type="spellEnd"/>
      <w:r w:rsidRPr="00C62ADA">
        <w:rPr>
          <w:rFonts w:ascii="Palatino Linotype" w:hAnsi="Palatino Linotype" w:cs="Arial"/>
          <w:bCs/>
          <w:sz w:val="16"/>
          <w:szCs w:val="16"/>
        </w:rPr>
        <w:t xml:space="preserve"> Daya </w:t>
      </w:r>
      <w:proofErr w:type="spellStart"/>
      <w:r w:rsidRPr="00C62ADA">
        <w:rPr>
          <w:rFonts w:ascii="Palatino Linotype" w:hAnsi="Palatino Linotype" w:cs="Arial"/>
          <w:bCs/>
          <w:sz w:val="16"/>
          <w:szCs w:val="16"/>
        </w:rPr>
        <w:t>Perairan</w:t>
      </w:r>
      <w:proofErr w:type="spellEnd"/>
      <w:r w:rsidRPr="00C62ADA">
        <w:rPr>
          <w:rFonts w:ascii="Palatino Linotype" w:hAnsi="Palatino Linotype" w:cs="Arial"/>
          <w:bCs/>
          <w:sz w:val="16"/>
          <w:szCs w:val="16"/>
        </w:rPr>
        <w:t xml:space="preserve">, </w:t>
      </w:r>
      <w:proofErr w:type="spellStart"/>
      <w:r w:rsidRPr="00C62ADA">
        <w:rPr>
          <w:rFonts w:ascii="Palatino Linotype" w:hAnsi="Palatino Linotype" w:cs="Arial"/>
          <w:bCs/>
          <w:sz w:val="16"/>
          <w:szCs w:val="16"/>
        </w:rPr>
        <w:t>Fakultas</w:t>
      </w:r>
      <w:proofErr w:type="spellEnd"/>
      <w:r w:rsidRPr="00C62ADA">
        <w:rPr>
          <w:rFonts w:ascii="Palatino Linotype" w:hAnsi="Palatino Linotype" w:cs="Arial"/>
          <w:bCs/>
          <w:sz w:val="16"/>
          <w:szCs w:val="16"/>
        </w:rPr>
        <w:t xml:space="preserve"> Sains dan </w:t>
      </w:r>
      <w:proofErr w:type="spellStart"/>
      <w:r w:rsidRPr="00C62ADA">
        <w:rPr>
          <w:rFonts w:ascii="Palatino Linotype" w:hAnsi="Palatino Linotype" w:cs="Arial"/>
          <w:bCs/>
          <w:sz w:val="16"/>
          <w:szCs w:val="16"/>
        </w:rPr>
        <w:t>Teknologi</w:t>
      </w:r>
      <w:proofErr w:type="spellEnd"/>
      <w:r w:rsidRPr="00C62ADA">
        <w:rPr>
          <w:rFonts w:ascii="Palatino Linotype" w:hAnsi="Palatino Linotype" w:cs="Arial"/>
          <w:bCs/>
          <w:sz w:val="16"/>
          <w:szCs w:val="16"/>
        </w:rPr>
        <w:t xml:space="preserve">, </w:t>
      </w:r>
      <w:proofErr w:type="spellStart"/>
      <w:r w:rsidRPr="00C62ADA">
        <w:rPr>
          <w:rFonts w:ascii="Palatino Linotype" w:hAnsi="Palatino Linotype" w:cs="Arial"/>
          <w:bCs/>
          <w:sz w:val="16"/>
          <w:szCs w:val="16"/>
        </w:rPr>
        <w:t>Unversitas</w:t>
      </w:r>
      <w:proofErr w:type="spellEnd"/>
      <w:r w:rsidRPr="00C62ADA">
        <w:rPr>
          <w:rFonts w:ascii="Palatino Linotype" w:hAnsi="Palatino Linotype" w:cs="Arial"/>
          <w:bCs/>
          <w:sz w:val="16"/>
          <w:szCs w:val="16"/>
        </w:rPr>
        <w:t xml:space="preserve"> </w:t>
      </w:r>
      <w:proofErr w:type="spellStart"/>
      <w:r w:rsidRPr="00C62ADA">
        <w:rPr>
          <w:rFonts w:ascii="Palatino Linotype" w:hAnsi="Palatino Linotype" w:cs="Arial"/>
          <w:bCs/>
          <w:sz w:val="16"/>
          <w:szCs w:val="16"/>
        </w:rPr>
        <w:t>Nahdlatul</w:t>
      </w:r>
      <w:proofErr w:type="spellEnd"/>
      <w:r w:rsidRPr="00C62ADA">
        <w:rPr>
          <w:rFonts w:ascii="Palatino Linotype" w:hAnsi="Palatino Linotype" w:cs="Arial"/>
          <w:bCs/>
          <w:sz w:val="16"/>
          <w:szCs w:val="16"/>
        </w:rPr>
        <w:t xml:space="preserve"> Ulama Sumatra Barat, Indonesia</w:t>
      </w:r>
    </w:p>
    <w:p w14:paraId="3C028D95" w14:textId="77777777" w:rsidR="003C2461" w:rsidRPr="00C62ADA" w:rsidRDefault="00BC24B3">
      <w:pPr>
        <w:pStyle w:val="Penulis"/>
        <w:spacing w:before="0" w:after="0"/>
        <w:contextualSpacing/>
        <w:jc w:val="both"/>
        <w:rPr>
          <w:rFonts w:ascii="Palatino Linotype" w:hAnsi="Palatino Linotype" w:cs="Arial"/>
          <w:bCs/>
          <w:sz w:val="16"/>
          <w:szCs w:val="16"/>
        </w:rPr>
      </w:pPr>
      <w:r w:rsidRPr="00C62ADA">
        <w:rPr>
          <w:rFonts w:ascii="Palatino Linotype" w:hAnsi="Palatino Linotype" w:cs="Arial"/>
          <w:bCs/>
          <w:sz w:val="16"/>
          <w:szCs w:val="16"/>
          <w:vertAlign w:val="superscript"/>
        </w:rPr>
        <w:t>4</w:t>
      </w:r>
      <w:r w:rsidRPr="00C62ADA">
        <w:rPr>
          <w:rFonts w:ascii="Palatino Linotype" w:hAnsi="Palatino Linotype" w:cs="Arial"/>
          <w:bCs/>
          <w:sz w:val="16"/>
          <w:szCs w:val="16"/>
        </w:rPr>
        <w:t xml:space="preserve">Program Studi </w:t>
      </w:r>
      <w:proofErr w:type="spellStart"/>
      <w:r w:rsidRPr="00C62ADA">
        <w:rPr>
          <w:rFonts w:ascii="Palatino Linotype" w:hAnsi="Palatino Linotype" w:cs="Arial"/>
          <w:bCs/>
          <w:sz w:val="16"/>
          <w:szCs w:val="16"/>
        </w:rPr>
        <w:t>Agroteknologi</w:t>
      </w:r>
      <w:proofErr w:type="spellEnd"/>
      <w:r w:rsidRPr="00C62ADA">
        <w:rPr>
          <w:rFonts w:ascii="Palatino Linotype" w:hAnsi="Palatino Linotype" w:cs="Arial"/>
          <w:bCs/>
          <w:sz w:val="16"/>
          <w:szCs w:val="16"/>
        </w:rPr>
        <w:t xml:space="preserve">, </w:t>
      </w:r>
      <w:proofErr w:type="spellStart"/>
      <w:r w:rsidRPr="00C62ADA">
        <w:rPr>
          <w:rFonts w:ascii="Palatino Linotype" w:hAnsi="Palatino Linotype" w:cs="Arial"/>
          <w:bCs/>
          <w:sz w:val="16"/>
          <w:szCs w:val="16"/>
        </w:rPr>
        <w:t>Fakultas</w:t>
      </w:r>
      <w:proofErr w:type="spellEnd"/>
      <w:r w:rsidRPr="00C62ADA">
        <w:rPr>
          <w:rFonts w:ascii="Palatino Linotype" w:hAnsi="Palatino Linotype" w:cs="Arial"/>
          <w:bCs/>
          <w:sz w:val="16"/>
          <w:szCs w:val="16"/>
        </w:rPr>
        <w:t xml:space="preserve"> </w:t>
      </w:r>
      <w:proofErr w:type="spellStart"/>
      <w:r w:rsidRPr="00C62ADA">
        <w:rPr>
          <w:rFonts w:ascii="Palatino Linotype" w:hAnsi="Palatino Linotype" w:cs="Arial"/>
          <w:bCs/>
          <w:sz w:val="16"/>
          <w:szCs w:val="16"/>
        </w:rPr>
        <w:t>Pertanian</w:t>
      </w:r>
      <w:proofErr w:type="spellEnd"/>
      <w:r w:rsidRPr="00C62ADA">
        <w:rPr>
          <w:rFonts w:ascii="Palatino Linotype" w:hAnsi="Palatino Linotype" w:cs="Arial"/>
          <w:bCs/>
          <w:sz w:val="16"/>
          <w:szCs w:val="16"/>
        </w:rPr>
        <w:t xml:space="preserve">, Universitas </w:t>
      </w:r>
      <w:proofErr w:type="spellStart"/>
      <w:r w:rsidRPr="00C62ADA">
        <w:rPr>
          <w:rFonts w:ascii="Palatino Linotype" w:hAnsi="Palatino Linotype" w:cs="Arial"/>
          <w:bCs/>
          <w:sz w:val="16"/>
          <w:szCs w:val="16"/>
        </w:rPr>
        <w:t>Pekalongan</w:t>
      </w:r>
      <w:proofErr w:type="spellEnd"/>
      <w:r w:rsidRPr="00C62ADA">
        <w:rPr>
          <w:rFonts w:ascii="Palatino Linotype" w:hAnsi="Palatino Linotype" w:cs="Arial"/>
          <w:bCs/>
          <w:sz w:val="16"/>
          <w:szCs w:val="16"/>
        </w:rPr>
        <w:t>, Indonesia</w:t>
      </w:r>
    </w:p>
    <w:p w14:paraId="48FE579B" w14:textId="77777777" w:rsidR="003C2461" w:rsidRPr="00C62ADA" w:rsidRDefault="00BC24B3">
      <w:pPr>
        <w:pStyle w:val="Penulis"/>
        <w:spacing w:before="0" w:after="0"/>
        <w:contextualSpacing/>
        <w:jc w:val="both"/>
        <w:rPr>
          <w:rFonts w:ascii="Palatino Linotype" w:hAnsi="Palatino Linotype" w:cs="Arial"/>
          <w:bCs/>
          <w:sz w:val="16"/>
          <w:szCs w:val="16"/>
        </w:rPr>
      </w:pPr>
      <w:r w:rsidRPr="00C62ADA">
        <w:rPr>
          <w:rFonts w:ascii="Palatino Linotype" w:hAnsi="Palatino Linotype" w:cs="Arial"/>
          <w:bCs/>
          <w:sz w:val="16"/>
          <w:szCs w:val="16"/>
          <w:vertAlign w:val="superscript"/>
        </w:rPr>
        <w:t>5</w:t>
      </w:r>
      <w:r w:rsidRPr="00C62ADA">
        <w:rPr>
          <w:rFonts w:ascii="Palatino Linotype" w:hAnsi="Palatino Linotype" w:cs="Arial"/>
          <w:bCs/>
          <w:sz w:val="16"/>
          <w:szCs w:val="16"/>
        </w:rPr>
        <w:t xml:space="preserve">Program Studi </w:t>
      </w:r>
      <w:proofErr w:type="spellStart"/>
      <w:r w:rsidRPr="00C62ADA">
        <w:rPr>
          <w:rFonts w:ascii="Palatino Linotype" w:hAnsi="Palatino Linotype" w:cs="Arial"/>
          <w:bCs/>
          <w:sz w:val="16"/>
          <w:szCs w:val="16"/>
        </w:rPr>
        <w:t>Agribisnis</w:t>
      </w:r>
      <w:proofErr w:type="spellEnd"/>
      <w:r w:rsidRPr="00C62ADA">
        <w:rPr>
          <w:rFonts w:ascii="Palatino Linotype" w:hAnsi="Palatino Linotype" w:cs="Arial"/>
          <w:bCs/>
          <w:sz w:val="16"/>
          <w:szCs w:val="16"/>
        </w:rPr>
        <w:t xml:space="preserve">, </w:t>
      </w:r>
      <w:proofErr w:type="spellStart"/>
      <w:r w:rsidRPr="00C62ADA">
        <w:rPr>
          <w:rFonts w:ascii="Palatino Linotype" w:hAnsi="Palatino Linotype" w:cs="Arial"/>
          <w:bCs/>
          <w:sz w:val="16"/>
          <w:szCs w:val="16"/>
        </w:rPr>
        <w:t>Fakultas</w:t>
      </w:r>
      <w:proofErr w:type="spellEnd"/>
      <w:r w:rsidRPr="00C62ADA">
        <w:rPr>
          <w:rFonts w:ascii="Palatino Linotype" w:hAnsi="Palatino Linotype" w:cs="Arial"/>
          <w:bCs/>
          <w:sz w:val="16"/>
          <w:szCs w:val="16"/>
        </w:rPr>
        <w:t xml:space="preserve"> </w:t>
      </w:r>
      <w:proofErr w:type="spellStart"/>
      <w:r w:rsidRPr="00C62ADA">
        <w:rPr>
          <w:rFonts w:ascii="Palatino Linotype" w:hAnsi="Palatino Linotype" w:cs="Arial"/>
          <w:bCs/>
          <w:sz w:val="16"/>
          <w:szCs w:val="16"/>
        </w:rPr>
        <w:t>Pertanian</w:t>
      </w:r>
      <w:proofErr w:type="spellEnd"/>
      <w:r w:rsidRPr="00C62ADA">
        <w:rPr>
          <w:rFonts w:ascii="Palatino Linotype" w:hAnsi="Palatino Linotype" w:cs="Arial"/>
          <w:bCs/>
          <w:sz w:val="16"/>
          <w:szCs w:val="16"/>
        </w:rPr>
        <w:t xml:space="preserve">, Universitas </w:t>
      </w:r>
      <w:proofErr w:type="spellStart"/>
      <w:r w:rsidRPr="00C62ADA">
        <w:rPr>
          <w:rFonts w:ascii="Palatino Linotype" w:hAnsi="Palatino Linotype" w:cs="Arial"/>
          <w:bCs/>
          <w:sz w:val="16"/>
          <w:szCs w:val="16"/>
        </w:rPr>
        <w:t>Mayjen</w:t>
      </w:r>
      <w:proofErr w:type="spellEnd"/>
      <w:r w:rsidRPr="00C62ADA">
        <w:rPr>
          <w:rFonts w:ascii="Palatino Linotype" w:hAnsi="Palatino Linotype" w:cs="Arial"/>
          <w:bCs/>
          <w:sz w:val="16"/>
          <w:szCs w:val="16"/>
        </w:rPr>
        <w:t xml:space="preserve"> Sungkono, Indonesia</w:t>
      </w:r>
    </w:p>
    <w:p w14:paraId="6073C447" w14:textId="77777777" w:rsidR="003C2461" w:rsidRPr="00C62ADA" w:rsidRDefault="003C2461">
      <w:pPr>
        <w:pStyle w:val="Penulis"/>
        <w:spacing w:before="0" w:after="0"/>
        <w:contextualSpacing/>
        <w:jc w:val="left"/>
        <w:rPr>
          <w:rFonts w:ascii="Palatino Linotype" w:hAnsi="Palatino Linotype" w:cs="Arial"/>
          <w:sz w:val="16"/>
          <w:szCs w:val="16"/>
        </w:rPr>
      </w:pPr>
    </w:p>
    <w:p w14:paraId="543DB201" w14:textId="77777777" w:rsidR="003C2461" w:rsidRPr="00C62ADA" w:rsidRDefault="00BC24B3">
      <w:pPr>
        <w:pStyle w:val="Penulis"/>
        <w:spacing w:before="0" w:after="0"/>
        <w:contextualSpacing/>
        <w:jc w:val="left"/>
        <w:rPr>
          <w:rFonts w:ascii="Palatino Linotype" w:hAnsi="Palatino Linotype" w:cs="Arial"/>
          <w:sz w:val="16"/>
          <w:szCs w:val="16"/>
        </w:rPr>
      </w:pPr>
      <w:proofErr w:type="spellStart"/>
      <w:r w:rsidRPr="00C62ADA">
        <w:rPr>
          <w:rFonts w:ascii="Palatino Linotype" w:hAnsi="Palatino Linotype" w:cs="Arial"/>
          <w:sz w:val="16"/>
          <w:szCs w:val="16"/>
        </w:rPr>
        <w:t>Penulis</w:t>
      </w:r>
      <w:proofErr w:type="spellEnd"/>
      <w:r w:rsidRPr="00C62ADA">
        <w:rPr>
          <w:rFonts w:ascii="Palatino Linotype" w:hAnsi="Palatino Linotype" w:cs="Arial"/>
          <w:sz w:val="16"/>
          <w:szCs w:val="16"/>
        </w:rPr>
        <w:t xml:space="preserve"> </w:t>
      </w:r>
      <w:proofErr w:type="spellStart"/>
      <w:r w:rsidRPr="00C62ADA">
        <w:rPr>
          <w:rFonts w:ascii="Palatino Linotype" w:hAnsi="Palatino Linotype" w:cs="Arial"/>
          <w:sz w:val="16"/>
          <w:szCs w:val="16"/>
        </w:rPr>
        <w:t>korespondensi</w:t>
      </w:r>
      <w:proofErr w:type="spellEnd"/>
      <w:r w:rsidRPr="00C62ADA">
        <w:rPr>
          <w:rFonts w:ascii="Palatino Linotype" w:hAnsi="Palatino Linotype" w:cs="Arial"/>
          <w:sz w:val="16"/>
          <w:szCs w:val="16"/>
        </w:rPr>
        <w:t xml:space="preserve"> : Fariz </w:t>
      </w:r>
      <w:proofErr w:type="spellStart"/>
      <w:r w:rsidRPr="00C62ADA">
        <w:rPr>
          <w:rFonts w:ascii="Palatino Linotype" w:hAnsi="Palatino Linotype" w:cs="Arial"/>
          <w:sz w:val="16"/>
          <w:szCs w:val="16"/>
        </w:rPr>
        <w:t>Kustiawan</w:t>
      </w:r>
      <w:proofErr w:type="spellEnd"/>
      <w:r w:rsidRPr="00C62ADA">
        <w:rPr>
          <w:rFonts w:ascii="Palatino Linotype" w:hAnsi="Palatino Linotype" w:cs="Arial"/>
          <w:sz w:val="16"/>
          <w:szCs w:val="16"/>
        </w:rPr>
        <w:t xml:space="preserve"> </w:t>
      </w:r>
      <w:proofErr w:type="spellStart"/>
      <w:r w:rsidRPr="00C62ADA">
        <w:rPr>
          <w:rFonts w:ascii="Palatino Linotype" w:hAnsi="Palatino Linotype" w:cs="Arial"/>
          <w:sz w:val="16"/>
          <w:szCs w:val="16"/>
        </w:rPr>
        <w:t>Alfarisy</w:t>
      </w:r>
      <w:proofErr w:type="spellEnd"/>
    </w:p>
    <w:p w14:paraId="5DE2C4E0" w14:textId="77777777" w:rsidR="003C2461" w:rsidRPr="00C62ADA" w:rsidRDefault="00BC24B3">
      <w:pPr>
        <w:pStyle w:val="Penulis"/>
        <w:spacing w:before="0" w:after="0"/>
        <w:contextualSpacing/>
        <w:jc w:val="left"/>
        <w:rPr>
          <w:rFonts w:ascii="Palatino Linotype" w:hAnsi="Palatino Linotype" w:cs="Arial"/>
          <w:sz w:val="16"/>
          <w:szCs w:val="16"/>
        </w:rPr>
      </w:pPr>
      <w:r w:rsidRPr="00C62ADA">
        <w:rPr>
          <w:rFonts w:ascii="Palatino Linotype" w:hAnsi="Palatino Linotype" w:cs="Arial"/>
          <w:sz w:val="16"/>
          <w:szCs w:val="16"/>
        </w:rPr>
        <w:t>E-mail : farizkustiawan@unej.ac.id</w:t>
      </w:r>
    </w:p>
    <w:p w14:paraId="5FA7B085" w14:textId="77777777" w:rsidR="003C2461" w:rsidRPr="00C62ADA" w:rsidRDefault="003C2461">
      <w:pPr>
        <w:pStyle w:val="Penulis"/>
        <w:spacing w:before="0" w:after="0"/>
        <w:contextualSpacing/>
        <w:jc w:val="left"/>
        <w:rPr>
          <w:rFonts w:ascii="Palatino Linotype" w:hAnsi="Palatino Linotype" w:cs="Arial"/>
          <w:b/>
          <w:iCs/>
          <w:sz w:val="16"/>
          <w:szCs w:val="16"/>
        </w:rPr>
      </w:pPr>
    </w:p>
    <w:p w14:paraId="3F2BD4C7" w14:textId="575E725A" w:rsidR="003C2461" w:rsidRPr="00C62ADA" w:rsidRDefault="00BC24B3">
      <w:pPr>
        <w:contextualSpacing/>
        <w:jc w:val="left"/>
        <w:rPr>
          <w:rFonts w:ascii="Palatino Linotype" w:hAnsi="Palatino Linotype" w:cs="Arial"/>
          <w:bCs/>
          <w:sz w:val="18"/>
          <w:szCs w:val="18"/>
        </w:rPr>
      </w:pPr>
      <w:proofErr w:type="spellStart"/>
      <w:r w:rsidRPr="00C62ADA">
        <w:rPr>
          <w:rFonts w:ascii="Palatino Linotype" w:hAnsi="Palatino Linotype" w:cs="Arial"/>
          <w:bCs/>
          <w:sz w:val="18"/>
          <w:szCs w:val="18"/>
        </w:rPr>
        <w:t>Diterima</w:t>
      </w:r>
      <w:proofErr w:type="spellEnd"/>
      <w:r w:rsidRPr="00C62ADA">
        <w:rPr>
          <w:rFonts w:ascii="Palatino Linotype" w:hAnsi="Palatino Linotype" w:cs="Arial"/>
          <w:bCs/>
          <w:sz w:val="18"/>
          <w:szCs w:val="18"/>
        </w:rPr>
        <w:t xml:space="preserve">: </w:t>
      </w:r>
      <w:r w:rsidR="009A121E">
        <w:rPr>
          <w:rFonts w:ascii="Palatino Linotype" w:hAnsi="Palatino Linotype" w:cs="Arial"/>
          <w:bCs/>
          <w:sz w:val="18"/>
          <w:szCs w:val="18"/>
        </w:rPr>
        <w:t>29 April 2024</w:t>
      </w:r>
      <w:r w:rsidRPr="00C62ADA">
        <w:rPr>
          <w:rFonts w:ascii="Palatino Linotype" w:hAnsi="Palatino Linotype" w:cs="Arial"/>
          <w:bCs/>
          <w:sz w:val="18"/>
          <w:szCs w:val="18"/>
        </w:rPr>
        <w:t xml:space="preserve">| </w:t>
      </w:r>
      <w:proofErr w:type="spellStart"/>
      <w:r w:rsidRPr="00C62ADA">
        <w:rPr>
          <w:rFonts w:ascii="Palatino Linotype" w:hAnsi="Palatino Linotype" w:cs="Arial"/>
          <w:bCs/>
          <w:sz w:val="18"/>
          <w:szCs w:val="18"/>
        </w:rPr>
        <w:t>Direvisi</w:t>
      </w:r>
      <w:proofErr w:type="spellEnd"/>
      <w:r w:rsidRPr="00C62ADA">
        <w:rPr>
          <w:rFonts w:ascii="Palatino Linotype" w:hAnsi="Palatino Linotype" w:cs="Arial"/>
          <w:bCs/>
          <w:sz w:val="18"/>
          <w:szCs w:val="18"/>
        </w:rPr>
        <w:t xml:space="preserve">: </w:t>
      </w:r>
      <w:r w:rsidR="009A121E">
        <w:rPr>
          <w:rFonts w:ascii="Palatino Linotype" w:hAnsi="Palatino Linotype" w:cs="Arial"/>
          <w:bCs/>
          <w:sz w:val="18"/>
          <w:szCs w:val="18"/>
        </w:rPr>
        <w:t>18 Mei 2024</w:t>
      </w:r>
      <w:r w:rsidRPr="00C62ADA">
        <w:rPr>
          <w:rFonts w:ascii="Palatino Linotype" w:hAnsi="Palatino Linotype" w:cs="Arial"/>
          <w:bCs/>
          <w:sz w:val="18"/>
          <w:szCs w:val="18"/>
        </w:rPr>
        <w:t xml:space="preserve">| </w:t>
      </w:r>
      <w:proofErr w:type="spellStart"/>
      <w:r w:rsidRPr="00C62ADA">
        <w:rPr>
          <w:rFonts w:ascii="Palatino Linotype" w:hAnsi="Palatino Linotype" w:cs="Arial"/>
          <w:bCs/>
          <w:sz w:val="18"/>
          <w:szCs w:val="18"/>
        </w:rPr>
        <w:t>Disetujui</w:t>
      </w:r>
      <w:proofErr w:type="spellEnd"/>
      <w:r w:rsidRPr="00C62ADA">
        <w:rPr>
          <w:rFonts w:ascii="Palatino Linotype" w:hAnsi="Palatino Linotype" w:cs="Arial"/>
          <w:bCs/>
          <w:sz w:val="18"/>
          <w:szCs w:val="18"/>
        </w:rPr>
        <w:t xml:space="preserve">: </w:t>
      </w:r>
      <w:r w:rsidR="009A121E">
        <w:rPr>
          <w:rFonts w:ascii="Palatino Linotype" w:hAnsi="Palatino Linotype" w:cs="Arial"/>
          <w:bCs/>
          <w:sz w:val="18"/>
          <w:szCs w:val="18"/>
        </w:rPr>
        <w:t>19 Mei 2024</w:t>
      </w:r>
      <w:r w:rsidRPr="00C62ADA">
        <w:rPr>
          <w:rFonts w:ascii="Palatino Linotype" w:hAnsi="Palatino Linotype" w:cs="Arial"/>
          <w:bCs/>
          <w:sz w:val="18"/>
          <w:szCs w:val="18"/>
        </w:rPr>
        <w:t xml:space="preserve"> |© </w:t>
      </w:r>
      <w:proofErr w:type="spellStart"/>
      <w:r w:rsidRPr="00C62ADA">
        <w:rPr>
          <w:rFonts w:ascii="Palatino Linotype" w:hAnsi="Palatino Linotype" w:cs="Arial"/>
          <w:bCs/>
          <w:sz w:val="18"/>
          <w:szCs w:val="18"/>
        </w:rPr>
        <w:t>Penulis</w:t>
      </w:r>
      <w:proofErr w:type="spellEnd"/>
      <w:r w:rsidRPr="00C62ADA">
        <w:rPr>
          <w:rFonts w:ascii="Palatino Linotype" w:hAnsi="Palatino Linotype" w:cs="Arial"/>
          <w:bCs/>
          <w:sz w:val="18"/>
          <w:szCs w:val="18"/>
        </w:rPr>
        <w:t xml:space="preserve"> 20</w:t>
      </w:r>
      <w:r w:rsidR="009A121E">
        <w:rPr>
          <w:rFonts w:ascii="Palatino Linotype" w:hAnsi="Palatino Linotype" w:cs="Arial"/>
          <w:bCs/>
          <w:sz w:val="18"/>
          <w:szCs w:val="18"/>
        </w:rPr>
        <w:t>24</w:t>
      </w:r>
    </w:p>
    <w:p w14:paraId="0F8EB6CE" w14:textId="77777777" w:rsidR="003C2461" w:rsidRPr="00C62ADA" w:rsidRDefault="003C2461">
      <w:pPr>
        <w:pStyle w:val="Abstrakjudul"/>
        <w:spacing w:after="0"/>
        <w:contextualSpacing/>
        <w:rPr>
          <w:rFonts w:ascii="Palatino Linotype" w:hAnsi="Palatino Linotype" w:cs="Arial"/>
          <w:b/>
          <w:i w:val="0"/>
          <w:sz w:val="24"/>
          <w:lang w:val="id-ID"/>
        </w:rPr>
      </w:pPr>
    </w:p>
    <w:p w14:paraId="7107AE83" w14:textId="77777777" w:rsidR="003C2461" w:rsidRPr="00C62ADA" w:rsidRDefault="00BC24B3">
      <w:pPr>
        <w:pStyle w:val="Abstrakjudul"/>
        <w:spacing w:after="0"/>
        <w:contextualSpacing/>
        <w:jc w:val="both"/>
        <w:rPr>
          <w:rFonts w:ascii="Palatino Linotype" w:hAnsi="Palatino Linotype" w:cs="Arial"/>
          <w:b/>
          <w:bCs/>
          <w:i w:val="0"/>
          <w:iCs w:val="0"/>
        </w:rPr>
      </w:pPr>
      <w:r w:rsidRPr="00C62ADA">
        <w:rPr>
          <w:rFonts w:ascii="Palatino Linotype" w:hAnsi="Palatino Linotype" w:cs="Arial"/>
          <w:b/>
          <w:i w:val="0"/>
          <w:iCs w:val="0"/>
        </w:rPr>
        <w:t>Abstrak</w:t>
      </w:r>
    </w:p>
    <w:p w14:paraId="4EBEC1D6" w14:textId="77777777" w:rsidR="003C2461" w:rsidRPr="00C62ADA" w:rsidRDefault="00BC24B3">
      <w:pPr>
        <w:ind w:right="-1"/>
        <w:rPr>
          <w:rFonts w:ascii="Palatino Linotype" w:hAnsi="Palatino Linotype" w:cs="Arial"/>
          <w:bCs/>
          <w:szCs w:val="18"/>
        </w:rPr>
      </w:pPr>
      <w:r w:rsidRPr="00C62ADA">
        <w:rPr>
          <w:rFonts w:ascii="Palatino Linotype" w:hAnsi="Palatino Linotype" w:cs="Arial"/>
          <w:bCs/>
          <w:szCs w:val="18"/>
        </w:rPr>
        <w:t xml:space="preserve">PPAH (Pos </w:t>
      </w:r>
      <w:proofErr w:type="spellStart"/>
      <w:r w:rsidRPr="00C62ADA">
        <w:rPr>
          <w:rFonts w:ascii="Palatino Linotype" w:hAnsi="Palatino Linotype" w:cs="Arial"/>
          <w:bCs/>
          <w:szCs w:val="18"/>
        </w:rPr>
        <w:t>Pelayanan</w:t>
      </w:r>
      <w:proofErr w:type="spellEnd"/>
      <w:r w:rsidRPr="00C62ADA">
        <w:rPr>
          <w:rFonts w:ascii="Palatino Linotype" w:hAnsi="Palatino Linotype" w:cs="Arial"/>
          <w:bCs/>
          <w:szCs w:val="18"/>
        </w:rPr>
        <w:t xml:space="preserve"> Agen Hayati) </w:t>
      </w:r>
      <w:proofErr w:type="spellStart"/>
      <w:r w:rsidRPr="00C62ADA">
        <w:rPr>
          <w:rFonts w:ascii="Palatino Linotype" w:hAnsi="Palatino Linotype" w:cs="Arial"/>
          <w:bCs/>
          <w:szCs w:val="18"/>
        </w:rPr>
        <w:t>adalah</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organisasi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swadaya</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masyarakat</w:t>
      </w:r>
      <w:proofErr w:type="spellEnd"/>
      <w:r w:rsidRPr="00C62ADA">
        <w:rPr>
          <w:rFonts w:ascii="Palatino Linotype" w:hAnsi="Palatino Linotype" w:cs="Arial"/>
          <w:bCs/>
          <w:szCs w:val="18"/>
        </w:rPr>
        <w:t xml:space="preserve"> yang </w:t>
      </w:r>
      <w:proofErr w:type="spellStart"/>
      <w:r w:rsidRPr="00C62ADA">
        <w:rPr>
          <w:rFonts w:ascii="Palatino Linotype" w:hAnsi="Palatino Linotype" w:cs="Arial"/>
          <w:bCs/>
          <w:szCs w:val="18"/>
        </w:rPr>
        <w:t>memiliki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aktivitas</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untuk</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produksi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agens</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pengendali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hayati</w:t>
      </w:r>
      <w:proofErr w:type="spellEnd"/>
      <w:r w:rsidRPr="00C62ADA">
        <w:rPr>
          <w:rFonts w:ascii="Palatino Linotype" w:hAnsi="Palatino Linotype" w:cs="Arial"/>
          <w:bCs/>
          <w:szCs w:val="18"/>
        </w:rPr>
        <w:t xml:space="preserve">. Agens </w:t>
      </w:r>
      <w:proofErr w:type="spellStart"/>
      <w:r w:rsidRPr="00C62ADA">
        <w:rPr>
          <w:rFonts w:ascii="Palatino Linotype" w:hAnsi="Palatino Linotype" w:cs="Arial"/>
          <w:bCs/>
          <w:szCs w:val="18"/>
        </w:rPr>
        <w:t>pengendali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hayati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merupakan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alternatif</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untuk</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mengurangi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ketergantungan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terhadap</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pupuk</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maupun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pestisida</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sintetis</w:t>
      </w:r>
      <w:proofErr w:type="spellEnd"/>
      <w:r w:rsidRPr="00C62ADA">
        <w:rPr>
          <w:rFonts w:ascii="Palatino Linotype" w:hAnsi="Palatino Linotype" w:cs="Arial"/>
          <w:bCs/>
          <w:szCs w:val="18"/>
        </w:rPr>
        <w:t xml:space="preserve">. Agens </w:t>
      </w:r>
      <w:proofErr w:type="spellStart"/>
      <w:r w:rsidRPr="00C62ADA">
        <w:rPr>
          <w:rFonts w:ascii="Palatino Linotype" w:hAnsi="Palatino Linotype" w:cs="Arial"/>
          <w:bCs/>
          <w:szCs w:val="18"/>
        </w:rPr>
        <w:t>hayati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terbagi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menjadi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golongan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bakteri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jamur</w:t>
      </w:r>
      <w:proofErr w:type="spellEnd"/>
      <w:r w:rsidRPr="00C62ADA">
        <w:rPr>
          <w:rFonts w:ascii="Palatino Linotype" w:hAnsi="Palatino Linotype" w:cs="Arial"/>
          <w:bCs/>
          <w:szCs w:val="18"/>
        </w:rPr>
        <w:t xml:space="preserve">, virus, </w:t>
      </w:r>
      <w:proofErr w:type="spellStart"/>
      <w:r w:rsidRPr="00C62ADA">
        <w:rPr>
          <w:rFonts w:ascii="Palatino Linotype" w:hAnsi="Palatino Linotype" w:cs="Arial"/>
          <w:bCs/>
          <w:szCs w:val="18"/>
        </w:rPr>
        <w:t>nematoda</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maupun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serangga</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berguna</w:t>
      </w:r>
      <w:proofErr w:type="spellEnd"/>
      <w:r w:rsidRPr="00C62ADA">
        <w:rPr>
          <w:rFonts w:ascii="Palatino Linotype" w:hAnsi="Palatino Linotype" w:cs="Arial"/>
          <w:bCs/>
          <w:szCs w:val="18"/>
        </w:rPr>
        <w:t xml:space="preserve">. Desa Purnama </w:t>
      </w:r>
      <w:proofErr w:type="spellStart"/>
      <w:r w:rsidRPr="00C62ADA">
        <w:rPr>
          <w:rFonts w:ascii="Palatino Linotype" w:hAnsi="Palatino Linotype" w:cs="Arial"/>
          <w:bCs/>
          <w:szCs w:val="18"/>
        </w:rPr>
        <w:t>merupakan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desa</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sentra</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penghasil</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singkong</w:t>
      </w:r>
      <w:proofErr w:type="spellEnd"/>
      <w:r w:rsidRPr="00C62ADA">
        <w:rPr>
          <w:rFonts w:ascii="Palatino Linotype" w:hAnsi="Palatino Linotype" w:cs="Arial"/>
          <w:bCs/>
          <w:szCs w:val="18"/>
        </w:rPr>
        <w:t xml:space="preserve">. Tujuan </w:t>
      </w:r>
      <w:proofErr w:type="spellStart"/>
      <w:r w:rsidRPr="00C62ADA">
        <w:rPr>
          <w:rFonts w:ascii="Palatino Linotype" w:hAnsi="Palatino Linotype" w:cs="Arial"/>
          <w:bCs/>
          <w:szCs w:val="18"/>
        </w:rPr>
        <w:t>pengabdian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ini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adalah</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untuk</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melakukan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disemenasi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agens</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hayati</w:t>
      </w:r>
      <w:proofErr w:type="spellEnd"/>
      <w:r w:rsidRPr="00C62ADA">
        <w:rPr>
          <w:rFonts w:ascii="Palatino Linotype" w:hAnsi="Palatino Linotype" w:cs="Arial"/>
          <w:bCs/>
          <w:szCs w:val="18"/>
        </w:rPr>
        <w:t xml:space="preserve"> di Desa Purnama. Lokasi </w:t>
      </w:r>
      <w:proofErr w:type="spellStart"/>
      <w:r w:rsidRPr="00C62ADA">
        <w:rPr>
          <w:rFonts w:ascii="Palatino Linotype" w:hAnsi="Palatino Linotype" w:cs="Arial"/>
          <w:bCs/>
          <w:szCs w:val="18"/>
        </w:rPr>
        <w:t>pengabdian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terletak</w:t>
      </w:r>
      <w:proofErr w:type="spellEnd"/>
      <w:r w:rsidRPr="00C62ADA">
        <w:rPr>
          <w:rFonts w:ascii="Palatino Linotype" w:hAnsi="Palatino Linotype" w:cs="Arial"/>
          <w:bCs/>
          <w:szCs w:val="18"/>
        </w:rPr>
        <w:t xml:space="preserve"> di Desa Purnama, </w:t>
      </w:r>
      <w:proofErr w:type="spellStart"/>
      <w:r w:rsidRPr="00C62ADA">
        <w:rPr>
          <w:rFonts w:ascii="Palatino Linotype" w:hAnsi="Palatino Linotype" w:cs="Arial"/>
          <w:bCs/>
          <w:szCs w:val="18"/>
        </w:rPr>
        <w:t>Kecamatan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Tegalampel</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Kabupaten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Bondowoso</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Pelaksanaan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kegiatan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meliputi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disemenasi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dengan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beberapa</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tahapan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yaitu</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penyuluhan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agens</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hayati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penguatan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kelembaagaan</w:t>
      </w:r>
      <w:proofErr w:type="spellEnd"/>
      <w:r w:rsidRPr="00C62ADA">
        <w:rPr>
          <w:rFonts w:ascii="Palatino Linotype" w:hAnsi="Palatino Linotype" w:cs="Arial"/>
          <w:bCs/>
          <w:szCs w:val="18"/>
        </w:rPr>
        <w:t xml:space="preserve"> PPAH </w:t>
      </w:r>
      <w:proofErr w:type="spellStart"/>
      <w:r w:rsidRPr="00C62ADA">
        <w:rPr>
          <w:rFonts w:ascii="Palatino Linotype" w:hAnsi="Palatino Linotype" w:cs="Arial"/>
          <w:bCs/>
          <w:szCs w:val="18"/>
        </w:rPr>
        <w:t>dengan</w:t>
      </w:r>
      <w:proofErr w:type="spellEnd"/>
      <w:r w:rsidRPr="00C62ADA">
        <w:rPr>
          <w:rFonts w:ascii="Palatino Linotype" w:hAnsi="Palatino Linotype" w:cs="Arial"/>
          <w:bCs/>
          <w:szCs w:val="18"/>
        </w:rPr>
        <w:t xml:space="preserve"> forum </w:t>
      </w:r>
      <w:proofErr w:type="spellStart"/>
      <w:r w:rsidRPr="00C62ADA">
        <w:rPr>
          <w:rFonts w:ascii="Palatino Linotype" w:hAnsi="Palatino Linotype" w:cs="Arial"/>
          <w:bCs/>
          <w:szCs w:val="18"/>
        </w:rPr>
        <w:t>diskusi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serta</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evaluasi</w:t>
      </w:r>
      <w:proofErr w:type="spellEnd"/>
      <w:r w:rsidRPr="00C62ADA">
        <w:rPr>
          <w:rFonts w:ascii="Palatino Linotype" w:hAnsi="Palatino Linotype" w:cs="Arial"/>
          <w:bCs/>
          <w:szCs w:val="18"/>
        </w:rPr>
        <w:t xml:space="preserve"> program. Hasil </w:t>
      </w:r>
      <w:proofErr w:type="spellStart"/>
      <w:r w:rsidRPr="00C62ADA">
        <w:rPr>
          <w:rFonts w:ascii="Palatino Linotype" w:hAnsi="Palatino Linotype" w:cs="Arial"/>
          <w:bCs/>
          <w:szCs w:val="18"/>
        </w:rPr>
        <w:t>pengabdian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ini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adalah</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adanya</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peningkatakan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kapasitas</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pengetahuan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petani</w:t>
      </w:r>
      <w:proofErr w:type="spellEnd"/>
      <w:r w:rsidRPr="00C62ADA">
        <w:rPr>
          <w:rFonts w:ascii="Palatino Linotype" w:hAnsi="Palatino Linotype" w:cs="Arial"/>
          <w:bCs/>
          <w:szCs w:val="18"/>
        </w:rPr>
        <w:t xml:space="preserve"> di Desa Purnama </w:t>
      </w:r>
      <w:proofErr w:type="spellStart"/>
      <w:r w:rsidRPr="00C62ADA">
        <w:rPr>
          <w:rFonts w:ascii="Palatino Linotype" w:hAnsi="Palatino Linotype" w:cs="Arial"/>
          <w:bCs/>
          <w:szCs w:val="18"/>
        </w:rPr>
        <w:t>terkait</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dengan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agens</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hayati</w:t>
      </w:r>
      <w:proofErr w:type="spellEnd"/>
      <w:r w:rsidRPr="00C62ADA">
        <w:rPr>
          <w:rFonts w:ascii="Palatino Linotype" w:hAnsi="Palatino Linotype" w:cs="Arial"/>
          <w:bCs/>
          <w:szCs w:val="18"/>
        </w:rPr>
        <w:t xml:space="preserve"> dan </w:t>
      </w:r>
      <w:proofErr w:type="spellStart"/>
      <w:r w:rsidRPr="00C62ADA">
        <w:rPr>
          <w:rFonts w:ascii="Palatino Linotype" w:hAnsi="Palatino Linotype" w:cs="Arial"/>
          <w:bCs/>
          <w:szCs w:val="18"/>
        </w:rPr>
        <w:t>fungsinya</w:t>
      </w:r>
      <w:proofErr w:type="spellEnd"/>
      <w:r w:rsidRPr="00C62ADA">
        <w:rPr>
          <w:rFonts w:ascii="Palatino Linotype" w:hAnsi="Palatino Linotype" w:cs="Arial"/>
          <w:bCs/>
          <w:szCs w:val="18"/>
        </w:rPr>
        <w:t xml:space="preserve"> pada </w:t>
      </w:r>
      <w:proofErr w:type="spellStart"/>
      <w:r w:rsidRPr="00C62ADA">
        <w:rPr>
          <w:rFonts w:ascii="Palatino Linotype" w:hAnsi="Palatino Linotype" w:cs="Arial"/>
          <w:bCs/>
          <w:szCs w:val="18"/>
        </w:rPr>
        <w:t>tanaman</w:t>
      </w:r>
      <w:proofErr w:type="spellEnd"/>
      <w:r w:rsidRPr="00C62ADA">
        <w:rPr>
          <w:rFonts w:ascii="Palatino Linotype" w:hAnsi="Palatino Linotype" w:cs="Arial"/>
          <w:bCs/>
          <w:szCs w:val="18"/>
        </w:rPr>
        <w:t xml:space="preserve">. Selain </w:t>
      </w:r>
      <w:proofErr w:type="spellStart"/>
      <w:r w:rsidRPr="00C62ADA">
        <w:rPr>
          <w:rFonts w:ascii="Palatino Linotype" w:hAnsi="Palatino Linotype" w:cs="Arial"/>
          <w:bCs/>
          <w:szCs w:val="18"/>
        </w:rPr>
        <w:t>itu</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untuk</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meningkatkan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nilai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keberdayaan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melalui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kelembagaan</w:t>
      </w:r>
      <w:proofErr w:type="spellEnd"/>
      <w:r w:rsidRPr="00C62ADA">
        <w:rPr>
          <w:rFonts w:ascii="Palatino Linotype" w:hAnsi="Palatino Linotype" w:cs="Arial"/>
          <w:bCs/>
          <w:szCs w:val="18"/>
        </w:rPr>
        <w:t xml:space="preserve"> PPAH </w:t>
      </w:r>
      <w:proofErr w:type="spellStart"/>
      <w:r w:rsidRPr="00C62ADA">
        <w:rPr>
          <w:rFonts w:ascii="Palatino Linotype" w:hAnsi="Palatino Linotype" w:cs="Arial"/>
          <w:bCs/>
          <w:szCs w:val="18"/>
        </w:rPr>
        <w:t>dapat</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meningkatkan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peluang</w:t>
      </w:r>
      <w:proofErr w:type="spellEnd"/>
      <w:r w:rsidRPr="00C62ADA">
        <w:rPr>
          <w:rFonts w:ascii="Palatino Linotype" w:hAnsi="Palatino Linotype" w:cs="Arial"/>
          <w:bCs/>
          <w:szCs w:val="18"/>
        </w:rPr>
        <w:t xml:space="preserve"> dan </w:t>
      </w:r>
      <w:proofErr w:type="spellStart"/>
      <w:r w:rsidRPr="00C62ADA">
        <w:rPr>
          <w:rFonts w:ascii="Palatino Linotype" w:hAnsi="Palatino Linotype" w:cs="Arial"/>
          <w:bCs/>
          <w:szCs w:val="18"/>
        </w:rPr>
        <w:t>potensi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untuk</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bersinergi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dengan</w:t>
      </w:r>
      <w:proofErr w:type="spellEnd"/>
      <w:r w:rsidRPr="00C62ADA">
        <w:rPr>
          <w:rFonts w:ascii="Palatino Linotype" w:hAnsi="Palatino Linotype" w:cs="Arial"/>
          <w:bCs/>
          <w:szCs w:val="18"/>
        </w:rPr>
        <w:t xml:space="preserve"> stakeholder </w:t>
      </w:r>
      <w:proofErr w:type="spellStart"/>
      <w:r w:rsidRPr="00C62ADA">
        <w:rPr>
          <w:rFonts w:ascii="Palatino Linotype" w:hAnsi="Palatino Linotype" w:cs="Arial"/>
          <w:bCs/>
          <w:szCs w:val="18"/>
        </w:rPr>
        <w:t>maupun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instansi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pemerintah</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Kegiatan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pengabdian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ini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menjadi</w:t>
      </w:r>
      <w:proofErr w:type="spellEnd"/>
      <w:r w:rsidRPr="00C62ADA">
        <w:rPr>
          <w:rFonts w:ascii="Palatino Linotype" w:hAnsi="Palatino Linotype" w:cs="Arial"/>
          <w:bCs/>
          <w:szCs w:val="18"/>
        </w:rPr>
        <w:t xml:space="preserve"> program </w:t>
      </w:r>
      <w:proofErr w:type="spellStart"/>
      <w:r w:rsidRPr="00C62ADA">
        <w:rPr>
          <w:rFonts w:ascii="Palatino Linotype" w:hAnsi="Palatino Linotype" w:cs="Arial"/>
          <w:bCs/>
          <w:szCs w:val="18"/>
        </w:rPr>
        <w:t>lanjutan</w:t>
      </w:r>
      <w:proofErr w:type="spellEnd"/>
      <w:r w:rsidRPr="00C62ADA">
        <w:rPr>
          <w:rFonts w:ascii="Palatino Linotype" w:hAnsi="Palatino Linotype" w:cs="Arial"/>
          <w:bCs/>
          <w:szCs w:val="18"/>
        </w:rPr>
        <w:t xml:space="preserve"> pada </w:t>
      </w:r>
      <w:proofErr w:type="spellStart"/>
      <w:r w:rsidRPr="00C62ADA">
        <w:rPr>
          <w:rFonts w:ascii="Palatino Linotype" w:hAnsi="Palatino Linotype" w:cs="Arial"/>
          <w:bCs/>
          <w:szCs w:val="18"/>
        </w:rPr>
        <w:t>kegiatan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sebelumnya</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mengenai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pendampingan</w:t>
      </w:r>
      <w:proofErr w:type="spellEnd"/>
      <w:r w:rsidRPr="00C62ADA">
        <w:rPr>
          <w:rFonts w:ascii="Palatino Linotype" w:hAnsi="Palatino Linotype" w:cs="Arial"/>
          <w:bCs/>
          <w:szCs w:val="18"/>
        </w:rPr>
        <w:t xml:space="preserve"> dan </w:t>
      </w:r>
      <w:proofErr w:type="spellStart"/>
      <w:r w:rsidRPr="00C62ADA">
        <w:rPr>
          <w:rFonts w:ascii="Palatino Linotype" w:hAnsi="Palatino Linotype" w:cs="Arial"/>
          <w:bCs/>
          <w:szCs w:val="18"/>
        </w:rPr>
        <w:t>produksi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agens</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hayati</w:t>
      </w:r>
      <w:proofErr w:type="spellEnd"/>
      <w:r w:rsidRPr="00C62ADA">
        <w:rPr>
          <w:rFonts w:ascii="Palatino Linotype" w:hAnsi="Palatino Linotype" w:cs="Arial"/>
          <w:bCs/>
          <w:szCs w:val="18"/>
        </w:rPr>
        <w:t xml:space="preserve">. Kesimpulan pada </w:t>
      </w:r>
      <w:proofErr w:type="spellStart"/>
      <w:r w:rsidRPr="00C62ADA">
        <w:rPr>
          <w:rFonts w:ascii="Palatino Linotype" w:hAnsi="Palatino Linotype" w:cs="Arial"/>
          <w:bCs/>
          <w:szCs w:val="18"/>
        </w:rPr>
        <w:t>pengabdian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ini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adalah</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petani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antusias</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untuk</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meningkatkan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kapasitas</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diri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melalui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penguatan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kelembagaan</w:t>
      </w:r>
      <w:proofErr w:type="spellEnd"/>
      <w:r w:rsidRPr="00C62ADA">
        <w:rPr>
          <w:rFonts w:ascii="Palatino Linotype" w:hAnsi="Palatino Linotype" w:cs="Arial"/>
          <w:bCs/>
          <w:szCs w:val="18"/>
        </w:rPr>
        <w:t xml:space="preserve"> PPAH </w:t>
      </w:r>
      <w:proofErr w:type="spellStart"/>
      <w:r w:rsidRPr="00C62ADA">
        <w:rPr>
          <w:rFonts w:ascii="Palatino Linotype" w:hAnsi="Palatino Linotype" w:cs="Arial"/>
          <w:bCs/>
          <w:szCs w:val="18"/>
        </w:rPr>
        <w:t>dalam</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rangka</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meningkatkan</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kapasitas</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produksi</w:t>
      </w:r>
      <w:proofErr w:type="spellEnd"/>
      <w:r w:rsidRPr="00C62ADA">
        <w:rPr>
          <w:rFonts w:ascii="Palatino Linotype" w:hAnsi="Palatino Linotype" w:cs="Arial"/>
          <w:bCs/>
          <w:szCs w:val="18"/>
        </w:rPr>
        <w:t xml:space="preserve"> dan </w:t>
      </w:r>
      <w:proofErr w:type="spellStart"/>
      <w:r w:rsidRPr="00C62ADA">
        <w:rPr>
          <w:rFonts w:ascii="Palatino Linotype" w:hAnsi="Palatino Linotype" w:cs="Arial"/>
          <w:bCs/>
          <w:szCs w:val="18"/>
        </w:rPr>
        <w:t>hilirisasi</w:t>
      </w:r>
      <w:proofErr w:type="spellEnd"/>
      <w:r w:rsidRPr="00C62ADA">
        <w:rPr>
          <w:rFonts w:ascii="Palatino Linotype" w:hAnsi="Palatino Linotype" w:cs="Arial"/>
          <w:bCs/>
          <w:szCs w:val="18"/>
        </w:rPr>
        <w:t xml:space="preserve"> </w:t>
      </w:r>
      <w:proofErr w:type="spellStart"/>
      <w:r w:rsidRPr="00C62ADA">
        <w:rPr>
          <w:rFonts w:ascii="Palatino Linotype" w:hAnsi="Palatino Linotype" w:cs="Arial"/>
          <w:bCs/>
          <w:szCs w:val="18"/>
        </w:rPr>
        <w:t>singkong</w:t>
      </w:r>
      <w:proofErr w:type="spellEnd"/>
      <w:r w:rsidRPr="00C62ADA">
        <w:rPr>
          <w:rFonts w:ascii="Palatino Linotype" w:hAnsi="Palatino Linotype" w:cs="Arial"/>
          <w:bCs/>
          <w:szCs w:val="18"/>
        </w:rPr>
        <w:t xml:space="preserve">. </w:t>
      </w:r>
    </w:p>
    <w:p w14:paraId="071F1E77" w14:textId="77777777" w:rsidR="003C2461" w:rsidRPr="00C62ADA" w:rsidRDefault="003C2461">
      <w:pPr>
        <w:ind w:right="-1"/>
        <w:rPr>
          <w:rFonts w:ascii="Palatino Linotype" w:hAnsi="Palatino Linotype" w:cs="Arial"/>
        </w:rPr>
      </w:pPr>
    </w:p>
    <w:p w14:paraId="4FE06809" w14:textId="6B9113D7" w:rsidR="003C2461" w:rsidRPr="00C62ADA" w:rsidRDefault="00BC24B3">
      <w:pPr>
        <w:autoSpaceDE w:val="0"/>
        <w:autoSpaceDN w:val="0"/>
        <w:rPr>
          <w:rFonts w:ascii="Palatino Linotype" w:hAnsi="Palatino Linotype" w:cs="Arial"/>
          <w:sz w:val="16"/>
          <w:szCs w:val="20"/>
        </w:rPr>
      </w:pPr>
      <w:r w:rsidRPr="00C62ADA">
        <w:rPr>
          <w:rFonts w:ascii="Palatino Linotype" w:hAnsi="Palatino Linotype" w:cs="Arial"/>
          <w:b/>
          <w:bCs/>
          <w:lang w:eastAsia="en-US"/>
        </w:rPr>
        <w:t xml:space="preserve">Kata </w:t>
      </w:r>
      <w:r w:rsidRPr="00C62ADA">
        <w:rPr>
          <w:rFonts w:ascii="Palatino Linotype" w:hAnsi="Palatino Linotype" w:cs="Arial"/>
          <w:b/>
          <w:bCs/>
          <w:lang w:val="id-ID" w:eastAsia="en-US"/>
        </w:rPr>
        <w:t>k</w:t>
      </w:r>
      <w:r w:rsidRPr="00C62ADA">
        <w:rPr>
          <w:rFonts w:ascii="Palatino Linotype" w:hAnsi="Palatino Linotype" w:cs="Arial"/>
          <w:b/>
          <w:bCs/>
          <w:lang w:eastAsia="en-US"/>
        </w:rPr>
        <w:t>unci:</w:t>
      </w:r>
      <w:r w:rsidRPr="00C62ADA">
        <w:rPr>
          <w:rFonts w:ascii="Palatino Linotype" w:hAnsi="Palatino Linotype" w:cs="Arial"/>
        </w:rPr>
        <w:t xml:space="preserve"> </w:t>
      </w:r>
      <w:proofErr w:type="spellStart"/>
      <w:r w:rsidR="00C62ADA" w:rsidRPr="00C62ADA">
        <w:rPr>
          <w:rFonts w:ascii="Palatino Linotype" w:hAnsi="Palatino Linotype" w:cs="Arial"/>
        </w:rPr>
        <w:t>augmentasi</w:t>
      </w:r>
      <w:proofErr w:type="spellEnd"/>
      <w:r w:rsidR="00C62ADA" w:rsidRPr="00C62ADA">
        <w:rPr>
          <w:rFonts w:ascii="Palatino Linotype" w:hAnsi="Palatino Linotype" w:cs="Arial"/>
        </w:rPr>
        <w:t xml:space="preserve">; </w:t>
      </w:r>
      <w:proofErr w:type="spellStart"/>
      <w:r w:rsidR="00C62ADA" w:rsidRPr="00C62ADA">
        <w:rPr>
          <w:rFonts w:ascii="Palatino Linotype" w:hAnsi="Palatino Linotype" w:cs="Arial"/>
        </w:rPr>
        <w:t>berguna</w:t>
      </w:r>
      <w:proofErr w:type="spellEnd"/>
      <w:r w:rsidR="00C62ADA" w:rsidRPr="00C62ADA">
        <w:rPr>
          <w:rFonts w:ascii="Palatino Linotype" w:hAnsi="Palatino Linotype" w:cs="Arial"/>
        </w:rPr>
        <w:t xml:space="preserve">; </w:t>
      </w:r>
      <w:proofErr w:type="spellStart"/>
      <w:r w:rsidR="00C62ADA" w:rsidRPr="00C62ADA">
        <w:rPr>
          <w:rFonts w:ascii="Palatino Linotype" w:hAnsi="Palatino Linotype" w:cs="Arial"/>
        </w:rPr>
        <w:t>berkelanjutan</w:t>
      </w:r>
      <w:proofErr w:type="spellEnd"/>
      <w:r w:rsidR="00C62ADA" w:rsidRPr="00C62ADA">
        <w:rPr>
          <w:rFonts w:ascii="Palatino Linotype" w:hAnsi="Palatino Linotype" w:cs="Arial"/>
        </w:rPr>
        <w:t xml:space="preserve">; </w:t>
      </w:r>
      <w:proofErr w:type="spellStart"/>
      <w:r w:rsidR="00C62ADA" w:rsidRPr="00C62ADA">
        <w:rPr>
          <w:rFonts w:ascii="Palatino Linotype" w:hAnsi="Palatino Linotype" w:cs="Arial"/>
        </w:rPr>
        <w:t>sekolah</w:t>
      </w:r>
      <w:proofErr w:type="spellEnd"/>
      <w:r w:rsidR="00C62ADA" w:rsidRPr="00C62ADA">
        <w:rPr>
          <w:rFonts w:ascii="Palatino Linotype" w:hAnsi="Palatino Linotype" w:cs="Arial"/>
        </w:rPr>
        <w:t xml:space="preserve"> </w:t>
      </w:r>
      <w:proofErr w:type="spellStart"/>
      <w:r w:rsidR="00C62ADA" w:rsidRPr="00C62ADA">
        <w:rPr>
          <w:rFonts w:ascii="Palatino Linotype" w:hAnsi="Palatino Linotype" w:cs="Arial"/>
        </w:rPr>
        <w:t>lapang</w:t>
      </w:r>
      <w:proofErr w:type="spellEnd"/>
      <w:r w:rsidR="00C62ADA" w:rsidRPr="00C62ADA">
        <w:rPr>
          <w:rFonts w:ascii="Palatino Linotype" w:hAnsi="Palatino Linotype" w:cs="Arial"/>
        </w:rPr>
        <w:t xml:space="preserve">; </w:t>
      </w:r>
      <w:proofErr w:type="spellStart"/>
      <w:r w:rsidR="00C62ADA" w:rsidRPr="00C62ADA">
        <w:rPr>
          <w:rFonts w:ascii="Palatino Linotype" w:hAnsi="Palatino Linotype" w:cs="Arial"/>
        </w:rPr>
        <w:t>terpadu</w:t>
      </w:r>
      <w:proofErr w:type="spellEnd"/>
      <w:r w:rsidR="00C62ADA" w:rsidRPr="00C62ADA">
        <w:rPr>
          <w:rFonts w:ascii="Palatino Linotype" w:hAnsi="Palatino Linotype" w:cs="Arial"/>
          <w:lang w:eastAsia="en-US"/>
        </w:rPr>
        <w:t>.</w:t>
      </w:r>
    </w:p>
    <w:p w14:paraId="6F0412EF" w14:textId="77777777" w:rsidR="003C2461" w:rsidRPr="00C62ADA" w:rsidRDefault="003C2461">
      <w:pPr>
        <w:ind w:right="-1"/>
        <w:rPr>
          <w:rFonts w:ascii="Palatino Linotype" w:hAnsi="Palatino Linotype" w:cs="Arial"/>
        </w:rPr>
      </w:pPr>
    </w:p>
    <w:p w14:paraId="0A5749B9" w14:textId="77777777" w:rsidR="003C2461" w:rsidRPr="00C62ADA" w:rsidRDefault="00BC24B3">
      <w:pPr>
        <w:pStyle w:val="Abstrakjudul"/>
        <w:tabs>
          <w:tab w:val="center" w:pos="4819"/>
          <w:tab w:val="left" w:pos="5715"/>
        </w:tabs>
        <w:spacing w:after="0"/>
        <w:contextualSpacing/>
        <w:jc w:val="left"/>
        <w:rPr>
          <w:rFonts w:ascii="Palatino Linotype" w:hAnsi="Palatino Linotype" w:cs="Arial"/>
          <w:i w:val="0"/>
          <w:iCs w:val="0"/>
        </w:rPr>
      </w:pPr>
      <w:r w:rsidRPr="00C62ADA">
        <w:rPr>
          <w:rFonts w:ascii="Palatino Linotype" w:hAnsi="Palatino Linotype" w:cs="Arial"/>
          <w:b/>
          <w:i w:val="0"/>
          <w:iCs w:val="0"/>
        </w:rPr>
        <w:t>Abstract</w:t>
      </w:r>
    </w:p>
    <w:p w14:paraId="51B3EB17" w14:textId="77777777" w:rsidR="003C2461" w:rsidRPr="00C62ADA" w:rsidRDefault="00BC24B3">
      <w:pPr>
        <w:ind w:right="-1"/>
        <w:rPr>
          <w:rFonts w:ascii="Palatino Linotype" w:hAnsi="Palatino Linotype" w:cs="Arial"/>
          <w:bCs/>
        </w:rPr>
      </w:pPr>
      <w:r w:rsidRPr="00C62ADA">
        <w:rPr>
          <w:rFonts w:ascii="Palatino Linotype" w:hAnsi="Palatino Linotype" w:cs="Arial"/>
          <w:bCs/>
          <w:szCs w:val="18"/>
          <w:lang w:val="id-ID"/>
        </w:rPr>
        <w:t>PPAH (</w:t>
      </w:r>
      <w:r w:rsidRPr="00C62ADA">
        <w:rPr>
          <w:rFonts w:ascii="Palatino Linotype" w:hAnsi="Palatino Linotype" w:cs="Arial"/>
          <w:bCs/>
          <w:szCs w:val="18"/>
        </w:rPr>
        <w:t xml:space="preserve">Pos </w:t>
      </w:r>
      <w:proofErr w:type="spellStart"/>
      <w:r w:rsidRPr="00C62ADA">
        <w:rPr>
          <w:rFonts w:ascii="Palatino Linotype" w:hAnsi="Palatino Linotype" w:cs="Arial"/>
          <w:bCs/>
          <w:szCs w:val="18"/>
        </w:rPr>
        <w:t>Pelayanan</w:t>
      </w:r>
      <w:proofErr w:type="spellEnd"/>
      <w:r w:rsidRPr="00C62ADA">
        <w:rPr>
          <w:rFonts w:ascii="Palatino Linotype" w:hAnsi="Palatino Linotype" w:cs="Arial"/>
          <w:bCs/>
          <w:szCs w:val="18"/>
        </w:rPr>
        <w:t xml:space="preserve"> Agen Hayati</w:t>
      </w:r>
      <w:r w:rsidRPr="00C62ADA">
        <w:rPr>
          <w:rFonts w:ascii="Palatino Linotype" w:hAnsi="Palatino Linotype" w:cs="Arial"/>
          <w:bCs/>
          <w:szCs w:val="18"/>
          <w:lang w:val="id-ID"/>
        </w:rPr>
        <w:t xml:space="preserve">) is a non-governmental organization that has activities for the production of biological control agents. Biological control agents are an alternative to reduce dependence on synthetic fertilizers and pesticides. Biological agents are divided into bacteria, fungi, viruses, nematodes and useful insects. Purnama Village is a central cassava producing village. This service aims to carry out the cementation of biological agents in Purnama Village. The location of the service is located in Purnama Village, Tegalampel District, Bondowoso Regency. Implementation of activities includes cementation in several stages, namely: counseling on biological agents, strengthening PPAH institutions with discussion forums, and program evaluation. The result of this service is an increase in the knowledge capacity of farmers in Purnama Village regarding biological agents and their functions in plants. </w:t>
      </w:r>
      <w:r w:rsidRPr="00C62ADA">
        <w:rPr>
          <w:rFonts w:ascii="Palatino Linotype" w:hAnsi="Palatino Linotype" w:cs="Arial"/>
          <w:bCs/>
          <w:szCs w:val="18"/>
        </w:rPr>
        <w:t>Based on that,</w:t>
      </w:r>
      <w:r w:rsidRPr="00C62ADA">
        <w:rPr>
          <w:rFonts w:ascii="Palatino Linotype" w:hAnsi="Palatino Linotype" w:cs="Arial"/>
          <w:bCs/>
          <w:szCs w:val="18"/>
          <w:lang w:val="id-ID"/>
        </w:rPr>
        <w:t xml:space="preserve"> to increase the value of empowerment, through the PPAH institution it can increase opportunities and potential to synergize with stakeholders and government agencies. This service activity is a continuation program of previous activities regarding </w:t>
      </w:r>
      <w:r w:rsidRPr="00C62ADA">
        <w:rPr>
          <w:rFonts w:ascii="Palatino Linotype" w:hAnsi="Palatino Linotype" w:cs="Arial"/>
          <w:bCs/>
          <w:szCs w:val="18"/>
          <w:lang w:val="id-ID"/>
        </w:rPr>
        <w:lastRenderedPageBreak/>
        <w:t>assistance and production of biological agents. This service concludes that farmers are enthusiastic about increasing their capacity through strengthening PPAH institutions to increase cassava production and downstream capacity.</w:t>
      </w:r>
    </w:p>
    <w:p w14:paraId="7E4EA3A0" w14:textId="77777777" w:rsidR="003C2461" w:rsidRPr="00C62ADA" w:rsidRDefault="003C2461">
      <w:pPr>
        <w:ind w:right="-1"/>
        <w:jc w:val="center"/>
        <w:rPr>
          <w:rFonts w:ascii="Palatino Linotype" w:hAnsi="Palatino Linotype" w:cs="Arial"/>
        </w:rPr>
      </w:pPr>
    </w:p>
    <w:p w14:paraId="29E81BE6" w14:textId="6D9CAD41" w:rsidR="003C2461" w:rsidRPr="00C62ADA" w:rsidRDefault="00BC24B3">
      <w:pPr>
        <w:autoSpaceDE w:val="0"/>
        <w:autoSpaceDN w:val="0"/>
        <w:rPr>
          <w:rFonts w:ascii="Palatino Linotype" w:hAnsi="Palatino Linotype" w:cs="Arial"/>
          <w:iCs/>
          <w:lang w:eastAsia="en-US"/>
        </w:rPr>
      </w:pPr>
      <w:r w:rsidRPr="00C62ADA">
        <w:rPr>
          <w:rFonts w:ascii="Palatino Linotype" w:hAnsi="Palatino Linotype" w:cs="Arial"/>
          <w:b/>
          <w:bCs/>
          <w:iCs/>
          <w:lang w:eastAsia="en-US"/>
        </w:rPr>
        <w:t xml:space="preserve">Keywords: </w:t>
      </w:r>
      <w:r w:rsidR="00C62ADA" w:rsidRPr="00C62ADA">
        <w:rPr>
          <w:rFonts w:ascii="Palatino Linotype" w:hAnsi="Palatino Linotype" w:cs="Arial"/>
          <w:bCs/>
          <w:iCs/>
          <w:lang w:eastAsia="en-US"/>
        </w:rPr>
        <w:t xml:space="preserve">augmentation; field school; integrated; sustainable; and useful. </w:t>
      </w:r>
    </w:p>
    <w:p w14:paraId="48831A40" w14:textId="77777777" w:rsidR="003C2461" w:rsidRPr="00C62ADA" w:rsidRDefault="00BC24B3">
      <w:pPr>
        <w:autoSpaceDE w:val="0"/>
        <w:autoSpaceDN w:val="0"/>
        <w:ind w:left="1350" w:hanging="1350"/>
        <w:rPr>
          <w:rFonts w:ascii="Palatino Linotype" w:hAnsi="Palatino Linotype" w:cs="Arial"/>
          <w:lang w:eastAsia="en-US"/>
        </w:rPr>
      </w:pPr>
      <w:r w:rsidRPr="00C62ADA">
        <w:rPr>
          <w:rFonts w:ascii="Palatino Linotype" w:hAnsi="Palatino Linotype" w:cs="Arial"/>
          <w:noProof/>
          <w:lang w:eastAsia="en-US"/>
        </w:rPr>
        <mc:AlternateContent>
          <mc:Choice Requires="wps">
            <w:drawing>
              <wp:anchor distT="0" distB="0" distL="0" distR="0" simplePos="0" relativeHeight="2" behindDoc="0" locked="0" layoutInCell="1" allowOverlap="1" wp14:anchorId="1A5AEE34" wp14:editId="2D70FA4A">
                <wp:simplePos x="0" y="0"/>
                <wp:positionH relativeFrom="column">
                  <wp:posOffset>-5715</wp:posOffset>
                </wp:positionH>
                <wp:positionV relativeFrom="paragraph">
                  <wp:posOffset>146050</wp:posOffset>
                </wp:positionV>
                <wp:extent cx="5760085" cy="0"/>
                <wp:effectExtent l="18415" t="11430" r="12700" b="17145"/>
                <wp:wrapNone/>
                <wp:docPr id="102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85" cy="0"/>
                        </a:xfrm>
                        <a:prstGeom prst="straightConnector1">
                          <a:avLst/>
                        </a:prstGeom>
                        <a:ln w="1905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C1B6076" id="_x0000_t32" coordsize="21600,21600" o:spt="32" o:oned="t" path="m,l21600,21600e" filled="f">
                <v:path arrowok="t" fillok="f" o:connecttype="none"/>
                <o:lock v:ext="edit" shapetype="t"/>
              </v:shapetype>
              <v:shape id="AutoShape 2" o:spid="_x0000_s1026" type="#_x0000_t32" style="position:absolute;margin-left:-.45pt;margin-top:11.5pt;width:453.55pt;height:0;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" strokeweight="1.5pt">
                <o:lock v:ext="edit" shapetype="f"/>
              </v:shape>
            </w:pict>
          </mc:Fallback>
        </mc:AlternateContent>
      </w:r>
    </w:p>
    <w:p w14:paraId="6892DEF7" w14:textId="77777777" w:rsidR="003C2461" w:rsidRPr="00C62ADA" w:rsidRDefault="003C2461">
      <w:pPr>
        <w:autoSpaceDE w:val="0"/>
        <w:autoSpaceDN w:val="0"/>
        <w:ind w:left="1350" w:hanging="1350"/>
        <w:rPr>
          <w:rFonts w:ascii="Palatino Linotype" w:hAnsi="Palatino Linotype" w:cs="Arial"/>
          <w:lang w:eastAsia="en-US"/>
        </w:rPr>
      </w:pPr>
    </w:p>
    <w:p w14:paraId="2E1DA1AB" w14:textId="77777777" w:rsidR="003C2461" w:rsidRPr="00C62ADA" w:rsidRDefault="003C2461">
      <w:pPr>
        <w:autoSpaceDE w:val="0"/>
        <w:autoSpaceDN w:val="0"/>
        <w:ind w:left="1350" w:hanging="1350"/>
        <w:rPr>
          <w:rFonts w:ascii="Palatino Linotype" w:hAnsi="Palatino Linotype" w:cs="Arial"/>
          <w:lang w:eastAsia="en-US"/>
        </w:rPr>
        <w:sectPr w:rsidR="003C2461" w:rsidRPr="00C62ADA" w:rsidSect="009A121E">
          <w:headerReference w:type="even" r:id="rId12"/>
          <w:headerReference w:type="default" r:id="rId13"/>
          <w:footerReference w:type="even" r:id="rId14"/>
          <w:footerReference w:type="default" r:id="rId15"/>
          <w:headerReference w:type="first" r:id="rId16"/>
          <w:footerReference w:type="first" r:id="rId17"/>
          <w:type w:val="continuous"/>
          <w:pgSz w:w="11920" w:h="16840"/>
          <w:pgMar w:top="1418" w:right="1418" w:bottom="1418" w:left="1418" w:header="709" w:footer="709" w:gutter="0"/>
          <w:pgNumType w:start="1264"/>
          <w:cols w:space="720"/>
          <w:titlePg/>
          <w:docGrid w:linePitch="272"/>
        </w:sectPr>
      </w:pPr>
    </w:p>
    <w:p w14:paraId="41CFF024" w14:textId="77777777" w:rsidR="003C2461" w:rsidRPr="00C62ADA" w:rsidRDefault="00BC24B3">
      <w:pPr>
        <w:pStyle w:val="Bagian"/>
        <w:spacing w:before="0" w:after="0"/>
        <w:contextualSpacing/>
        <w:rPr>
          <w:rFonts w:ascii="Palatino Linotype" w:hAnsi="Palatino Linotype" w:cs="Arial"/>
          <w:sz w:val="24"/>
          <w:szCs w:val="32"/>
        </w:rPr>
      </w:pPr>
      <w:r w:rsidRPr="00C62ADA">
        <w:rPr>
          <w:rFonts w:ascii="Palatino Linotype" w:hAnsi="Palatino Linotype" w:cs="Arial"/>
          <w:sz w:val="24"/>
        </w:rPr>
        <w:t>PENDAHULUAN</w:t>
      </w:r>
    </w:p>
    <w:p w14:paraId="613C78CE" w14:textId="77777777" w:rsidR="003C2461" w:rsidRPr="00C62ADA" w:rsidRDefault="00BC24B3" w:rsidP="009A121E">
      <w:pPr>
        <w:ind w:firstLine="567"/>
        <w:rPr>
          <w:rFonts w:ascii="Palatino Linotype" w:hAnsi="Palatino Linotype" w:cs="Arial"/>
          <w:lang w:val="sv-SE"/>
        </w:rPr>
      </w:pPr>
      <w:r w:rsidRPr="00C62ADA">
        <w:rPr>
          <w:rFonts w:ascii="Palatino Linotype" w:hAnsi="Palatino Linotype" w:cs="Arial"/>
          <w:lang w:val="sv-SE"/>
        </w:rPr>
        <w:t>Program pengembangan desa binaan merupakan salah satu kegiatan keberlanjutan antara Universitas Jember dengan Pemerintah Kabupaten di Bondowoso. Desa Purnama terletak di Kecamatan Tegalampel, Kabupaten Bondowoso. Desa tersebut merupakan desa sentra singkong. Mayoritas petani selain menanam singkong, petani memiliki ternak dan kebun. Tipologi petani termasuk kategori intensif dalam penggunaan pupuk dan pestisida sintetis. Kondisi lahan cenderung kering dan banyak serangan hama uret (</w:t>
      </w:r>
      <w:r w:rsidRPr="00C62ADA">
        <w:rPr>
          <w:rFonts w:ascii="Palatino Linotype" w:hAnsi="Palatino Linotype" w:cs="Arial"/>
          <w:i/>
          <w:iCs/>
          <w:lang w:val="sv-SE"/>
        </w:rPr>
        <w:t>Lepidiota stigma</w:t>
      </w:r>
      <w:r w:rsidRPr="00C62ADA">
        <w:rPr>
          <w:rFonts w:ascii="Palatino Linotype" w:hAnsi="Palatino Linotype" w:cs="Arial"/>
          <w:lang w:val="sv-SE"/>
        </w:rPr>
        <w:t xml:space="preserve">). Sementara ini, ketika musim kemarau panjang, Desa Purnama sering mengalami krisis air bersih baik untuk kegiatan pertanian dan rumah tangga.  </w:t>
      </w:r>
    </w:p>
    <w:p w14:paraId="67F36DF8" w14:textId="7824BC8E" w:rsidR="003C2461" w:rsidRPr="00C62ADA" w:rsidRDefault="00BC24B3" w:rsidP="009A121E">
      <w:pPr>
        <w:ind w:firstLine="567"/>
        <w:rPr>
          <w:rFonts w:ascii="Palatino Linotype" w:hAnsi="Palatino Linotype" w:cs="Arial"/>
          <w:lang w:val="sv-SE"/>
        </w:rPr>
      </w:pPr>
      <w:r w:rsidRPr="00C62ADA">
        <w:rPr>
          <w:rFonts w:ascii="Palatino Linotype" w:hAnsi="Palatino Linotype" w:cs="Arial"/>
          <w:lang w:val="sv-SE"/>
        </w:rPr>
        <w:t xml:space="preserve">Tahun 2022 melalui kegiatan pengabdian skema Program Kemitraan Masyarakat (PKM), Universitas Jember telah memberikan pendampingan produksi agens pengendali hayati melalui transfer knowladge </w:t>
      </w:r>
      <w:r w:rsidRPr="00C62ADA">
        <w:rPr>
          <w:rFonts w:ascii="Palatino Linotype" w:hAnsi="Palatino Linotype" w:cs="Arial"/>
          <w:lang w:val="sv-SE"/>
        </w:rPr>
        <w:fldChar w:fldCharType="begin" w:fldLock="1"/>
      </w:r>
      <w:r w:rsidR="00CF740F" w:rsidRPr="00C62ADA">
        <w:rPr>
          <w:rFonts w:ascii="Palatino Linotype" w:hAnsi="Palatino Linotype" w:cs="Arial"/>
          <w:lang w:val="sv-SE"/>
        </w:rPr>
        <w:instrText>ADDIN CSL_CITATION {"citationItems":[{"id":"ITEM-1","itemData":{"DOI":"10.31004/abdidas.v4i1.746","abstract":"Batik tulis merupakan batik tradisional Indonesia yang paling baik dan tradisional. Proses pembuatan batik tulis melalui tahap-tahap yang rumit, selain juga tidak dijumpai pola ulang yang dikerjakan sama, artinya meski sedikit pasti ada perbedaan, misalnya sejumlah titik atau lengkungan garis. Kekurangan ini merupakan kelebihan dari hasil pekerjaan tangan, karena pada proses pembatikan jenis ini sering terjadi gerakan spontan yang merupakan faktor pembeda dengan batik cap. Disamping itu, untuk batik cap desain dasar batiknya telah ditentukan terlebih dahulu dan di buat pola-polanya dalam sebuah papan cap/pencetak. Sedangkan batik tulis dilakukan secara manual yaitu digambar dengan tangan oleh para pengrajin-pengrajin. Hasilnya tentu berbeda, batik cap lebih terpola, teratur namun terkesan kaku sedangkan batik tulis lebih terkesan dinamis karena kesan desainnya yang lebih luwes sesuai dengan kreasi yang menggambarnya.","author":[{"dropping-particle":"","family":"Wagiyana","given":"","non-dropping-particle":"","parse-names":false,"suffix":""},{"dropping-particle":"","family":"Alfarisy","given":"Fariz Kustiawan","non-dropping-particle":"","parse-names":false,"suffix":""},{"dropping-particle":"","family":"Suharto","given":"","non-dropping-particle":"","parse-names":false,"suffix":""},{"dropping-particle":"","family":"Merina","given":"Gusna","non-dropping-particle":"","parse-names":false,"suffix":""}],"container-title":"Jurnal Abdidas","id":"ITEM-1","issue":"1","issued":{"date-parts":[["2023"]]},"page":"44-49","title":"Pemberdayaan masyarakat melalui transfer knowledge untuk pengembangan Desa Sentra Singkong di Desa Purnama, Kecamatan Tegalampel, Bondowoso","type":"article-journal","volume":"4"},"uris":["http://www.mendeley.com/documents/?uuid=3a692334-a199-41bd-ab2f-7f4723914e28"]}],"mendeley":{"formattedCitation":"(Wagiyana, Alfarisy, Suharto, &amp; Merina, 2023)","plainTextFormattedCitation":"(Wagiyana, Alfarisy, Suharto, &amp; Merina, 2023)","previouslyFormattedCitation":"(Wagiyana et al., 2023)"},"properties":{"noteIndex":0},"schema":"https://github.com/citation-style-language/schema/raw/master/csl-citation.json"}</w:instrText>
      </w:r>
      <w:r w:rsidRPr="00C62ADA">
        <w:rPr>
          <w:rFonts w:ascii="Palatino Linotype" w:hAnsi="Palatino Linotype" w:cs="Arial"/>
          <w:lang w:val="sv-SE"/>
        </w:rPr>
        <w:fldChar w:fldCharType="separate"/>
      </w:r>
      <w:r w:rsidR="00CF740F" w:rsidRPr="00C62ADA">
        <w:rPr>
          <w:rFonts w:ascii="Palatino Linotype" w:hAnsi="Palatino Linotype" w:cs="Arial"/>
          <w:noProof/>
          <w:lang w:val="sv-SE"/>
        </w:rPr>
        <w:t>(Wagiyana, Alfarisy, Suharto, &amp; Merina, 2023)</w:t>
      </w:r>
      <w:r w:rsidRPr="00C62ADA">
        <w:rPr>
          <w:rFonts w:ascii="Palatino Linotype" w:hAnsi="Palatino Linotype" w:cs="Arial"/>
          <w:lang w:val="sv-SE"/>
        </w:rPr>
        <w:fldChar w:fldCharType="end"/>
      </w:r>
      <w:r w:rsidRPr="00C62ADA">
        <w:rPr>
          <w:rFonts w:ascii="Palatino Linotype" w:hAnsi="Palatino Linotype" w:cs="Arial"/>
          <w:lang w:val="sv-SE"/>
        </w:rPr>
        <w:t xml:space="preserve">. Kegiatan sebelumnya telah memetakan beberapa permasalahan yang dihadapi oleh sebagian besar petani di Desa Purnama. Permasalahan tersebut dalam kaitannya dengan produksi singkong terdiri dari: aspek pendidikan dan wawasan, produksi, serta kelembagaan. Petani singkong masih ketergantungan terhadap pestisida dan pupuk sintetis. Dampak pestisida sintetis pada jangka panjang menyebabkan beberapa permasalahan seperti penurunan kualitas air, resistensi hama dan penyakit, penurunan kualitas lahan serta residu tertinggal pada produk pertanian </w:t>
      </w:r>
      <w:r w:rsidRPr="00C62ADA">
        <w:rPr>
          <w:rFonts w:ascii="Palatino Linotype" w:hAnsi="Palatino Linotype" w:cs="Arial"/>
          <w:lang w:val="sv-SE"/>
        </w:rPr>
        <w:fldChar w:fldCharType="begin" w:fldLock="1"/>
      </w:r>
      <w:r w:rsidR="00CF740F" w:rsidRPr="00C62ADA">
        <w:rPr>
          <w:rFonts w:ascii="Palatino Linotype" w:hAnsi="Palatino Linotype" w:cs="Arial"/>
          <w:lang w:val="sv-SE"/>
        </w:rPr>
        <w:instrText>ADDIN CSL_CITATION {"citationItems":[{"id":"ITEM-1","itemData":{"DOI":"10.15243/jdmlm.2024.113.5597","ISSN":"25022458","abstract":"The current challenges of industrial agriculture focus on environmental safety. Water quality is an indicator of environmental sustainability. The cultivation system has an impact on water quality. The aim of this study is to assess the water quality of agricultural systems. Anthropogenically, agricultural activities have an impact on environmental aspects. Identification of agricultural systems is clustered into organic and non-organic agriculture. The agricultural system in Indonesia is regulated based on SNI 6729;2016. Water sampling was carried out at three points, including upstream, middle (irrigation), and downstream (river). Water sampling at each point was repeated three times. Assessment of the physical quality of water using the Combo Quality Meter. Water samples for chemical and biological analysis at the Environmental Laboratory, Perum. Jasa Tirta 1. Determination of water quality standards refers to Government Regulation No. 82 of 2001. In the upstream section, pollution can be seen in the biological oxygen demand (BOD) indicator, with an average of 15.03 mg L-1 for organic and conventional systems. The phosphate indicator averaged 1.96 mg L-1. In the middle section (irrigation), the pollution indicators for BOD, phosphate, and total Coliform parameters were 6.76 mg L-1 for the organic system, 7.37 mg L-1 for the non-organic system, and 1,290 CFU mL-1. In the downstream (river), pollution indicators consist of total suspended solids (TSS), BOD, chemical oxygen demand (COD), and total Coliform. Anthropogenic identification for clustering agricultural systems at the research location uses stratified disproportional sampling. The results of this research provide recommendations for water quality management for sustainable agricultural environmental management.","author":[{"dropping-particle":"","family":"Hani","given":"Evita Soliha","non-dropping-particle":"","parse-names":false,"suffix":""},{"dropping-particle":"","family":"Alfarisy","given":"Fariz Kustiawan","non-dropping-particle":"","parse-names":false,"suffix":""},{"dropping-particle":"","family":"Widuri","given":"Laily Ilman","non-dropping-particle":"","parse-names":false,"suffix":""},{"dropping-particle":"","family":"Soeparjono","given":"Sigit","non-dropping-particle":"","parse-names":false,"suffix":""},{"dropping-particle":"","family":"Muhlison","given":"Wildan","non-dropping-particle":"","parse-names":false,"suffix":""},{"dropping-particle":"","family":"Saputra","given":"Tri Wahyu","non-dropping-particle":"","parse-names":false,"suffix":""},{"dropping-particle":"","family":"Yulianto","given":"Roni","non-dropping-particle":"","parse-names":false,"suffix":""}],"container-title":"Journal of Degraded and Mining Lands Management","id":"ITEM-1","issue":"3","issued":{"date-parts":[["2024"]]},"page":"5597-5609","title":"Assessment of water quality in agricultural systems in Candipuro, Lumajang Regency, East Java, Indonesia","type":"article-journal","volume":"11"},"uris":["http://www.mendeley.com/documents/?uuid=7068d9c0-18e0-45e5-827c-70bb6a0cb3d8"]},{"id":"ITEM-2","itemData":{"DOI":"10.21082/jpptp.v35n2.2016.p99-108","ISSN":"2541-5166","abstract":"Research on brown planthopper (BPH), (Nilaparvata lugens (Stal.) resistant to insecticide using dipping method was carried out in the wet season (WS) of 2011/2012 at Indonesian Center for Rice Research, Sukamandi. BPH field population from Sukamandi, West Java, known as Sukamandi BPH population and Juwiring, Central Java, as Juwiring BPH population, were measured their degree of resistance to insecticides to be compared with the BPH biotype 1 of screen house population. The insecticides used were imidacloprid, ethiprole, thiamethoxam, fipronil, BPMC, MIPC, buprofezin, cypermethrin and cyhalothrin. The resistance ratios (RR) were measured by LC50 of BPH from fields/LC50 of BPH from screen house. Results showed that Sukamandi BPH population was moderately resistance to imidacloprid and cypermethrin, but was low resistance to buprofezin, and was decreasing into susceptibility to fipronil, thiamethoxam and cyhalothrin, where as to ethiprole, BPMC dan MIPC the Sukamandi BPH was still susceptible. The Juwiring BPH population was low resistance to imidacloprid, buprofezin, cypermethrin and cyhalothrin, but the Juwiring BPH was decreasing into susceptibility to BPMC, ethiprole and fipronil. The population was still susceptible to thiamethoxam and MIPC.","author":[{"dropping-particle":"","family":"Baehaki","given":"S. E.","non-dropping-particle":"","parse-names":false,"suffix":""},{"dropping-particle":"","family":"Iswanto","given":"E. H.","non-dropping-particle":"","parse-names":false,"suffix":""},{"dropping-particle":"","family":"Munawar","given":"D.","non-dropping-particle":"","parse-names":false,"suffix":""}],"container-title":"Jurnal Penelitian Pertanian Tanaman Pangan","id":"ITEM-2","issue":"2","issued":{"date-parts":[["2016"]]},"page":"99-108","title":"Resistensi wereng cokelat terhadap insektisida yang beredar di sentra produksi padi","type":"article-journal","volume":"35"},"uris":["http://www.mendeley.com/documents/?uuid=8293e063-93d4-4d32-ac2f-c4779bebbfb7"]},{"id":"ITEM-3","itemData":{"DOI":"10.15243/jdmlm.2023.104.4659","author":[{"dropping-particle":"","family":"Basuki","given":"","non-dropping-particle":"","parse-names":false,"suffix":""},{"dropping-particle":"","family":"Hermiyanto","given":"Bambang","non-dropping-particle":"","parse-names":false,"suffix":""},{"dropping-particle":"","family":"Budiman","given":"Subhan Arif","non-dropping-particle":"","parse-names":false,"suffix":""},{"dropping-particle":"","family":"Alfarisy","given":"Fariz Kustiawan","non-dropping-particle":"","parse-names":false,"suffix":""}],"container-title":"Journal of Degraded and Mining Lands Management","id":"ITEM-3","issue":"4","issued":{"date-parts":[["2023"]]},"page":"4659-4672","title":"The evaluation of land use cover changes through the composite approach of Landsat 8 and the land use capability index for the Bedadung watershed","type":"article-journal","volume":"10"},"uris":["http://www.mendeley.com/documents/?uuid=fca749ee-aba0-41ba-a64e-1739f9f21f00"]}],"mendeley":{"formattedCitation":"(Baehaki, Iswanto, &amp; Munawar, 2016; Basuki, Hermiyanto, Budiman, &amp; Alfarisy, 2023; Hani et al., 2024)","plainTextFormattedCitation":"(Baehaki, Iswanto, &amp; Munawar, 2016; Basuki, Hermiyanto, Budiman, &amp; Alfarisy, 2023; Hani et al., 2024)","previouslyFormattedCitation":"(Baehaki et al., 2016; Basuki et al., 2023; Hani et al., 2024)"},"properties":{"noteIndex":0},"schema":"https://github.com/citation-style-language/schema/raw/master/csl-citation.json"}</w:instrText>
      </w:r>
      <w:r w:rsidRPr="00C62ADA">
        <w:rPr>
          <w:rFonts w:ascii="Palatino Linotype" w:hAnsi="Palatino Linotype" w:cs="Arial"/>
          <w:lang w:val="sv-SE"/>
        </w:rPr>
        <w:fldChar w:fldCharType="separate"/>
      </w:r>
      <w:r w:rsidR="00CF740F" w:rsidRPr="00C62ADA">
        <w:rPr>
          <w:rFonts w:ascii="Palatino Linotype" w:hAnsi="Palatino Linotype" w:cs="Arial"/>
          <w:noProof/>
          <w:lang w:val="sv-SE"/>
        </w:rPr>
        <w:t>(Baehaki, Iswanto, &amp; Munawar, 2016; Basuki, Hermiyanto, Budiman, &amp; Alfarisy, 2023; Hani et al., 2024)</w:t>
      </w:r>
      <w:r w:rsidRPr="00C62ADA">
        <w:rPr>
          <w:rFonts w:ascii="Palatino Linotype" w:hAnsi="Palatino Linotype" w:cs="Arial"/>
          <w:lang w:val="sv-SE"/>
        </w:rPr>
        <w:fldChar w:fldCharType="end"/>
      </w:r>
      <w:r w:rsidRPr="00C62ADA">
        <w:rPr>
          <w:rFonts w:ascii="Palatino Linotype" w:hAnsi="Palatino Linotype" w:cs="Arial"/>
          <w:lang w:val="sv-SE"/>
        </w:rPr>
        <w:t xml:space="preserve">. Produk APH (Agens Pengendali Hayati) yang bisa dikembangkan bisa dari golongan jamur, bakteri, nematoda, serangga berguna, dan pestisida nabati </w:t>
      </w:r>
      <w:r w:rsidRPr="00C62ADA">
        <w:rPr>
          <w:rFonts w:ascii="Palatino Linotype" w:hAnsi="Palatino Linotype" w:cs="Arial"/>
          <w:lang w:val="sv-SE"/>
        </w:rPr>
        <w:fldChar w:fldCharType="begin" w:fldLock="1"/>
      </w:r>
      <w:r w:rsidR="00CF740F" w:rsidRPr="00C62ADA">
        <w:rPr>
          <w:rFonts w:ascii="Palatino Linotype" w:hAnsi="Palatino Linotype" w:cs="Arial"/>
          <w:lang w:val="sv-SE"/>
        </w:rPr>
        <w:instrText>ADDIN CSL_CITATION {"citationItems":[{"id":"ITEM-1","itemData":{"DOI":"10.31764/jpmb.v8i1.21214","author":[{"dropping-particle":"","family":"Pradana","given":"Ankardiansyah Pandu","non-dropping-particle":"","parse-names":false,"suffix":""},{"dropping-particle":"","family":"Masnilah","given":"Rachmi","non-dropping-particle":"","parse-names":false,"suffix":""},{"dropping-particle":"","family":"Izzatika","given":"Zidna Nurul","non-dropping-particle":"","parse-names":false,"suffix":""},{"dropping-particle":"","family":"Hoesain","given":"Mohammad","non-dropping-particle":"","parse-names":false,"suffix":""},{"dropping-particle":"","family":"Hasjim","given":"Saifuddin","non-dropping-particle":"","parse-names":false,"suffix":""},{"dropping-particle":"","family":"Wagiyana","given":"","non-dropping-particle":"","parse-names":false,"suffix":""},{"dropping-particle":"","family":"Suharto","given":"","non-dropping-particle":"","parse-names":false,"suffix":""},{"dropping-particle":"","family":"Alfarisy","given":"Fariz Kustiawan","non-dropping-particle":"","parse-names":false,"suffix":""},{"dropping-particle":"","family":"Irawan","given":"Bambang","non-dropping-particle":"","parse-names":false,"suffix":""}],"container-title":"SELAPARANG: Jurnal Pengabdian Masyarakat Berkemajuan","id":"ITEM-1","issue":"1","issued":{"date-parts":[["2024"]]},"page":"410-420","title":"Manajemen kesehatan tanaman hortikultura di desa Sukorambi kabupaten Jember","type":"article-journal","volume":"8"},"uris":["http://www.mendeley.com/documents/?uuid=be35deed-992f-4970-8f8a-3c80c32d9461"]},{"id":"ITEM-2","itemData":{"DOI":"10.1051/e3sconf/202337307006","ISSN":"22671242","abstract":"Spodoptera exigua is one of main pest for horticulture crops. In sustainability agriculture, entomopathogenic like Beauveria bassiana and Metharizium anisopliae are solution to control this pest. This study aimed to examine the compatibility between the entomopathogenic fungus Beauveria bassiana and the vegetable insecticide neem leaf extract against the larvae of Spodoptera exigua. Value LC 50 single testing B. bassiana and neem leaf extract respectively is 0.08% (y=1,65x + 0.16) and 0.627% (y=1,59x-1.02). While the value of LC 50 treatment. combinations B. bassiana with neem leaf extract is 0.079% (y = 1,22x + 1.45). Based on the value of LC 50, it is known that the LC 50 value of the combination treatment is smaller than the LC 50 value of the single treatment, this indicates that the combination treatment has a higher toxicity than the combination treatment in killing S. exigua larvae. The LT 50 values from the LC 50 obtained from the single test of B. bassiana and neem leaf extract were 7.96 days and 6.1 days, respectively. While the value of LT 50 from LC 50 obtained from testing the combination of B. bassiana with neem leaf extract was 5.79 days. Based on the LT 50 value, it can be seen that the LT 50 value of the combination treatment is smaller than the LT 50 value of the single treatment.","author":[{"dropping-particle":"","family":"Prastiwi","given":"Santi","non-dropping-particle":"","parse-names":false,"suffix":""},{"dropping-particle":"","family":"Wagiyana","given":"Wagiyana","non-dropping-particle":"","parse-names":false,"suffix":""},{"dropping-particle":"","family":"Alfarisy","given":"Fariz Kustiawan","non-dropping-particle":"","parse-names":false,"suffix":""}],"container-title":"E3S Web of Conferences","id":"ITEM-2","issued":{"date-parts":[["2023"]]},"page":"1-7","title":"Compatibility studies of entomopathogenic fungi and botanical pesticide for controlling Spodoptera exigua","type":"paper-conference","volume":"373"},"uris":["http://www.mendeley.com/documents/?uuid=8d08f32c-be86-4b5c-82f4-55971baadcad"]},{"id":"ITEM-3","itemData":{"DOI":"10.1080/23311932.2023.2229580","author":[{"dropping-particle":"","family":"Hoesain","given":"Mohammad","non-dropping-particle":"","parse-names":false,"suffix":""},{"dropping-particle":"","family":"Suharto","given":"","non-dropping-particle":"","parse-names":false,"suffix":""},{"dropping-particle":"","family":"Prastowo","given":"Sigit","non-dropping-particle":"","parse-names":false,"suffix":""},{"dropping-particle":"","family":"Pradana","given":"Ankardiansyah Pandu","non-dropping-particle":"","parse-names":false,"suffix":""},{"dropping-particle":"","family":"Alfarisy","given":"Fariz Kustiawan","non-dropping-particle":"","parse-names":false,"suffix":""},{"dropping-particle":"","family":"Adiwena","given":"Muh","non-dropping-particle":"","parse-names":false,"suffix":""}],"container-title":"Cogent Food &amp; Agriculture","id":"ITEM-3","issue":"1","issued":{"date-parts":[["2023"]]},"page":"1-12","publisher":"Cogent","title":"Investigating the plant metabolite potential as botanical insecticides against Spodoptera litura with different application methods","type":"article-journal","volume":"9"},"uris":["http://www.mendeley.com/documents/?uuid=73669df6-6737-4a7a-b533-cc3ad83f89dd"]}],"mendeley":{"formattedCitation":"(Hoesain et al., 2023; Pradana et al., 2024; Prastiwi, Wagiyana, &amp; Alfarisy, 2023)","plainTextFormattedCitation":"(Hoesain et al., 2023; Pradana et al., 2024; Prastiwi, Wagiyana, &amp; Alfarisy, 2023)","previouslyFormattedCitation":"(Hoesain et al., 2023; Pradana et al., 2024; Prastiwi et al., 2023)"},"properties":{"noteIndex":0},"schema":"https://github.com/citation-style-language/schema/raw/master/csl-citation.json"}</w:instrText>
      </w:r>
      <w:r w:rsidRPr="00C62ADA">
        <w:rPr>
          <w:rFonts w:ascii="Palatino Linotype" w:hAnsi="Palatino Linotype" w:cs="Arial"/>
          <w:lang w:val="sv-SE"/>
        </w:rPr>
        <w:fldChar w:fldCharType="separate"/>
      </w:r>
      <w:r w:rsidR="00CF740F" w:rsidRPr="00C62ADA">
        <w:rPr>
          <w:rFonts w:ascii="Palatino Linotype" w:hAnsi="Palatino Linotype" w:cs="Arial"/>
          <w:noProof/>
          <w:lang w:val="sv-SE"/>
        </w:rPr>
        <w:t>(Hoesain et al., 2023; Pradana et al., 2024; Prastiwi, Wagiyana, &amp; Alfarisy, 2023)</w:t>
      </w:r>
      <w:r w:rsidRPr="00C62ADA">
        <w:rPr>
          <w:rFonts w:ascii="Palatino Linotype" w:hAnsi="Palatino Linotype" w:cs="Arial"/>
          <w:lang w:val="sv-SE"/>
        </w:rPr>
        <w:fldChar w:fldCharType="end"/>
      </w:r>
      <w:r w:rsidRPr="00C62ADA">
        <w:rPr>
          <w:rFonts w:ascii="Palatino Linotype" w:hAnsi="Palatino Linotype" w:cs="Arial"/>
          <w:lang w:val="sv-SE"/>
        </w:rPr>
        <w:t xml:space="preserve">. </w:t>
      </w:r>
    </w:p>
    <w:p w14:paraId="00CEBBF5" w14:textId="77777777" w:rsidR="003C2461" w:rsidRPr="00C62ADA" w:rsidRDefault="00BC24B3" w:rsidP="009A121E">
      <w:pPr>
        <w:ind w:firstLine="567"/>
        <w:rPr>
          <w:rFonts w:ascii="Palatino Linotype" w:hAnsi="Palatino Linotype" w:cs="Arial"/>
          <w:lang w:val="sv-SE"/>
        </w:rPr>
      </w:pPr>
      <w:r w:rsidRPr="00C62ADA">
        <w:rPr>
          <w:rFonts w:ascii="Palatino Linotype" w:hAnsi="Palatino Linotype" w:cs="Arial"/>
          <w:lang w:val="sv-SE"/>
        </w:rPr>
        <w:t xml:space="preserve">Petani di Desa Purnama memiliki kendala kurangnya partisipasi terhadap fungsi kelembagaan seperti Kelompok Tani. Masyarakat atau petani singkong cenderung beraktivitas dengan sendirinya untuk budidaya singkong. Sementara itu peran PPL (Petugas Penyuluh Lapang) dan POPT (Pengamat Organisme Penganggu Tanaman) dibutuhkan untuk pendampingan. Permasalahan serangan hama uret serta pertumbuhan tanaman singkong yang belum optimal menjadi masalah berkepanjangan bagi petani di Desa Purnama. Solusi yang ditawarkan oleh perguruan tinggi adalah pemanfaatan APH untuk meningkatkan produksi tanaman singkong. Kelangkaan pupuk serta pestisida sintetis yang mahal membuat petani semakin mengalami kesulitan. Selain itu, fungsi kelembagaan tani belum optimal, PPAH belum pernah dibentuk. Kesadaran petani masih perlu ditingkatkan untuk menyelesaikan beberapa kendala yang dihadapi hingga saat ini. Diperlukan kerjasama antar elemen seperti petani singkong, pemerintah desa, POPT, dan PPL setempat untuk bersama sama berdiskusi dalam menyelesaikan permasalahan yang dialami oleh petani singkong. Tim Universitas Jember berinisiasi dalam memberikan pendampingan melalui pengabdian program desa binaan. </w:t>
      </w:r>
    </w:p>
    <w:p w14:paraId="160D58F5" w14:textId="77777777" w:rsidR="003C2461" w:rsidRPr="00C62ADA" w:rsidRDefault="00BC24B3" w:rsidP="009A121E">
      <w:pPr>
        <w:ind w:firstLine="567"/>
        <w:rPr>
          <w:rFonts w:ascii="Palatino Linotype" w:hAnsi="Palatino Linotype" w:cs="Arial"/>
          <w:lang w:val="sv-SE"/>
        </w:rPr>
      </w:pPr>
      <w:r w:rsidRPr="00C62ADA">
        <w:rPr>
          <w:rFonts w:ascii="Palatino Linotype" w:hAnsi="Palatino Linotype" w:cs="Arial"/>
          <w:lang w:val="sv-SE"/>
        </w:rPr>
        <w:t xml:space="preserve">Tujuan pengabdian ini adalah melakukan disemenasi APH melalui penguatan kelembagaan PPAH untuk meningkatkan produksi tanaman singkong. Selain itu program desa binanan ini akan memberikan pendampingan dan penyuluhan dalam rangka meningkatkan kapasitas pengetahuan dan wawasan petani singkong di Desa Purnama. </w:t>
      </w:r>
    </w:p>
    <w:p w14:paraId="4B0A303B" w14:textId="77777777" w:rsidR="00C62ADA" w:rsidRPr="00C62ADA" w:rsidRDefault="00C62ADA">
      <w:pPr>
        <w:rPr>
          <w:rFonts w:ascii="Palatino Linotype" w:hAnsi="Palatino Linotype" w:cs="Arial"/>
          <w:lang w:val="sv-SE"/>
        </w:rPr>
      </w:pPr>
    </w:p>
    <w:p w14:paraId="2737C3B7" w14:textId="77777777" w:rsidR="003C2461" w:rsidRPr="00C62ADA" w:rsidRDefault="00BC24B3">
      <w:pPr>
        <w:pStyle w:val="Bagian"/>
        <w:spacing w:before="0" w:after="0"/>
        <w:contextualSpacing/>
        <w:rPr>
          <w:rFonts w:ascii="Palatino Linotype" w:hAnsi="Palatino Linotype" w:cs="Arial"/>
          <w:sz w:val="24"/>
          <w:szCs w:val="32"/>
        </w:rPr>
      </w:pPr>
      <w:r w:rsidRPr="00C62ADA">
        <w:rPr>
          <w:rFonts w:ascii="Palatino Linotype" w:hAnsi="Palatino Linotype" w:cs="Arial"/>
          <w:sz w:val="24"/>
        </w:rPr>
        <w:t>METODE</w:t>
      </w:r>
      <w:r w:rsidRPr="00C62ADA">
        <w:rPr>
          <w:rFonts w:ascii="Palatino Linotype" w:hAnsi="Palatino Linotype" w:cs="Arial"/>
          <w:sz w:val="24"/>
          <w:szCs w:val="32"/>
        </w:rPr>
        <w:t xml:space="preserve"> </w:t>
      </w:r>
    </w:p>
    <w:p w14:paraId="215C1DBC" w14:textId="77777777" w:rsidR="003C2461" w:rsidRPr="00C62ADA" w:rsidRDefault="00BC24B3">
      <w:pPr>
        <w:jc w:val="left"/>
        <w:rPr>
          <w:rFonts w:ascii="Palatino Linotype" w:hAnsi="Palatino Linotype" w:cs="Arial"/>
          <w:b/>
          <w:sz w:val="22"/>
          <w:szCs w:val="22"/>
          <w:lang w:val="sv-SE"/>
        </w:rPr>
      </w:pPr>
      <w:r w:rsidRPr="00C62ADA">
        <w:rPr>
          <w:rFonts w:ascii="Palatino Linotype" w:hAnsi="Palatino Linotype" w:cs="Arial"/>
          <w:b/>
          <w:sz w:val="22"/>
          <w:szCs w:val="22"/>
          <w:lang w:val="sv-SE"/>
        </w:rPr>
        <w:t>Lokasi Pengabdian</w:t>
      </w:r>
    </w:p>
    <w:p w14:paraId="65ED73BF" w14:textId="77777777" w:rsidR="003C2461" w:rsidRDefault="00BC24B3" w:rsidP="009A121E">
      <w:pPr>
        <w:ind w:firstLine="567"/>
        <w:rPr>
          <w:rFonts w:ascii="Palatino Linotype" w:hAnsi="Palatino Linotype" w:cs="Arial"/>
        </w:rPr>
      </w:pPr>
      <w:r w:rsidRPr="00C62ADA">
        <w:rPr>
          <w:rFonts w:ascii="Palatino Linotype" w:hAnsi="Palatino Linotype" w:cs="Arial"/>
        </w:rPr>
        <w:t xml:space="preserve">Lokasi </w:t>
      </w:r>
      <w:proofErr w:type="spellStart"/>
      <w:r w:rsidRPr="00C62ADA">
        <w:rPr>
          <w:rFonts w:ascii="Palatino Linotype" w:hAnsi="Palatino Linotype" w:cs="Arial"/>
        </w:rPr>
        <w:t>pengabdian</w:t>
      </w:r>
      <w:proofErr w:type="spellEnd"/>
      <w:r w:rsidRPr="00C62ADA">
        <w:rPr>
          <w:rFonts w:ascii="Palatino Linotype" w:hAnsi="Palatino Linotype" w:cs="Arial"/>
        </w:rPr>
        <w:t xml:space="preserve"> </w:t>
      </w:r>
      <w:proofErr w:type="spellStart"/>
      <w:r w:rsidRPr="00C62ADA">
        <w:rPr>
          <w:rFonts w:ascii="Palatino Linotype" w:hAnsi="Palatino Linotype" w:cs="Arial"/>
        </w:rPr>
        <w:t>terletak</w:t>
      </w:r>
      <w:proofErr w:type="spellEnd"/>
      <w:r w:rsidRPr="00C62ADA">
        <w:rPr>
          <w:rFonts w:ascii="Palatino Linotype" w:hAnsi="Palatino Linotype" w:cs="Arial"/>
        </w:rPr>
        <w:t xml:space="preserve"> di Desa Purnama, </w:t>
      </w:r>
      <w:proofErr w:type="spellStart"/>
      <w:r w:rsidRPr="00C62ADA">
        <w:rPr>
          <w:rFonts w:ascii="Palatino Linotype" w:hAnsi="Palatino Linotype" w:cs="Arial"/>
        </w:rPr>
        <w:t>Kecamatan</w:t>
      </w:r>
      <w:proofErr w:type="spellEnd"/>
      <w:r w:rsidRPr="00C62ADA">
        <w:rPr>
          <w:rFonts w:ascii="Palatino Linotype" w:hAnsi="Palatino Linotype" w:cs="Arial"/>
        </w:rPr>
        <w:t xml:space="preserve"> </w:t>
      </w:r>
      <w:proofErr w:type="spellStart"/>
      <w:r w:rsidRPr="00C62ADA">
        <w:rPr>
          <w:rFonts w:ascii="Palatino Linotype" w:hAnsi="Palatino Linotype" w:cs="Arial"/>
        </w:rPr>
        <w:t>Tegalampel</w:t>
      </w:r>
      <w:proofErr w:type="spellEnd"/>
      <w:r w:rsidRPr="00C62ADA">
        <w:rPr>
          <w:rFonts w:ascii="Palatino Linotype" w:hAnsi="Palatino Linotype" w:cs="Arial"/>
        </w:rPr>
        <w:t xml:space="preserve">, </w:t>
      </w:r>
      <w:proofErr w:type="spellStart"/>
      <w:r w:rsidRPr="00C62ADA">
        <w:rPr>
          <w:rFonts w:ascii="Palatino Linotype" w:hAnsi="Palatino Linotype" w:cs="Arial"/>
        </w:rPr>
        <w:t>Kabupaten</w:t>
      </w:r>
      <w:proofErr w:type="spellEnd"/>
      <w:r w:rsidRPr="00C62ADA">
        <w:rPr>
          <w:rFonts w:ascii="Palatino Linotype" w:hAnsi="Palatino Linotype" w:cs="Arial"/>
        </w:rPr>
        <w:t xml:space="preserve"> </w:t>
      </w:r>
      <w:proofErr w:type="spellStart"/>
      <w:r w:rsidRPr="00C62ADA">
        <w:rPr>
          <w:rFonts w:ascii="Palatino Linotype" w:hAnsi="Palatino Linotype" w:cs="Arial"/>
        </w:rPr>
        <w:t>Bondowoso</w:t>
      </w:r>
      <w:proofErr w:type="spellEnd"/>
      <w:r w:rsidRPr="00C62ADA">
        <w:rPr>
          <w:rFonts w:ascii="Palatino Linotype" w:hAnsi="Palatino Linotype" w:cs="Arial"/>
        </w:rPr>
        <w:t xml:space="preserve"> (Gambar 1). </w:t>
      </w:r>
      <w:proofErr w:type="spellStart"/>
      <w:r w:rsidRPr="00C62ADA">
        <w:rPr>
          <w:rFonts w:ascii="Palatino Linotype" w:hAnsi="Palatino Linotype" w:cs="Arial"/>
        </w:rPr>
        <w:t>Kegiatan</w:t>
      </w:r>
      <w:proofErr w:type="spellEnd"/>
      <w:r w:rsidRPr="00C62ADA">
        <w:rPr>
          <w:rFonts w:ascii="Palatino Linotype" w:hAnsi="Palatino Linotype" w:cs="Arial"/>
        </w:rPr>
        <w:t xml:space="preserve"> </w:t>
      </w:r>
      <w:proofErr w:type="spellStart"/>
      <w:r w:rsidRPr="00C62ADA">
        <w:rPr>
          <w:rFonts w:ascii="Palatino Linotype" w:hAnsi="Palatino Linotype" w:cs="Arial"/>
        </w:rPr>
        <w:t>dilakukan</w:t>
      </w:r>
      <w:proofErr w:type="spellEnd"/>
      <w:r w:rsidRPr="00C62ADA">
        <w:rPr>
          <w:rFonts w:ascii="Palatino Linotype" w:hAnsi="Palatino Linotype" w:cs="Arial"/>
        </w:rPr>
        <w:t xml:space="preserve"> di Kantor Desa </w:t>
      </w:r>
      <w:proofErr w:type="spellStart"/>
      <w:r w:rsidRPr="00C62ADA">
        <w:rPr>
          <w:rFonts w:ascii="Palatino Linotype" w:hAnsi="Palatino Linotype" w:cs="Arial"/>
        </w:rPr>
        <w:t>dengan</w:t>
      </w:r>
      <w:proofErr w:type="spellEnd"/>
      <w:r w:rsidRPr="00C62ADA">
        <w:rPr>
          <w:rFonts w:ascii="Palatino Linotype" w:hAnsi="Palatino Linotype" w:cs="Arial"/>
        </w:rPr>
        <w:t xml:space="preserve"> </w:t>
      </w:r>
      <w:proofErr w:type="spellStart"/>
      <w:r w:rsidRPr="00C62ADA">
        <w:rPr>
          <w:rFonts w:ascii="Palatino Linotype" w:hAnsi="Palatino Linotype" w:cs="Arial"/>
        </w:rPr>
        <w:t>dihadirkan</w:t>
      </w:r>
      <w:proofErr w:type="spellEnd"/>
      <w:r w:rsidRPr="00C62ADA">
        <w:rPr>
          <w:rFonts w:ascii="Palatino Linotype" w:hAnsi="Palatino Linotype" w:cs="Arial"/>
        </w:rPr>
        <w:t xml:space="preserve"> oleh </w:t>
      </w:r>
      <w:proofErr w:type="spellStart"/>
      <w:r w:rsidRPr="00C62ADA">
        <w:rPr>
          <w:rFonts w:ascii="Palatino Linotype" w:hAnsi="Palatino Linotype" w:cs="Arial"/>
        </w:rPr>
        <w:t>anggota</w:t>
      </w:r>
      <w:proofErr w:type="spellEnd"/>
      <w:r w:rsidRPr="00C62ADA">
        <w:rPr>
          <w:rFonts w:ascii="Palatino Linotype" w:hAnsi="Palatino Linotype" w:cs="Arial"/>
        </w:rPr>
        <w:t xml:space="preserve"> </w:t>
      </w:r>
      <w:proofErr w:type="spellStart"/>
      <w:r w:rsidRPr="00C62ADA">
        <w:rPr>
          <w:rFonts w:ascii="Palatino Linotype" w:hAnsi="Palatino Linotype" w:cs="Arial"/>
        </w:rPr>
        <w:t>kelompok</w:t>
      </w:r>
      <w:proofErr w:type="spellEnd"/>
      <w:r w:rsidRPr="00C62ADA">
        <w:rPr>
          <w:rFonts w:ascii="Palatino Linotype" w:hAnsi="Palatino Linotype" w:cs="Arial"/>
        </w:rPr>
        <w:t xml:space="preserve"> </w:t>
      </w:r>
      <w:proofErr w:type="spellStart"/>
      <w:r w:rsidRPr="00C62ADA">
        <w:rPr>
          <w:rFonts w:ascii="Palatino Linotype" w:hAnsi="Palatino Linotype" w:cs="Arial"/>
        </w:rPr>
        <w:t>tani</w:t>
      </w:r>
      <w:proofErr w:type="spellEnd"/>
      <w:r w:rsidRPr="00C62ADA">
        <w:rPr>
          <w:rFonts w:ascii="Palatino Linotype" w:hAnsi="Palatino Linotype" w:cs="Arial"/>
        </w:rPr>
        <w:t xml:space="preserve">, </w:t>
      </w:r>
      <w:proofErr w:type="spellStart"/>
      <w:r w:rsidRPr="00C62ADA">
        <w:rPr>
          <w:rFonts w:ascii="Palatino Linotype" w:hAnsi="Palatino Linotype" w:cs="Arial"/>
        </w:rPr>
        <w:t>aparatur</w:t>
      </w:r>
      <w:proofErr w:type="spellEnd"/>
      <w:r w:rsidRPr="00C62ADA">
        <w:rPr>
          <w:rFonts w:ascii="Palatino Linotype" w:hAnsi="Palatino Linotype" w:cs="Arial"/>
        </w:rPr>
        <w:t xml:space="preserve"> </w:t>
      </w:r>
      <w:proofErr w:type="spellStart"/>
      <w:r w:rsidRPr="00C62ADA">
        <w:rPr>
          <w:rFonts w:ascii="Palatino Linotype" w:hAnsi="Palatino Linotype" w:cs="Arial"/>
        </w:rPr>
        <w:t>desa</w:t>
      </w:r>
      <w:proofErr w:type="spellEnd"/>
      <w:r w:rsidRPr="00C62ADA">
        <w:rPr>
          <w:rFonts w:ascii="Palatino Linotype" w:hAnsi="Palatino Linotype" w:cs="Arial"/>
        </w:rPr>
        <w:t xml:space="preserve">, PPL, dan POPT. </w:t>
      </w:r>
      <w:proofErr w:type="spellStart"/>
      <w:r w:rsidRPr="00C62ADA">
        <w:rPr>
          <w:rFonts w:ascii="Palatino Linotype" w:hAnsi="Palatino Linotype" w:cs="Arial"/>
        </w:rPr>
        <w:t>Kegiatan</w:t>
      </w:r>
      <w:proofErr w:type="spellEnd"/>
      <w:r w:rsidRPr="00C62ADA">
        <w:rPr>
          <w:rFonts w:ascii="Palatino Linotype" w:hAnsi="Palatino Linotype" w:cs="Arial"/>
        </w:rPr>
        <w:t xml:space="preserve"> program </w:t>
      </w:r>
      <w:proofErr w:type="spellStart"/>
      <w:r w:rsidRPr="00C62ADA">
        <w:rPr>
          <w:rFonts w:ascii="Palatino Linotype" w:hAnsi="Palatino Linotype" w:cs="Arial"/>
        </w:rPr>
        <w:t>pengabdian</w:t>
      </w:r>
      <w:proofErr w:type="spellEnd"/>
      <w:r w:rsidRPr="00C62ADA">
        <w:rPr>
          <w:rFonts w:ascii="Palatino Linotype" w:hAnsi="Palatino Linotype" w:cs="Arial"/>
        </w:rPr>
        <w:t xml:space="preserve"> </w:t>
      </w:r>
      <w:proofErr w:type="spellStart"/>
      <w:r w:rsidRPr="00C62ADA">
        <w:rPr>
          <w:rFonts w:ascii="Palatino Linotype" w:hAnsi="Palatino Linotype" w:cs="Arial"/>
        </w:rPr>
        <w:t>desa</w:t>
      </w:r>
      <w:proofErr w:type="spellEnd"/>
      <w:r w:rsidRPr="00C62ADA">
        <w:rPr>
          <w:rFonts w:ascii="Palatino Linotype" w:hAnsi="Palatino Linotype" w:cs="Arial"/>
        </w:rPr>
        <w:t xml:space="preserve"> </w:t>
      </w:r>
      <w:proofErr w:type="spellStart"/>
      <w:r w:rsidRPr="00C62ADA">
        <w:rPr>
          <w:rFonts w:ascii="Palatino Linotype" w:hAnsi="Palatino Linotype" w:cs="Arial"/>
        </w:rPr>
        <w:t>biaan</w:t>
      </w:r>
      <w:proofErr w:type="spellEnd"/>
      <w:r w:rsidRPr="00C62ADA">
        <w:rPr>
          <w:rFonts w:ascii="Palatino Linotype" w:hAnsi="Palatino Linotype" w:cs="Arial"/>
        </w:rPr>
        <w:t xml:space="preserve"> </w:t>
      </w:r>
      <w:proofErr w:type="spellStart"/>
      <w:r w:rsidRPr="00C62ADA">
        <w:rPr>
          <w:rFonts w:ascii="Palatino Linotype" w:hAnsi="Palatino Linotype" w:cs="Arial"/>
        </w:rPr>
        <w:t>dilakukan</w:t>
      </w:r>
      <w:proofErr w:type="spellEnd"/>
      <w:r w:rsidRPr="00C62ADA">
        <w:rPr>
          <w:rFonts w:ascii="Palatino Linotype" w:hAnsi="Palatino Linotype" w:cs="Arial"/>
        </w:rPr>
        <w:t xml:space="preserve"> pada Bulan Juli-</w:t>
      </w:r>
      <w:r w:rsidRPr="00C62ADA">
        <w:rPr>
          <w:rFonts w:ascii="Palatino Linotype" w:hAnsi="Palatino Linotype" w:cs="Arial"/>
        </w:rPr>
        <w:lastRenderedPageBreak/>
        <w:t xml:space="preserve">November </w:t>
      </w:r>
      <w:proofErr w:type="spellStart"/>
      <w:r w:rsidRPr="00C62ADA">
        <w:rPr>
          <w:rFonts w:ascii="Palatino Linotype" w:hAnsi="Palatino Linotype" w:cs="Arial"/>
        </w:rPr>
        <w:t>Tahun</w:t>
      </w:r>
      <w:proofErr w:type="spellEnd"/>
      <w:r w:rsidRPr="00C62ADA">
        <w:rPr>
          <w:rFonts w:ascii="Palatino Linotype" w:hAnsi="Palatino Linotype" w:cs="Arial"/>
        </w:rPr>
        <w:t xml:space="preserve"> 2023. Jarak </w:t>
      </w:r>
      <w:proofErr w:type="spellStart"/>
      <w:r w:rsidRPr="00C62ADA">
        <w:rPr>
          <w:rFonts w:ascii="Palatino Linotype" w:hAnsi="Palatino Linotype" w:cs="Arial"/>
        </w:rPr>
        <w:t>lokasi</w:t>
      </w:r>
      <w:proofErr w:type="spellEnd"/>
      <w:r w:rsidRPr="00C62ADA">
        <w:rPr>
          <w:rFonts w:ascii="Palatino Linotype" w:hAnsi="Palatino Linotype" w:cs="Arial"/>
        </w:rPr>
        <w:t xml:space="preserve"> Universitas Jember </w:t>
      </w:r>
      <w:proofErr w:type="spellStart"/>
      <w:r w:rsidRPr="00C62ADA">
        <w:rPr>
          <w:rFonts w:ascii="Palatino Linotype" w:hAnsi="Palatino Linotype" w:cs="Arial"/>
        </w:rPr>
        <w:t>ke</w:t>
      </w:r>
      <w:proofErr w:type="spellEnd"/>
      <w:r w:rsidRPr="00C62ADA">
        <w:rPr>
          <w:rFonts w:ascii="Palatino Linotype" w:hAnsi="Palatino Linotype" w:cs="Arial"/>
        </w:rPr>
        <w:t xml:space="preserve"> </w:t>
      </w:r>
      <w:proofErr w:type="spellStart"/>
      <w:r w:rsidRPr="00C62ADA">
        <w:rPr>
          <w:rFonts w:ascii="Palatino Linotype" w:hAnsi="Palatino Linotype" w:cs="Arial"/>
        </w:rPr>
        <w:t>lokasi</w:t>
      </w:r>
      <w:proofErr w:type="spellEnd"/>
      <w:r w:rsidRPr="00C62ADA">
        <w:rPr>
          <w:rFonts w:ascii="Palatino Linotype" w:hAnsi="Palatino Linotype" w:cs="Arial"/>
        </w:rPr>
        <w:t xml:space="preserve"> </w:t>
      </w:r>
      <w:proofErr w:type="spellStart"/>
      <w:r w:rsidRPr="00C62ADA">
        <w:rPr>
          <w:rFonts w:ascii="Palatino Linotype" w:hAnsi="Palatino Linotype" w:cs="Arial"/>
        </w:rPr>
        <w:t>mitra</w:t>
      </w:r>
      <w:proofErr w:type="spellEnd"/>
      <w:r w:rsidRPr="00C62ADA">
        <w:rPr>
          <w:rFonts w:ascii="Palatino Linotype" w:hAnsi="Palatino Linotype" w:cs="Arial"/>
        </w:rPr>
        <w:t xml:space="preserve"> </w:t>
      </w:r>
      <w:proofErr w:type="spellStart"/>
      <w:r w:rsidRPr="00C62ADA">
        <w:rPr>
          <w:rFonts w:ascii="Palatino Linotype" w:hAnsi="Palatino Linotype" w:cs="Arial"/>
        </w:rPr>
        <w:t>sejauh</w:t>
      </w:r>
      <w:proofErr w:type="spellEnd"/>
      <w:r w:rsidRPr="00C62ADA">
        <w:rPr>
          <w:rFonts w:ascii="Palatino Linotype" w:hAnsi="Palatino Linotype" w:cs="Arial"/>
        </w:rPr>
        <w:t xml:space="preserve"> 40.4 KM </w:t>
      </w:r>
      <w:proofErr w:type="spellStart"/>
      <w:r w:rsidRPr="00C62ADA">
        <w:rPr>
          <w:rFonts w:ascii="Palatino Linotype" w:hAnsi="Palatino Linotype" w:cs="Arial"/>
        </w:rPr>
        <w:t>dengan</w:t>
      </w:r>
      <w:proofErr w:type="spellEnd"/>
      <w:r w:rsidRPr="00C62ADA">
        <w:rPr>
          <w:rFonts w:ascii="Palatino Linotype" w:hAnsi="Palatino Linotype" w:cs="Arial"/>
        </w:rPr>
        <w:t xml:space="preserve"> </w:t>
      </w:r>
      <w:proofErr w:type="spellStart"/>
      <w:r w:rsidRPr="00C62ADA">
        <w:rPr>
          <w:rFonts w:ascii="Palatino Linotype" w:hAnsi="Palatino Linotype" w:cs="Arial"/>
        </w:rPr>
        <w:t>waktu</w:t>
      </w:r>
      <w:proofErr w:type="spellEnd"/>
      <w:r w:rsidRPr="00C62ADA">
        <w:rPr>
          <w:rFonts w:ascii="Palatino Linotype" w:hAnsi="Palatino Linotype" w:cs="Arial"/>
        </w:rPr>
        <w:t xml:space="preserve"> </w:t>
      </w:r>
      <w:proofErr w:type="spellStart"/>
      <w:r w:rsidRPr="00C62ADA">
        <w:rPr>
          <w:rFonts w:ascii="Palatino Linotype" w:hAnsi="Palatino Linotype" w:cs="Arial"/>
        </w:rPr>
        <w:t>perjalanan</w:t>
      </w:r>
      <w:proofErr w:type="spellEnd"/>
      <w:r w:rsidRPr="00C62ADA">
        <w:rPr>
          <w:rFonts w:ascii="Palatino Linotype" w:hAnsi="Palatino Linotype" w:cs="Arial"/>
        </w:rPr>
        <w:t xml:space="preserve"> 1 jam 30 </w:t>
      </w:r>
      <w:proofErr w:type="spellStart"/>
      <w:r w:rsidRPr="00C62ADA">
        <w:rPr>
          <w:rFonts w:ascii="Palatino Linotype" w:hAnsi="Palatino Linotype" w:cs="Arial"/>
        </w:rPr>
        <w:t>menit</w:t>
      </w:r>
      <w:proofErr w:type="spellEnd"/>
      <w:r w:rsidRPr="00C62ADA">
        <w:rPr>
          <w:rFonts w:ascii="Palatino Linotype" w:hAnsi="Palatino Linotype" w:cs="Arial"/>
        </w:rPr>
        <w:t xml:space="preserve">. Desa Purnama </w:t>
      </w:r>
      <w:proofErr w:type="spellStart"/>
      <w:r w:rsidRPr="00C62ADA">
        <w:rPr>
          <w:rFonts w:ascii="Palatino Linotype" w:hAnsi="Palatino Linotype" w:cs="Arial"/>
        </w:rPr>
        <w:t>adalah</w:t>
      </w:r>
      <w:proofErr w:type="spellEnd"/>
      <w:r w:rsidRPr="00C62ADA">
        <w:rPr>
          <w:rFonts w:ascii="Palatino Linotype" w:hAnsi="Palatino Linotype" w:cs="Arial"/>
        </w:rPr>
        <w:t xml:space="preserve"> salah </w:t>
      </w:r>
      <w:proofErr w:type="spellStart"/>
      <w:r w:rsidRPr="00C62ADA">
        <w:rPr>
          <w:rFonts w:ascii="Palatino Linotype" w:hAnsi="Palatino Linotype" w:cs="Arial"/>
        </w:rPr>
        <w:t>satu</w:t>
      </w:r>
      <w:proofErr w:type="spellEnd"/>
      <w:r w:rsidRPr="00C62ADA">
        <w:rPr>
          <w:rFonts w:ascii="Palatino Linotype" w:hAnsi="Palatino Linotype" w:cs="Arial"/>
        </w:rPr>
        <w:t xml:space="preserve"> </w:t>
      </w:r>
      <w:proofErr w:type="spellStart"/>
      <w:r w:rsidRPr="00C62ADA">
        <w:rPr>
          <w:rFonts w:ascii="Palatino Linotype" w:hAnsi="Palatino Linotype" w:cs="Arial"/>
        </w:rPr>
        <w:t>desa</w:t>
      </w:r>
      <w:proofErr w:type="spellEnd"/>
      <w:r w:rsidRPr="00C62ADA">
        <w:rPr>
          <w:rFonts w:ascii="Palatino Linotype" w:hAnsi="Palatino Linotype" w:cs="Arial"/>
        </w:rPr>
        <w:t xml:space="preserve"> </w:t>
      </w:r>
      <w:proofErr w:type="spellStart"/>
      <w:r w:rsidRPr="00C62ADA">
        <w:rPr>
          <w:rFonts w:ascii="Palatino Linotype" w:hAnsi="Palatino Linotype" w:cs="Arial"/>
        </w:rPr>
        <w:t>sentra</w:t>
      </w:r>
      <w:proofErr w:type="spellEnd"/>
      <w:r w:rsidRPr="00C62ADA">
        <w:rPr>
          <w:rFonts w:ascii="Palatino Linotype" w:hAnsi="Palatino Linotype" w:cs="Arial"/>
        </w:rPr>
        <w:t xml:space="preserve"> </w:t>
      </w:r>
      <w:proofErr w:type="spellStart"/>
      <w:r w:rsidRPr="00C62ADA">
        <w:rPr>
          <w:rFonts w:ascii="Palatino Linotype" w:hAnsi="Palatino Linotype" w:cs="Arial"/>
        </w:rPr>
        <w:t>singkong</w:t>
      </w:r>
      <w:proofErr w:type="spellEnd"/>
      <w:r w:rsidRPr="00C62ADA">
        <w:rPr>
          <w:rFonts w:ascii="Palatino Linotype" w:hAnsi="Palatino Linotype" w:cs="Arial"/>
        </w:rPr>
        <w:t xml:space="preserve">. </w:t>
      </w:r>
      <w:proofErr w:type="spellStart"/>
      <w:r w:rsidRPr="00C62ADA">
        <w:rPr>
          <w:rFonts w:ascii="Palatino Linotype" w:hAnsi="Palatino Linotype" w:cs="Arial"/>
        </w:rPr>
        <w:t>Mayoritas</w:t>
      </w:r>
      <w:proofErr w:type="spellEnd"/>
      <w:r w:rsidRPr="00C62ADA">
        <w:rPr>
          <w:rFonts w:ascii="Palatino Linotype" w:hAnsi="Palatino Linotype" w:cs="Arial"/>
        </w:rPr>
        <w:t xml:space="preserve"> </w:t>
      </w:r>
      <w:proofErr w:type="spellStart"/>
      <w:r w:rsidRPr="00C62ADA">
        <w:rPr>
          <w:rFonts w:ascii="Palatino Linotype" w:hAnsi="Palatino Linotype" w:cs="Arial"/>
        </w:rPr>
        <w:t>petani</w:t>
      </w:r>
      <w:proofErr w:type="spellEnd"/>
      <w:r w:rsidRPr="00C62ADA">
        <w:rPr>
          <w:rFonts w:ascii="Palatino Linotype" w:hAnsi="Palatino Linotype" w:cs="Arial"/>
        </w:rPr>
        <w:t xml:space="preserve"> </w:t>
      </w:r>
      <w:proofErr w:type="spellStart"/>
      <w:r w:rsidRPr="00C62ADA">
        <w:rPr>
          <w:rFonts w:ascii="Palatino Linotype" w:hAnsi="Palatino Linotype" w:cs="Arial"/>
        </w:rPr>
        <w:t>menanam</w:t>
      </w:r>
      <w:proofErr w:type="spellEnd"/>
      <w:r w:rsidRPr="00C62ADA">
        <w:rPr>
          <w:rFonts w:ascii="Palatino Linotype" w:hAnsi="Palatino Linotype" w:cs="Arial"/>
        </w:rPr>
        <w:t xml:space="preserve"> </w:t>
      </w:r>
      <w:proofErr w:type="spellStart"/>
      <w:r w:rsidRPr="00C62ADA">
        <w:rPr>
          <w:rFonts w:ascii="Palatino Linotype" w:hAnsi="Palatino Linotype" w:cs="Arial"/>
        </w:rPr>
        <w:t>tanaman</w:t>
      </w:r>
      <w:proofErr w:type="spellEnd"/>
      <w:r w:rsidRPr="00C62ADA">
        <w:rPr>
          <w:rFonts w:ascii="Palatino Linotype" w:hAnsi="Palatino Linotype" w:cs="Arial"/>
        </w:rPr>
        <w:t xml:space="preserve"> </w:t>
      </w:r>
      <w:proofErr w:type="spellStart"/>
      <w:r w:rsidRPr="00C62ADA">
        <w:rPr>
          <w:rFonts w:ascii="Palatino Linotype" w:hAnsi="Palatino Linotype" w:cs="Arial"/>
        </w:rPr>
        <w:t>singkong</w:t>
      </w:r>
      <w:proofErr w:type="spellEnd"/>
      <w:r w:rsidRPr="00C62ADA">
        <w:rPr>
          <w:rFonts w:ascii="Palatino Linotype" w:hAnsi="Palatino Linotype" w:cs="Arial"/>
        </w:rPr>
        <w:t xml:space="preserve"> </w:t>
      </w:r>
      <w:proofErr w:type="spellStart"/>
      <w:r w:rsidRPr="00C62ADA">
        <w:rPr>
          <w:rFonts w:ascii="Palatino Linotype" w:hAnsi="Palatino Linotype" w:cs="Arial"/>
        </w:rPr>
        <w:t>dari</w:t>
      </w:r>
      <w:proofErr w:type="spellEnd"/>
      <w:r w:rsidRPr="00C62ADA">
        <w:rPr>
          <w:rFonts w:ascii="Palatino Linotype" w:hAnsi="Palatino Linotype" w:cs="Arial"/>
        </w:rPr>
        <w:t xml:space="preserve"> </w:t>
      </w:r>
      <w:proofErr w:type="spellStart"/>
      <w:r w:rsidRPr="00C62ADA">
        <w:rPr>
          <w:rFonts w:ascii="Palatino Linotype" w:hAnsi="Palatino Linotype" w:cs="Arial"/>
        </w:rPr>
        <w:t>turun</w:t>
      </w:r>
      <w:proofErr w:type="spellEnd"/>
      <w:r w:rsidRPr="00C62ADA">
        <w:rPr>
          <w:rFonts w:ascii="Palatino Linotype" w:hAnsi="Palatino Linotype" w:cs="Arial"/>
        </w:rPr>
        <w:t xml:space="preserve"> </w:t>
      </w:r>
      <w:proofErr w:type="spellStart"/>
      <w:r w:rsidRPr="00C62ADA">
        <w:rPr>
          <w:rFonts w:ascii="Palatino Linotype" w:hAnsi="Palatino Linotype" w:cs="Arial"/>
        </w:rPr>
        <w:t>temurun</w:t>
      </w:r>
      <w:proofErr w:type="spellEnd"/>
      <w:r w:rsidRPr="00C62ADA">
        <w:rPr>
          <w:rFonts w:ascii="Palatino Linotype" w:hAnsi="Palatino Linotype" w:cs="Arial"/>
        </w:rPr>
        <w:t xml:space="preserve">. </w:t>
      </w:r>
    </w:p>
    <w:p w14:paraId="032F77AB" w14:textId="77777777" w:rsidR="009A121E" w:rsidRPr="00C62ADA" w:rsidRDefault="009A121E" w:rsidP="009A121E">
      <w:pPr>
        <w:ind w:firstLine="567"/>
        <w:rPr>
          <w:rFonts w:ascii="Palatino Linotype" w:hAnsi="Palatino Linotype" w:cs="Arial"/>
          <w:lang w:val="id-ID"/>
        </w:rPr>
      </w:pPr>
    </w:p>
    <w:p w14:paraId="617E62A7" w14:textId="77777777" w:rsidR="003C2461" w:rsidRPr="00C62ADA" w:rsidRDefault="00BC24B3">
      <w:pPr>
        <w:rPr>
          <w:rFonts w:ascii="Palatino Linotype" w:hAnsi="Palatino Linotype" w:cs="Arial"/>
          <w:lang w:val="id-ID"/>
        </w:rPr>
      </w:pPr>
      <w:r w:rsidRPr="00C62ADA">
        <w:rPr>
          <w:rFonts w:ascii="Palatino Linotype" w:hAnsi="Palatino Linotype" w:cs="Arial"/>
          <w:noProof/>
          <w:lang w:eastAsia="en-US"/>
        </w:rPr>
        <w:drawing>
          <wp:inline distT="0" distB="0" distL="0" distR="0" wp14:anchorId="623EA19A" wp14:editId="17CA7E0B">
            <wp:extent cx="5768340" cy="4076064"/>
            <wp:effectExtent l="0" t="0" r="0" b="635"/>
            <wp:docPr id="102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8" cstate="print"/>
                    <a:srcRect/>
                    <a:stretch/>
                  </pic:blipFill>
                  <pic:spPr>
                    <a:xfrm>
                      <a:off x="0" y="0"/>
                      <a:ext cx="5768340" cy="4076064"/>
                    </a:xfrm>
                    <a:prstGeom prst="rect">
                      <a:avLst/>
                    </a:prstGeom>
                  </pic:spPr>
                </pic:pic>
              </a:graphicData>
            </a:graphic>
          </wp:inline>
        </w:drawing>
      </w:r>
    </w:p>
    <w:p w14:paraId="489B975B" w14:textId="77777777" w:rsidR="003C2461" w:rsidRPr="00C62ADA" w:rsidRDefault="00BC24B3">
      <w:pPr>
        <w:jc w:val="center"/>
        <w:rPr>
          <w:rFonts w:ascii="Palatino Linotype" w:hAnsi="Palatino Linotype" w:cs="Arial"/>
        </w:rPr>
      </w:pPr>
      <w:r w:rsidRPr="00C62ADA">
        <w:rPr>
          <w:rFonts w:ascii="Palatino Linotype" w:hAnsi="Palatino Linotype" w:cs="Arial"/>
          <w:b/>
          <w:bCs/>
        </w:rPr>
        <w:t>Gambar 1</w:t>
      </w:r>
      <w:r w:rsidRPr="00C62ADA">
        <w:rPr>
          <w:rFonts w:ascii="Palatino Linotype" w:hAnsi="Palatino Linotype" w:cs="Arial"/>
        </w:rPr>
        <w:t xml:space="preserve">. Lokasi </w:t>
      </w:r>
      <w:proofErr w:type="spellStart"/>
      <w:r w:rsidRPr="00C62ADA">
        <w:rPr>
          <w:rFonts w:ascii="Palatino Linotype" w:hAnsi="Palatino Linotype" w:cs="Arial"/>
        </w:rPr>
        <w:t>pengabdian</w:t>
      </w:r>
      <w:proofErr w:type="spellEnd"/>
      <w:r w:rsidRPr="00C62ADA">
        <w:rPr>
          <w:rFonts w:ascii="Palatino Linotype" w:hAnsi="Palatino Linotype" w:cs="Arial"/>
        </w:rPr>
        <w:t xml:space="preserve">. </w:t>
      </w:r>
    </w:p>
    <w:p w14:paraId="140A4D1C" w14:textId="77777777" w:rsidR="003C2461" w:rsidRPr="00C62ADA" w:rsidRDefault="003C2461">
      <w:pPr>
        <w:rPr>
          <w:rFonts w:ascii="Palatino Linotype" w:hAnsi="Palatino Linotype" w:cs="Arial"/>
        </w:rPr>
      </w:pPr>
    </w:p>
    <w:p w14:paraId="6A3CF6D9" w14:textId="77777777" w:rsidR="003C2461" w:rsidRPr="00C62ADA" w:rsidRDefault="00BC24B3">
      <w:pPr>
        <w:rPr>
          <w:rFonts w:ascii="Palatino Linotype" w:hAnsi="Palatino Linotype" w:cs="Arial"/>
          <w:b/>
          <w:bCs/>
          <w:sz w:val="22"/>
          <w:szCs w:val="22"/>
        </w:rPr>
      </w:pPr>
      <w:proofErr w:type="spellStart"/>
      <w:r w:rsidRPr="00C62ADA">
        <w:rPr>
          <w:rFonts w:ascii="Palatino Linotype" w:hAnsi="Palatino Linotype" w:cs="Arial"/>
          <w:b/>
          <w:bCs/>
          <w:sz w:val="22"/>
          <w:szCs w:val="22"/>
        </w:rPr>
        <w:t>Tahapan</w:t>
      </w:r>
      <w:proofErr w:type="spellEnd"/>
      <w:r w:rsidRPr="00C62ADA">
        <w:rPr>
          <w:rFonts w:ascii="Palatino Linotype" w:hAnsi="Palatino Linotype" w:cs="Arial"/>
          <w:b/>
          <w:bCs/>
          <w:sz w:val="22"/>
          <w:szCs w:val="22"/>
        </w:rPr>
        <w:t xml:space="preserve"> </w:t>
      </w:r>
      <w:proofErr w:type="spellStart"/>
      <w:r w:rsidRPr="00C62ADA">
        <w:rPr>
          <w:rFonts w:ascii="Palatino Linotype" w:hAnsi="Palatino Linotype" w:cs="Arial"/>
          <w:b/>
          <w:bCs/>
          <w:sz w:val="22"/>
          <w:szCs w:val="22"/>
        </w:rPr>
        <w:t>Pelaksanaan</w:t>
      </w:r>
      <w:proofErr w:type="spellEnd"/>
      <w:r w:rsidRPr="00C62ADA">
        <w:rPr>
          <w:rFonts w:ascii="Palatino Linotype" w:hAnsi="Palatino Linotype" w:cs="Arial"/>
          <w:b/>
          <w:bCs/>
          <w:sz w:val="22"/>
          <w:szCs w:val="22"/>
        </w:rPr>
        <w:t xml:space="preserve"> </w:t>
      </w:r>
      <w:proofErr w:type="spellStart"/>
      <w:r w:rsidRPr="00C62ADA">
        <w:rPr>
          <w:rFonts w:ascii="Palatino Linotype" w:hAnsi="Palatino Linotype" w:cs="Arial"/>
          <w:b/>
          <w:bCs/>
          <w:sz w:val="22"/>
          <w:szCs w:val="22"/>
        </w:rPr>
        <w:t>Disemenasi</w:t>
      </w:r>
      <w:proofErr w:type="spellEnd"/>
    </w:p>
    <w:p w14:paraId="3FD6CE34" w14:textId="77777777" w:rsidR="003C2461" w:rsidRPr="00C62ADA" w:rsidRDefault="00BC24B3" w:rsidP="009A121E">
      <w:pPr>
        <w:ind w:firstLine="567"/>
        <w:rPr>
          <w:rFonts w:ascii="Palatino Linotype" w:hAnsi="Palatino Linotype" w:cs="Arial"/>
        </w:rPr>
      </w:pPr>
      <w:r w:rsidRPr="00C62ADA">
        <w:rPr>
          <w:rFonts w:ascii="Palatino Linotype" w:hAnsi="Palatino Linotype" w:cs="Arial"/>
        </w:rPr>
        <w:t xml:space="preserve">Adapun </w:t>
      </w:r>
      <w:proofErr w:type="spellStart"/>
      <w:r w:rsidRPr="00C62ADA">
        <w:rPr>
          <w:rFonts w:ascii="Palatino Linotype" w:hAnsi="Palatino Linotype" w:cs="Arial"/>
        </w:rPr>
        <w:t>tahapan</w:t>
      </w:r>
      <w:proofErr w:type="spellEnd"/>
      <w:r w:rsidRPr="00C62ADA">
        <w:rPr>
          <w:rFonts w:ascii="Palatino Linotype" w:hAnsi="Palatino Linotype" w:cs="Arial"/>
        </w:rPr>
        <w:t xml:space="preserve"> </w:t>
      </w:r>
      <w:proofErr w:type="spellStart"/>
      <w:r w:rsidRPr="00C62ADA">
        <w:rPr>
          <w:rFonts w:ascii="Palatino Linotype" w:hAnsi="Palatino Linotype" w:cs="Arial"/>
        </w:rPr>
        <w:t>pelaksanaan</w:t>
      </w:r>
      <w:proofErr w:type="spellEnd"/>
      <w:r w:rsidRPr="00C62ADA">
        <w:rPr>
          <w:rFonts w:ascii="Palatino Linotype" w:hAnsi="Palatino Linotype" w:cs="Arial"/>
        </w:rPr>
        <w:t xml:space="preserve"> </w:t>
      </w:r>
      <w:proofErr w:type="spellStart"/>
      <w:r w:rsidRPr="00C62ADA">
        <w:rPr>
          <w:rFonts w:ascii="Palatino Linotype" w:hAnsi="Palatino Linotype" w:cs="Arial"/>
        </w:rPr>
        <w:t>disemenasi</w:t>
      </w:r>
      <w:proofErr w:type="spellEnd"/>
      <w:r w:rsidRPr="00C62ADA">
        <w:rPr>
          <w:rFonts w:ascii="Palatino Linotype" w:hAnsi="Palatino Linotype" w:cs="Arial"/>
        </w:rPr>
        <w:t xml:space="preserve"> </w:t>
      </w:r>
      <w:proofErr w:type="spellStart"/>
      <w:r w:rsidRPr="00C62ADA">
        <w:rPr>
          <w:rFonts w:ascii="Palatino Linotype" w:hAnsi="Palatino Linotype" w:cs="Arial"/>
        </w:rPr>
        <w:t>terdiri</w:t>
      </w:r>
      <w:proofErr w:type="spellEnd"/>
      <w:r w:rsidRPr="00C62ADA">
        <w:rPr>
          <w:rFonts w:ascii="Palatino Linotype" w:hAnsi="Palatino Linotype" w:cs="Arial"/>
        </w:rPr>
        <w:t xml:space="preserve"> </w:t>
      </w:r>
      <w:proofErr w:type="spellStart"/>
      <w:r w:rsidRPr="00C62ADA">
        <w:rPr>
          <w:rFonts w:ascii="Palatino Linotype" w:hAnsi="Palatino Linotype" w:cs="Arial"/>
        </w:rPr>
        <w:t>dari</w:t>
      </w:r>
      <w:proofErr w:type="spellEnd"/>
      <w:r w:rsidRPr="00C62ADA">
        <w:rPr>
          <w:rFonts w:ascii="Palatino Linotype" w:hAnsi="Palatino Linotype" w:cs="Arial"/>
        </w:rPr>
        <w:t>:</w:t>
      </w:r>
    </w:p>
    <w:p w14:paraId="2EB185E5" w14:textId="77777777" w:rsidR="003C2461" w:rsidRPr="00C62ADA" w:rsidRDefault="00BC24B3">
      <w:pPr>
        <w:pStyle w:val="ListParagraph"/>
        <w:numPr>
          <w:ilvl w:val="0"/>
          <w:numId w:val="3"/>
        </w:numPr>
        <w:spacing w:after="0" w:line="240" w:lineRule="auto"/>
        <w:ind w:hanging="436"/>
        <w:rPr>
          <w:rFonts w:ascii="Palatino Linotype" w:hAnsi="Palatino Linotype" w:cs="Arial"/>
          <w:sz w:val="20"/>
          <w:szCs w:val="20"/>
        </w:rPr>
      </w:pPr>
      <w:r w:rsidRPr="00C62ADA">
        <w:rPr>
          <w:rFonts w:ascii="Palatino Linotype" w:hAnsi="Palatino Linotype" w:cs="Arial"/>
          <w:sz w:val="20"/>
          <w:szCs w:val="20"/>
          <w:lang w:val="en-US"/>
        </w:rPr>
        <w:t>Penyuluhan dan pengenalan APH</w:t>
      </w:r>
    </w:p>
    <w:p w14:paraId="6B6A7655" w14:textId="77777777" w:rsidR="003C2461" w:rsidRPr="00C62ADA" w:rsidRDefault="00BC24B3">
      <w:pPr>
        <w:pStyle w:val="ListParagraph"/>
        <w:spacing w:after="0" w:line="240" w:lineRule="auto"/>
        <w:ind w:firstLine="0"/>
        <w:rPr>
          <w:rFonts w:ascii="Palatino Linotype" w:hAnsi="Palatino Linotype" w:cs="Arial"/>
          <w:sz w:val="20"/>
          <w:szCs w:val="20"/>
          <w:lang w:val="en-US"/>
        </w:rPr>
      </w:pPr>
      <w:r w:rsidRPr="00C62ADA">
        <w:rPr>
          <w:rFonts w:ascii="Palatino Linotype" w:hAnsi="Palatino Linotype" w:cs="Arial"/>
          <w:sz w:val="20"/>
          <w:szCs w:val="20"/>
          <w:lang w:val="en-US"/>
        </w:rPr>
        <w:t xml:space="preserve">Program ini merupakan program lanjutan dari kegiatan sebelumnya. Tahapan ini tim memberikan penyuluhan mengenai APH. Materi yang disampaikan berupa bagaimana mengembangan APH, jenis-jenis APH, serta proses pengembangan dan konservasinya. APH yang dikenalkan berasal dari golongan jamur, bakteri, serangga berguna, dan pestisida nabati. </w:t>
      </w:r>
    </w:p>
    <w:p w14:paraId="6E4A9A68" w14:textId="77777777" w:rsidR="003C2461" w:rsidRPr="00C62ADA" w:rsidRDefault="00BC24B3">
      <w:pPr>
        <w:pStyle w:val="ListParagraph"/>
        <w:numPr>
          <w:ilvl w:val="0"/>
          <w:numId w:val="3"/>
        </w:numPr>
        <w:spacing w:after="0" w:line="240" w:lineRule="auto"/>
        <w:ind w:left="714" w:hanging="357"/>
        <w:rPr>
          <w:rFonts w:ascii="Palatino Linotype" w:hAnsi="Palatino Linotype" w:cs="Arial"/>
          <w:sz w:val="20"/>
          <w:szCs w:val="20"/>
        </w:rPr>
      </w:pPr>
      <w:r w:rsidRPr="00C62ADA">
        <w:rPr>
          <w:rFonts w:ascii="Palatino Linotype" w:hAnsi="Palatino Linotype" w:cs="Arial"/>
          <w:sz w:val="20"/>
          <w:szCs w:val="20"/>
          <w:lang w:val="en-US"/>
        </w:rPr>
        <w:t xml:space="preserve">Penguatan Kelembagaan </w:t>
      </w:r>
    </w:p>
    <w:p w14:paraId="3F12679D" w14:textId="77777777" w:rsidR="003C2461" w:rsidRPr="00C62ADA" w:rsidRDefault="00BC24B3">
      <w:pPr>
        <w:pStyle w:val="ListParagraph"/>
        <w:spacing w:after="0" w:line="240" w:lineRule="auto"/>
        <w:ind w:left="714" w:firstLine="0"/>
        <w:rPr>
          <w:rFonts w:ascii="Palatino Linotype" w:hAnsi="Palatino Linotype" w:cs="Arial"/>
          <w:sz w:val="20"/>
          <w:szCs w:val="20"/>
          <w:lang w:val="en-US"/>
        </w:rPr>
      </w:pPr>
      <w:r w:rsidRPr="00C62ADA">
        <w:rPr>
          <w:rFonts w:ascii="Palatino Linotype" w:hAnsi="Palatino Linotype" w:cs="Arial"/>
          <w:sz w:val="20"/>
          <w:szCs w:val="20"/>
          <w:lang w:val="en-US"/>
        </w:rPr>
        <w:t xml:space="preserve">Untuk meningkatkan kesadaran dan partisipasi petani, maka dalam beberapa pertemuan FGD (Forum Discussion Group) dikolaborasikan antara pemerintah desa, PPL, dan POPT. Tim Universitas Jember mendorong untuk segera dibentuk PPAH Purnama Sejahtera. PPAH memiliki fungsi sebagai wadah untuk produksi dan hilirisasi APH untuk tanaman singkong. Selain menjadi persediaan untuk kalangan petani sendiri, petani dapat belajar untuk melakukan wirausaha produk APH untuk kelompok dan petani yang lain. </w:t>
      </w:r>
    </w:p>
    <w:p w14:paraId="401DD82A" w14:textId="77777777" w:rsidR="003C2461" w:rsidRPr="00C62ADA" w:rsidRDefault="00BC24B3">
      <w:pPr>
        <w:pStyle w:val="ListParagraph"/>
        <w:numPr>
          <w:ilvl w:val="0"/>
          <w:numId w:val="3"/>
        </w:numPr>
        <w:spacing w:after="0" w:line="240" w:lineRule="auto"/>
        <w:rPr>
          <w:rFonts w:ascii="Palatino Linotype" w:hAnsi="Palatino Linotype" w:cs="Arial"/>
          <w:sz w:val="20"/>
          <w:szCs w:val="20"/>
        </w:rPr>
      </w:pPr>
      <w:r w:rsidRPr="00C62ADA">
        <w:rPr>
          <w:rFonts w:ascii="Palatino Linotype" w:hAnsi="Palatino Linotype" w:cs="Arial"/>
          <w:sz w:val="20"/>
          <w:szCs w:val="20"/>
          <w:lang w:val="en-US"/>
        </w:rPr>
        <w:t>Praktek produksi dan pelatihan lanjutan</w:t>
      </w:r>
    </w:p>
    <w:p w14:paraId="53FA8CD6" w14:textId="77777777" w:rsidR="003C2461" w:rsidRPr="00C62ADA" w:rsidRDefault="00BC24B3">
      <w:pPr>
        <w:pStyle w:val="ListParagraph"/>
        <w:spacing w:after="0" w:line="240" w:lineRule="auto"/>
        <w:ind w:firstLine="0"/>
        <w:rPr>
          <w:rFonts w:ascii="Palatino Linotype" w:hAnsi="Palatino Linotype" w:cs="Arial"/>
          <w:sz w:val="20"/>
          <w:szCs w:val="20"/>
          <w:lang w:val="en-US"/>
        </w:rPr>
      </w:pPr>
      <w:r w:rsidRPr="00C62ADA">
        <w:rPr>
          <w:rFonts w:ascii="Palatino Linotype" w:hAnsi="Palatino Linotype" w:cs="Arial"/>
          <w:sz w:val="20"/>
          <w:szCs w:val="20"/>
          <w:lang w:val="en-US"/>
        </w:rPr>
        <w:t xml:space="preserve">Tim dari Universitas Jember telah memberikan SOP (Standar Operasional Prosedur) dalam praktek dan produksi APH yang telah terdaftar dalam HKI berupa Hak Cipta dengan nomor ciptaan EC00202313330 dan Paten Sederhana dengan nomor terdaftar S00202309990. </w:t>
      </w:r>
    </w:p>
    <w:p w14:paraId="4DF9D5D1" w14:textId="77777777" w:rsidR="003C2461" w:rsidRDefault="003C2461">
      <w:pPr>
        <w:rPr>
          <w:rFonts w:ascii="Palatino Linotype" w:hAnsi="Palatino Linotype" w:cs="Arial"/>
          <w:szCs w:val="20"/>
        </w:rPr>
      </w:pPr>
    </w:p>
    <w:p w14:paraId="42B978D1" w14:textId="77777777" w:rsidR="009A121E" w:rsidRPr="00C62ADA" w:rsidRDefault="009A121E">
      <w:pPr>
        <w:rPr>
          <w:rFonts w:ascii="Palatino Linotype" w:hAnsi="Palatino Linotype" w:cs="Arial"/>
          <w:szCs w:val="20"/>
        </w:rPr>
      </w:pPr>
    </w:p>
    <w:p w14:paraId="048C983C" w14:textId="77777777" w:rsidR="003C2461" w:rsidRPr="00C62ADA" w:rsidRDefault="00BC24B3">
      <w:pPr>
        <w:rPr>
          <w:rFonts w:ascii="Palatino Linotype" w:hAnsi="Palatino Linotype" w:cs="Arial"/>
          <w:b/>
          <w:bCs/>
          <w:sz w:val="22"/>
          <w:szCs w:val="22"/>
        </w:rPr>
      </w:pPr>
      <w:proofErr w:type="spellStart"/>
      <w:r w:rsidRPr="00C62ADA">
        <w:rPr>
          <w:rFonts w:ascii="Palatino Linotype" w:hAnsi="Palatino Linotype" w:cs="Arial"/>
          <w:b/>
          <w:bCs/>
          <w:sz w:val="22"/>
          <w:szCs w:val="22"/>
        </w:rPr>
        <w:lastRenderedPageBreak/>
        <w:t>Evaluasi</w:t>
      </w:r>
      <w:proofErr w:type="spellEnd"/>
      <w:r w:rsidRPr="00C62ADA">
        <w:rPr>
          <w:rFonts w:ascii="Palatino Linotype" w:hAnsi="Palatino Linotype" w:cs="Arial"/>
          <w:b/>
          <w:bCs/>
          <w:sz w:val="22"/>
          <w:szCs w:val="22"/>
        </w:rPr>
        <w:t xml:space="preserve"> Program </w:t>
      </w:r>
    </w:p>
    <w:p w14:paraId="20B8D917" w14:textId="77777777" w:rsidR="003C2461" w:rsidRPr="00C62ADA" w:rsidRDefault="00BC24B3" w:rsidP="009A121E">
      <w:pPr>
        <w:ind w:firstLine="567"/>
        <w:rPr>
          <w:rFonts w:ascii="Palatino Linotype" w:hAnsi="Palatino Linotype" w:cs="Arial"/>
          <w:szCs w:val="20"/>
        </w:rPr>
      </w:pPr>
      <w:proofErr w:type="spellStart"/>
      <w:r w:rsidRPr="00C62ADA">
        <w:rPr>
          <w:rFonts w:ascii="Palatino Linotype" w:hAnsi="Palatino Linotype" w:cs="Arial"/>
          <w:szCs w:val="20"/>
        </w:rPr>
        <w:t>Keberhasilan</w:t>
      </w:r>
      <w:proofErr w:type="spellEnd"/>
      <w:r w:rsidRPr="00C62ADA">
        <w:rPr>
          <w:rFonts w:ascii="Palatino Linotype" w:hAnsi="Palatino Linotype" w:cs="Arial"/>
          <w:szCs w:val="20"/>
        </w:rPr>
        <w:t xml:space="preserve"> program </w:t>
      </w:r>
      <w:proofErr w:type="spellStart"/>
      <w:r w:rsidRPr="00C62ADA">
        <w:rPr>
          <w:rFonts w:ascii="Palatino Linotype" w:hAnsi="Palatino Linotype" w:cs="Arial"/>
          <w:szCs w:val="20"/>
        </w:rPr>
        <w:t>dapat</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diukur</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dengan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menggunakan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kuisioner</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Kuisioner</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diedarkan</w:t>
      </w:r>
      <w:proofErr w:type="spellEnd"/>
      <w:r w:rsidRPr="00C62ADA">
        <w:rPr>
          <w:rFonts w:ascii="Palatino Linotype" w:hAnsi="Palatino Linotype" w:cs="Arial"/>
          <w:szCs w:val="20"/>
        </w:rPr>
        <w:t xml:space="preserve"> oleh </w:t>
      </w:r>
      <w:proofErr w:type="spellStart"/>
      <w:r w:rsidRPr="00C62ADA">
        <w:rPr>
          <w:rFonts w:ascii="Palatino Linotype" w:hAnsi="Palatino Linotype" w:cs="Arial"/>
          <w:szCs w:val="20"/>
        </w:rPr>
        <w:t>mahasiswa</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kepada</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petani</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Kuisioner</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ini</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dapat</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melihat</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menilai</w:t>
      </w:r>
      <w:proofErr w:type="spellEnd"/>
      <w:r w:rsidRPr="00C62ADA">
        <w:rPr>
          <w:rFonts w:ascii="Palatino Linotype" w:hAnsi="Palatino Linotype" w:cs="Arial"/>
          <w:szCs w:val="20"/>
        </w:rPr>
        <w:t xml:space="preserve">, dan </w:t>
      </w:r>
      <w:proofErr w:type="spellStart"/>
      <w:r w:rsidRPr="00C62ADA">
        <w:rPr>
          <w:rFonts w:ascii="Palatino Linotype" w:hAnsi="Palatino Linotype" w:cs="Arial"/>
          <w:szCs w:val="20"/>
        </w:rPr>
        <w:t>menentukan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keberlanjutan</w:t>
      </w:r>
      <w:proofErr w:type="spellEnd"/>
      <w:r w:rsidRPr="00C62ADA">
        <w:rPr>
          <w:rFonts w:ascii="Palatino Linotype" w:hAnsi="Palatino Linotype" w:cs="Arial"/>
          <w:szCs w:val="20"/>
        </w:rPr>
        <w:t xml:space="preserve"> program agar target </w:t>
      </w:r>
      <w:proofErr w:type="spellStart"/>
      <w:r w:rsidRPr="00C62ADA">
        <w:rPr>
          <w:rFonts w:ascii="Palatino Linotype" w:hAnsi="Palatino Linotype" w:cs="Arial"/>
          <w:szCs w:val="20"/>
        </w:rPr>
        <w:t>pengabdian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tercapai</w:t>
      </w:r>
      <w:proofErr w:type="spellEnd"/>
      <w:r w:rsidRPr="00C62ADA">
        <w:rPr>
          <w:rFonts w:ascii="Palatino Linotype" w:hAnsi="Palatino Linotype" w:cs="Arial"/>
          <w:szCs w:val="20"/>
        </w:rPr>
        <w:t xml:space="preserve">. Metode </w:t>
      </w:r>
      <w:proofErr w:type="spellStart"/>
      <w:r w:rsidRPr="00C62ADA">
        <w:rPr>
          <w:rFonts w:ascii="Palatino Linotype" w:hAnsi="Palatino Linotype" w:cs="Arial"/>
          <w:szCs w:val="20"/>
        </w:rPr>
        <w:t>wawancara</w:t>
      </w:r>
      <w:proofErr w:type="spellEnd"/>
      <w:r w:rsidRPr="00C62ADA">
        <w:rPr>
          <w:rFonts w:ascii="Palatino Linotype" w:hAnsi="Palatino Linotype" w:cs="Arial"/>
          <w:szCs w:val="20"/>
        </w:rPr>
        <w:t xml:space="preserve"> dan </w:t>
      </w:r>
      <w:proofErr w:type="spellStart"/>
      <w:r w:rsidRPr="00C62ADA">
        <w:rPr>
          <w:rFonts w:ascii="Palatino Linotype" w:hAnsi="Palatino Linotype" w:cs="Arial"/>
          <w:szCs w:val="20"/>
        </w:rPr>
        <w:t>kuisioner</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dilakukan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secara</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langsung</w:t>
      </w:r>
      <w:proofErr w:type="spellEnd"/>
      <w:r w:rsidRPr="00C62ADA">
        <w:rPr>
          <w:rFonts w:ascii="Palatino Linotype" w:hAnsi="Palatino Linotype" w:cs="Arial"/>
          <w:szCs w:val="20"/>
        </w:rPr>
        <w:t xml:space="preserve"> (</w:t>
      </w:r>
      <w:r w:rsidRPr="00C62ADA">
        <w:rPr>
          <w:rFonts w:ascii="Palatino Linotype" w:hAnsi="Palatino Linotype" w:cs="Arial"/>
          <w:i/>
          <w:iCs/>
          <w:szCs w:val="20"/>
        </w:rPr>
        <w:t>direct</w:t>
      </w:r>
      <w:r w:rsidRPr="00C62ADA">
        <w:rPr>
          <w:rFonts w:ascii="Palatino Linotype" w:hAnsi="Palatino Linotype" w:cs="Arial"/>
          <w:szCs w:val="20"/>
        </w:rPr>
        <w:t xml:space="preserve">). Hasil </w:t>
      </w:r>
      <w:proofErr w:type="spellStart"/>
      <w:r w:rsidRPr="00C62ADA">
        <w:rPr>
          <w:rFonts w:ascii="Palatino Linotype" w:hAnsi="Palatino Linotype" w:cs="Arial"/>
          <w:szCs w:val="20"/>
        </w:rPr>
        <w:t>kuisioner</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kemudian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dianalis</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dengan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menggunakan</w:t>
      </w:r>
      <w:proofErr w:type="spellEnd"/>
      <w:r w:rsidRPr="00C62ADA">
        <w:rPr>
          <w:rFonts w:ascii="Palatino Linotype" w:hAnsi="Palatino Linotype" w:cs="Arial"/>
          <w:szCs w:val="20"/>
        </w:rPr>
        <w:t xml:space="preserve"> tools PAST 4.11. </w:t>
      </w:r>
    </w:p>
    <w:p w14:paraId="6E6D1009" w14:textId="77777777" w:rsidR="003C2461" w:rsidRPr="00C62ADA" w:rsidRDefault="003C2461">
      <w:pPr>
        <w:ind w:firstLine="709"/>
        <w:rPr>
          <w:rFonts w:ascii="Palatino Linotype" w:hAnsi="Palatino Linotype" w:cs="Arial"/>
          <w:lang w:val="id-ID"/>
        </w:rPr>
      </w:pPr>
    </w:p>
    <w:p w14:paraId="690D0A73" w14:textId="77777777" w:rsidR="003C2461" w:rsidRPr="00C62ADA" w:rsidRDefault="00BC24B3">
      <w:pPr>
        <w:pStyle w:val="Bagian"/>
        <w:spacing w:before="0" w:after="0"/>
        <w:contextualSpacing/>
        <w:rPr>
          <w:rFonts w:ascii="Palatino Linotype" w:hAnsi="Palatino Linotype" w:cs="Arial"/>
          <w:sz w:val="24"/>
          <w:szCs w:val="32"/>
        </w:rPr>
      </w:pPr>
      <w:r w:rsidRPr="00C62ADA">
        <w:rPr>
          <w:rFonts w:ascii="Palatino Linotype" w:hAnsi="Palatino Linotype" w:cs="Arial"/>
          <w:sz w:val="24"/>
        </w:rPr>
        <w:t>HASIL DAN PEMBAHASAN</w:t>
      </w:r>
    </w:p>
    <w:p w14:paraId="3456CE3F" w14:textId="6CD6C5C9" w:rsidR="003C2461" w:rsidRPr="00C62ADA" w:rsidRDefault="00BC24B3" w:rsidP="009A121E">
      <w:pPr>
        <w:ind w:firstLine="567"/>
        <w:rPr>
          <w:rFonts w:ascii="Palatino Linotype" w:hAnsi="Palatino Linotype" w:cs="Arial"/>
          <w:szCs w:val="20"/>
          <w:lang w:val="sv-SE"/>
        </w:rPr>
      </w:pPr>
      <w:r w:rsidRPr="00C62ADA">
        <w:rPr>
          <w:rFonts w:ascii="Palatino Linotype" w:hAnsi="Palatino Linotype" w:cs="Arial"/>
          <w:szCs w:val="20"/>
          <w:lang w:val="sv-SE"/>
        </w:rPr>
        <w:t xml:space="preserve">Disemenasi dilakukan dengan memberikan penyuluhan mengenai APH dan teknis perbanyakan. APH secara prinsip tidak hanya sebagai pengendali organisme penganggu tanaman seperti hama, penyakit, dan gulma. APH juga bisa digunakan sebagai biofertilizer dan bioenzim untuk meningkatkan pertumbuhan tanaman </w:t>
      </w:r>
      <w:r w:rsidRPr="00C62ADA">
        <w:rPr>
          <w:rFonts w:ascii="Palatino Linotype" w:hAnsi="Palatino Linotype" w:cs="Arial"/>
          <w:szCs w:val="20"/>
          <w:lang w:val="sv-SE"/>
        </w:rPr>
        <w:fldChar w:fldCharType="begin" w:fldLock="1"/>
      </w:r>
      <w:r w:rsidR="00CF740F" w:rsidRPr="00C62ADA">
        <w:rPr>
          <w:rFonts w:ascii="Palatino Linotype" w:hAnsi="Palatino Linotype" w:cs="Arial"/>
          <w:szCs w:val="20"/>
          <w:lang w:val="sv-SE"/>
        </w:rPr>
        <w:instrText>ADDIN CSL_CITATION {"citationItems":[{"id":"ITEM-1","itemData":{"DOI":"10.30596/agrium.v25i2.10354","ISSN":"2442-7306","abstract":"Ekoenzim (EZ) merupakan hasil fermentasi dari limbah bahan organik berupa limbah buah-buahan atau sayuran. Pupuk organik cair (POC) merupakan larutan dari hasil dekomposisi bahan organik baik dari bagian tanaman atau hewan. Telah dilakukan penelitian tentang pengaruh pemberian EZ ataupun POC. Tujuan..penelitian..ini adalah untuk mengetahui respon akibat pemberian EZ dan POC terhadappertumbuhan dan produksi bawang merah. Metode penelitian ini menggunakan RancanganAcak Kelompok..(RAK) faktorial dengan 2 faktor. Faktor pertama adalah pemberian EZ dengan 4taraf yaitu E0= tanpa perlakuan, E1 = 1%, E2= 2%, E3 = 3%. Faktor kedua adalah pemberian POC dengan 4 taraf yaitu B0 = tanpa perlakuan, B1 = 1%; B2 = 2%, B3 = 3%. Parameter pengamatanpenelitian adalah adalahtinggi tanaman,jumlah daun,jumlahanakan, berat basahumbi per plot, berat keringumbi per plot. Hasil penelitian menunjukkan bahwapemberian EZ berpengaruhtidaknyata pada semuaparameterpengamatanPemberianPOCberpengaruh tidaknyata pada parameter tinggitanaman (cm), jumlahdaun (helai), namun berpengaruh sangatnyatapadaparameter jumlahanakan, beratbasah umbi per plot (g) dan beratkeringumbi per plot (g). Pemberian EZ dan POC menunjukkan respon positif terhadap produksi bawang merah pada konsentrasi EZ 1% dan POC 3%, sehingga berpotensi digunakan untuk meningkatkan produktivitas pada tanaman.","author":[{"dropping-particle":"","family":"Lubis","given":"Najla","non-dropping-particle":"","parse-names":false,"suffix":""},{"dropping-particle":"","family":"Wasito","given":"M","non-dropping-particle":"","parse-names":false,"suffix":""},{"dropping-particle":"","family":"Marlina","given":"Leni","non-dropping-particle":"","parse-names":false,"suffix":""},{"dropping-particle":"","family":"Girsang","given":"Rosmaria","non-dropping-particle":"","parse-names":false,"suffix":""},{"dropping-particle":"","family":"Wahyudi","given":"Hasril","non-dropping-particle":"","parse-names":false,"suffix":""}],"container-title":"Agrium Jurnal Ilmu Pertanian","id":"ITEM-1","issue":"2","issued":{"date-parts":[["2022"]]},"page":"107-115","title":"Respon pemberian ekoenzim dan pupuk organik cair terhadap pertumbuhan dan produksi bawang merah (Allium ascalonicum L.)","type":"article-journal","volume":"25"},"uris":["http://www.mendeley.com/documents/?uuid=d55a6704-8697-4f80-8e23-f89435d9a797"]}],"mendeley":{"formattedCitation":"(Lubis, Wasito, Marlina, Girsang, &amp; Wahyudi, 2022)","plainTextFormattedCitation":"(Lubis, Wasito, Marlina, Girsang, &amp; Wahyudi, 2022)","previouslyFormattedCitation":"(Lubis et al., 2022)"},"properties":{"noteIndex":0},"schema":"https://github.com/citation-style-language/schema/raw/master/csl-citation.json"}</w:instrText>
      </w:r>
      <w:r w:rsidRPr="00C62ADA">
        <w:rPr>
          <w:rFonts w:ascii="Palatino Linotype" w:hAnsi="Palatino Linotype" w:cs="Arial"/>
          <w:szCs w:val="20"/>
          <w:lang w:val="sv-SE"/>
        </w:rPr>
        <w:fldChar w:fldCharType="separate"/>
      </w:r>
      <w:r w:rsidR="00CF740F" w:rsidRPr="00C62ADA">
        <w:rPr>
          <w:rFonts w:ascii="Palatino Linotype" w:hAnsi="Palatino Linotype" w:cs="Arial"/>
          <w:noProof/>
          <w:szCs w:val="20"/>
          <w:lang w:val="sv-SE"/>
        </w:rPr>
        <w:t>(Lubis, Wasito, Marlina, Girsang, &amp; Wahyudi, 2022)</w:t>
      </w:r>
      <w:r w:rsidRPr="00C62ADA">
        <w:rPr>
          <w:rFonts w:ascii="Palatino Linotype" w:hAnsi="Palatino Linotype" w:cs="Arial"/>
          <w:szCs w:val="20"/>
          <w:lang w:val="sv-SE"/>
        </w:rPr>
        <w:fldChar w:fldCharType="end"/>
      </w:r>
      <w:r w:rsidRPr="00C62ADA">
        <w:rPr>
          <w:rFonts w:ascii="Palatino Linotype" w:hAnsi="Palatino Linotype" w:cs="Arial"/>
          <w:szCs w:val="20"/>
          <w:lang w:val="sv-SE"/>
        </w:rPr>
        <w:t xml:space="preserve">. Pada penyuluhan ini materi disampaikan oleh POPT yaitu Srujiyanto, S.P. Kemudian materi berikutnya disampaikan oleh PPL setempat. Pada proses penyuluhan ini berlangsung selama 2-3 jam dengan beberapa sesi yaitu sesi pertama merupakan pemaparan materi, sesi kedua yaitu diskusi dan tanya jawab (Gambar 2). </w:t>
      </w:r>
    </w:p>
    <w:p w14:paraId="01331305" w14:textId="77777777" w:rsidR="003C2461" w:rsidRDefault="00BC24B3" w:rsidP="009A121E">
      <w:pPr>
        <w:ind w:firstLine="567"/>
        <w:rPr>
          <w:rFonts w:ascii="Palatino Linotype" w:hAnsi="Palatino Linotype" w:cs="Arial"/>
          <w:szCs w:val="20"/>
          <w:lang w:val="sv-SE"/>
        </w:rPr>
      </w:pPr>
      <w:r w:rsidRPr="00C62ADA">
        <w:rPr>
          <w:rFonts w:ascii="Palatino Linotype" w:hAnsi="Palatino Linotype" w:cs="Arial"/>
          <w:szCs w:val="20"/>
          <w:lang w:val="sv-SE"/>
        </w:rPr>
        <w:t xml:space="preserve">Materi yang disampaikan oleh POPT berisikan mengenai jenis-jenis APH berguna sebagai sahabat petani. APH yang memiliki peran langsung sebagai sahabat petani. Pada proses penyuluhan diskusi merupakan metode efektif untuk mengetahui respon petani terhadap materi yang disampaikan. Metode diskusi sebagai media untuk menghubungkan materi yang disampaikan. Metode diskusi selain tepat untuk siswa, metode ini juga bisa diterapkan pada petani dengan improfisasi penyampaian </w:t>
      </w:r>
      <w:r w:rsidRPr="00C62ADA">
        <w:rPr>
          <w:rFonts w:ascii="Palatino Linotype" w:hAnsi="Palatino Linotype" w:cs="Arial"/>
          <w:szCs w:val="20"/>
          <w:lang w:val="sv-SE"/>
        </w:rPr>
        <w:fldChar w:fldCharType="begin" w:fldLock="1"/>
      </w:r>
      <w:r w:rsidRPr="00C62ADA">
        <w:rPr>
          <w:rFonts w:ascii="Palatino Linotype" w:hAnsi="Palatino Linotype" w:cs="Arial"/>
          <w:szCs w:val="20"/>
          <w:lang w:val="sv-SE"/>
        </w:rPr>
        <w:instrText>ADDIN CSL_CITATION {"citationItems":[{"id":"ITEM-1","itemData":{"DOI":"10.21009/PLPB.132.04","author":[{"dropping-particle":"","family":"Elfarisna","given":"","non-dropping-particle":"","parse-names":false,"suffix":""}],"container-title":"PLPB: Jurnal Pendidikan Lingkungan dan Pembangunan Berkelanjutan","id":"ITEM-1","issue":"2","issued":{"date-parts":[["2012"]]},"page":"42-53","title":"Pengaruh metode pelatihan dan pengetahuan tentang limbah organik terhadap keterampilan petani membuat pupuk organik (Studi eksperimen pada petani di Kabupaten Bogor)","type":"article-journal","volume":"13"},"uris":["http://www.mendeley.com/documents/?uuid=6ead868b-f792-42ab-916e-6b14d8eaa36f"]},{"id":"ITEM-2","itemData":{"DOI":"10.22373/crc.v1i1.1384","ISSN":"2549-3698","abstract":"There are many of learning approaches and methods that could produce an active students in the learning process. The teacher has important role to engage students in the learning process. Discussion method is a kind of teaching method that believed could solve problems by exchanging ideas with mutually consensus among group members and participants. Discussion method is a way of presenting a lesson, where students are faced with a problem, which can be either statements or questions are problematic to be discussed and solved together. Nevertheless, the discussion method are facing the problem in terms of fiqh study areas. Some of students consider trivial and seem less interested in studying the field of fiqh study, so the impact on the results obtained by the students. There were some issues raised in this study: first, to determine the learning plan fiqh by using the method of discussion at High School Darussalam. Second, to examine the implementation of fiqh study by using the discussion method at High School Darussalam. And third, to find out the learning outcome fiqh by using the method of discussion on student High School Darussalam. This research was kind of qualitative researchwhich aimed to describe or analyze the phenomenon, events, social activities, beliefs, perceptions, thoughts people individually or in groups. The tools used are observation, documentation and interview. The finding of the research could be carried out in three phases, planning through the process of preparing teaching materials, syllabus and lesson plans. In this phase of implementation is in accordance with what was previously planned. The planning phases was discussion method preparation until discussion method implementation in some specific material. The outcome presents a critical changes, particularly at the mastery of materials, the seriousness of learning and the value obtained through discussion method.","author":[{"dropping-particle":"","family":"Syafruddin","given":"Syafruddin","non-dropping-particle":"","parse-names":false,"suffix":""}],"container-title":"CIRCUIT: Jurnal Ilmiah Pendidikan Teknik Elektro","id":"ITEM-2","issue":"1","issued":{"date-parts":[["2017"]]},"page":"63-73","title":"Implementasi metode diskusi terhadap peningkatan hasil belajar siswa","type":"article-journal","volume":"1"},"uris":["http://www.mendeley.com/documents/?uuid=0263d01e-f072-4b6f-a883-28eb7a3bce61"]}],"mendeley":{"formattedCitation":"(Elfarisna, 2012; Syafruddin, 2017)","plainTextFormattedCitation":"(Elfarisna, 2012; Syafruddin, 2017)","previouslyFormattedCitation":"(Elfarisna, 2012; Syafruddin, 2017)"},"properties":{"noteIndex":0},"schema":"https://github.com/citation-style-language/schema/raw/master/csl-citation.json"}</w:instrText>
      </w:r>
      <w:r w:rsidRPr="00C62ADA">
        <w:rPr>
          <w:rFonts w:ascii="Palatino Linotype" w:hAnsi="Palatino Linotype" w:cs="Arial"/>
          <w:szCs w:val="20"/>
          <w:lang w:val="sv-SE"/>
        </w:rPr>
        <w:fldChar w:fldCharType="separate"/>
      </w:r>
      <w:r w:rsidRPr="00C62ADA">
        <w:rPr>
          <w:rFonts w:ascii="Palatino Linotype" w:hAnsi="Palatino Linotype" w:cs="Arial"/>
          <w:noProof/>
          <w:szCs w:val="20"/>
          <w:lang w:val="sv-SE"/>
        </w:rPr>
        <w:t>(Elfarisna, 2012; Syafruddin, 2017)</w:t>
      </w:r>
      <w:r w:rsidRPr="00C62ADA">
        <w:rPr>
          <w:rFonts w:ascii="Palatino Linotype" w:hAnsi="Palatino Linotype" w:cs="Arial"/>
          <w:szCs w:val="20"/>
          <w:lang w:val="sv-SE"/>
        </w:rPr>
        <w:fldChar w:fldCharType="end"/>
      </w:r>
      <w:r w:rsidRPr="00C62ADA">
        <w:rPr>
          <w:rFonts w:ascii="Palatino Linotype" w:hAnsi="Palatino Linotype" w:cs="Arial"/>
          <w:szCs w:val="20"/>
          <w:lang w:val="sv-SE"/>
        </w:rPr>
        <w:t xml:space="preserve">. </w:t>
      </w:r>
    </w:p>
    <w:p w14:paraId="5944B3B3" w14:textId="77777777" w:rsidR="009A121E" w:rsidRPr="00C62ADA" w:rsidRDefault="009A121E" w:rsidP="009A121E">
      <w:pPr>
        <w:ind w:firstLine="567"/>
        <w:rPr>
          <w:rFonts w:ascii="Palatino Linotype" w:hAnsi="Palatino Linotype" w:cs="Arial"/>
          <w:szCs w:val="20"/>
          <w:lang w:val="sv-SE"/>
        </w:rPr>
      </w:pPr>
    </w:p>
    <w:p w14:paraId="1F6D48E9" w14:textId="77777777" w:rsidR="003C2461" w:rsidRPr="00C62ADA" w:rsidRDefault="00BC24B3">
      <w:pPr>
        <w:jc w:val="center"/>
        <w:rPr>
          <w:rFonts w:ascii="Palatino Linotype" w:hAnsi="Palatino Linotype" w:cs="Arial"/>
          <w:b/>
          <w:bCs/>
          <w:szCs w:val="20"/>
        </w:rPr>
      </w:pPr>
      <w:r w:rsidRPr="00C62ADA">
        <w:rPr>
          <w:rFonts w:ascii="Palatino Linotype" w:hAnsi="Palatino Linotype" w:cs="Arial"/>
          <w:b/>
          <w:bCs/>
          <w:noProof/>
          <w:szCs w:val="20"/>
          <w:lang w:eastAsia="en-US"/>
        </w:rPr>
        <w:drawing>
          <wp:inline distT="0" distB="0" distL="0" distR="0" wp14:anchorId="4E523174" wp14:editId="42401797">
            <wp:extent cx="2450892" cy="1378626"/>
            <wp:effectExtent l="0" t="0" r="635" b="5715"/>
            <wp:docPr id="102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4"/>
                    <pic:cNvPicPr/>
                  </pic:nvPicPr>
                  <pic:blipFill>
                    <a:blip r:embed="rId19" cstate="print"/>
                    <a:srcRect/>
                    <a:stretch/>
                  </pic:blipFill>
                  <pic:spPr>
                    <a:xfrm>
                      <a:off x="0" y="0"/>
                      <a:ext cx="2450892" cy="1378626"/>
                    </a:xfrm>
                    <a:prstGeom prst="rect">
                      <a:avLst/>
                    </a:prstGeom>
                  </pic:spPr>
                </pic:pic>
              </a:graphicData>
            </a:graphic>
          </wp:inline>
        </w:drawing>
      </w:r>
      <w:r w:rsidRPr="00C62ADA">
        <w:rPr>
          <w:rFonts w:ascii="Palatino Linotype" w:hAnsi="Palatino Linotype" w:cs="Arial"/>
          <w:b/>
          <w:bCs/>
          <w:noProof/>
          <w:szCs w:val="20"/>
          <w:lang w:eastAsia="en-US"/>
        </w:rPr>
        <w:drawing>
          <wp:inline distT="0" distB="0" distL="0" distR="0" wp14:anchorId="2FD5DDA3" wp14:editId="3AA491A1">
            <wp:extent cx="2452169" cy="1379345"/>
            <wp:effectExtent l="0" t="0" r="0" b="5080"/>
            <wp:docPr id="1029"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0"/>
                    <pic:cNvPicPr/>
                  </pic:nvPicPr>
                  <pic:blipFill>
                    <a:blip r:embed="rId20" cstate="print"/>
                    <a:srcRect/>
                    <a:stretch/>
                  </pic:blipFill>
                  <pic:spPr>
                    <a:xfrm>
                      <a:off x="0" y="0"/>
                      <a:ext cx="2452169" cy="1379345"/>
                    </a:xfrm>
                    <a:prstGeom prst="rect">
                      <a:avLst/>
                    </a:prstGeom>
                  </pic:spPr>
                </pic:pic>
              </a:graphicData>
            </a:graphic>
          </wp:inline>
        </w:drawing>
      </w:r>
      <w:r w:rsidRPr="00C62ADA">
        <w:rPr>
          <w:rFonts w:ascii="Palatino Linotype" w:hAnsi="Palatino Linotype"/>
          <w:noProof/>
          <w:lang w:eastAsia="en-US"/>
        </w:rPr>
        <w:drawing>
          <wp:inline distT="0" distB="0" distL="0" distR="0" wp14:anchorId="5673980A" wp14:editId="2B9CAD92">
            <wp:extent cx="2459219" cy="1383310"/>
            <wp:effectExtent l="0" t="0" r="5080" b="1270"/>
            <wp:docPr id="1030"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2"/>
                    <pic:cNvPicPr/>
                  </pic:nvPicPr>
                  <pic:blipFill>
                    <a:blip r:embed="rId21" cstate="print"/>
                    <a:srcRect/>
                    <a:stretch/>
                  </pic:blipFill>
                  <pic:spPr>
                    <a:xfrm>
                      <a:off x="0" y="0"/>
                      <a:ext cx="2459219" cy="1383310"/>
                    </a:xfrm>
                    <a:prstGeom prst="rect">
                      <a:avLst/>
                    </a:prstGeom>
                  </pic:spPr>
                </pic:pic>
              </a:graphicData>
            </a:graphic>
          </wp:inline>
        </w:drawing>
      </w:r>
      <w:r w:rsidRPr="00C62ADA">
        <w:rPr>
          <w:rFonts w:ascii="Palatino Linotype" w:hAnsi="Palatino Linotype"/>
          <w:noProof/>
          <w:lang w:eastAsia="en-US"/>
        </w:rPr>
        <w:drawing>
          <wp:inline distT="0" distB="0" distL="0" distR="0" wp14:anchorId="34BB9022" wp14:editId="1A9536E1">
            <wp:extent cx="2451735" cy="1379101"/>
            <wp:effectExtent l="0" t="0" r="0" b="5715"/>
            <wp:docPr id="103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5"/>
                    <pic:cNvPicPr/>
                  </pic:nvPicPr>
                  <pic:blipFill>
                    <a:blip r:embed="rId22" cstate="print"/>
                    <a:srcRect/>
                    <a:stretch/>
                  </pic:blipFill>
                  <pic:spPr>
                    <a:xfrm>
                      <a:off x="0" y="0"/>
                      <a:ext cx="2451735" cy="1379101"/>
                    </a:xfrm>
                    <a:prstGeom prst="rect">
                      <a:avLst/>
                    </a:prstGeom>
                  </pic:spPr>
                </pic:pic>
              </a:graphicData>
            </a:graphic>
          </wp:inline>
        </w:drawing>
      </w:r>
    </w:p>
    <w:p w14:paraId="3E92DEEC" w14:textId="77777777" w:rsidR="003C2461" w:rsidRPr="00C62ADA" w:rsidRDefault="00BC24B3">
      <w:pPr>
        <w:jc w:val="center"/>
        <w:rPr>
          <w:rFonts w:ascii="Palatino Linotype" w:hAnsi="Palatino Linotype" w:cs="Arial"/>
          <w:szCs w:val="20"/>
        </w:rPr>
      </w:pPr>
      <w:r w:rsidRPr="00C62ADA">
        <w:rPr>
          <w:rFonts w:ascii="Palatino Linotype" w:hAnsi="Palatino Linotype" w:cs="Arial"/>
          <w:b/>
          <w:bCs/>
          <w:szCs w:val="20"/>
        </w:rPr>
        <w:t>Gambar 2</w:t>
      </w:r>
      <w:r w:rsidRPr="00C62ADA">
        <w:rPr>
          <w:rFonts w:ascii="Palatino Linotype" w:hAnsi="Palatino Linotype" w:cs="Arial"/>
          <w:szCs w:val="20"/>
        </w:rPr>
        <w:t xml:space="preserve">. </w:t>
      </w:r>
      <w:proofErr w:type="spellStart"/>
      <w:r w:rsidRPr="00C62ADA">
        <w:rPr>
          <w:rFonts w:ascii="Palatino Linotype" w:hAnsi="Palatino Linotype" w:cs="Arial"/>
          <w:szCs w:val="20"/>
        </w:rPr>
        <w:t>Disemenasi</w:t>
      </w:r>
      <w:proofErr w:type="spellEnd"/>
      <w:r w:rsidRPr="00C62ADA">
        <w:rPr>
          <w:rFonts w:ascii="Palatino Linotype" w:hAnsi="Palatino Linotype" w:cs="Arial"/>
          <w:szCs w:val="20"/>
        </w:rPr>
        <w:t xml:space="preserve"> APH </w:t>
      </w:r>
      <w:proofErr w:type="spellStart"/>
      <w:r w:rsidRPr="00C62ADA">
        <w:rPr>
          <w:rFonts w:ascii="Palatino Linotype" w:hAnsi="Palatino Linotype" w:cs="Arial"/>
          <w:szCs w:val="20"/>
        </w:rPr>
        <w:t>untuk</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peningkatan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produksi</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tanaman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singkong</w:t>
      </w:r>
      <w:proofErr w:type="spellEnd"/>
      <w:r w:rsidRPr="00C62ADA">
        <w:rPr>
          <w:rFonts w:ascii="Palatino Linotype" w:hAnsi="Palatino Linotype" w:cs="Arial"/>
          <w:szCs w:val="20"/>
        </w:rPr>
        <w:t xml:space="preserve">. </w:t>
      </w:r>
    </w:p>
    <w:p w14:paraId="6A4E9BDC" w14:textId="77777777" w:rsidR="009A121E" w:rsidRDefault="009A121E" w:rsidP="009A121E">
      <w:pPr>
        <w:ind w:firstLine="567"/>
        <w:rPr>
          <w:rFonts w:ascii="Palatino Linotype" w:hAnsi="Palatino Linotype" w:cs="Arial"/>
          <w:szCs w:val="20"/>
        </w:rPr>
      </w:pPr>
    </w:p>
    <w:p w14:paraId="4CD27473" w14:textId="654384E8" w:rsidR="003D4097" w:rsidRPr="00C62ADA" w:rsidRDefault="00BC24B3" w:rsidP="009A121E">
      <w:pPr>
        <w:ind w:firstLine="567"/>
        <w:rPr>
          <w:rFonts w:ascii="Palatino Linotype" w:hAnsi="Palatino Linotype" w:cs="Arial"/>
          <w:szCs w:val="20"/>
        </w:rPr>
      </w:pPr>
      <w:r w:rsidRPr="00C62ADA">
        <w:rPr>
          <w:rFonts w:ascii="Palatino Linotype" w:hAnsi="Palatino Linotype" w:cs="Arial"/>
          <w:szCs w:val="20"/>
        </w:rPr>
        <w:t xml:space="preserve">Gambar 3 </w:t>
      </w:r>
      <w:proofErr w:type="spellStart"/>
      <w:r w:rsidRPr="00C62ADA">
        <w:rPr>
          <w:rFonts w:ascii="Palatino Linotype" w:hAnsi="Palatino Linotype" w:cs="Arial"/>
          <w:szCs w:val="20"/>
        </w:rPr>
        <w:t>merupakan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contoh</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sebagian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produk</w:t>
      </w:r>
      <w:proofErr w:type="spellEnd"/>
      <w:r w:rsidRPr="00C62ADA">
        <w:rPr>
          <w:rFonts w:ascii="Palatino Linotype" w:hAnsi="Palatino Linotype" w:cs="Arial"/>
          <w:szCs w:val="20"/>
        </w:rPr>
        <w:t xml:space="preserve"> yang </w:t>
      </w:r>
      <w:proofErr w:type="spellStart"/>
      <w:r w:rsidRPr="00C62ADA">
        <w:rPr>
          <w:rFonts w:ascii="Palatino Linotype" w:hAnsi="Palatino Linotype" w:cs="Arial"/>
          <w:szCs w:val="20"/>
        </w:rPr>
        <w:t>telah</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berhasil</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diproduksi</w:t>
      </w:r>
      <w:proofErr w:type="spellEnd"/>
      <w:r w:rsidRPr="00C62ADA">
        <w:rPr>
          <w:rFonts w:ascii="Palatino Linotype" w:hAnsi="Palatino Linotype" w:cs="Arial"/>
          <w:szCs w:val="20"/>
        </w:rPr>
        <w:t xml:space="preserve"> oleh </w:t>
      </w:r>
      <w:proofErr w:type="spellStart"/>
      <w:r w:rsidRPr="00C62ADA">
        <w:rPr>
          <w:rFonts w:ascii="Palatino Linotype" w:hAnsi="Palatino Linotype" w:cs="Arial"/>
          <w:szCs w:val="20"/>
        </w:rPr>
        <w:t>petani</w:t>
      </w:r>
      <w:proofErr w:type="spellEnd"/>
      <w:r w:rsidRPr="00C62ADA">
        <w:rPr>
          <w:rFonts w:ascii="Palatino Linotype" w:hAnsi="Palatino Linotype" w:cs="Arial"/>
          <w:szCs w:val="20"/>
        </w:rPr>
        <w:t xml:space="preserve"> di Desa Purnama. </w:t>
      </w:r>
      <w:proofErr w:type="spellStart"/>
      <w:r w:rsidRPr="00C62ADA">
        <w:rPr>
          <w:rFonts w:ascii="Palatino Linotype" w:hAnsi="Palatino Linotype" w:cs="Arial"/>
          <w:szCs w:val="20"/>
        </w:rPr>
        <w:t>Produk</w:t>
      </w:r>
      <w:proofErr w:type="spellEnd"/>
      <w:r w:rsidRPr="00C62ADA">
        <w:rPr>
          <w:rFonts w:ascii="Palatino Linotype" w:hAnsi="Palatino Linotype" w:cs="Arial"/>
          <w:szCs w:val="20"/>
        </w:rPr>
        <w:t xml:space="preserve"> pada Gambar 3 </w:t>
      </w:r>
      <w:proofErr w:type="spellStart"/>
      <w:r w:rsidRPr="00C62ADA">
        <w:rPr>
          <w:rFonts w:ascii="Palatino Linotype" w:hAnsi="Palatino Linotype" w:cs="Arial"/>
          <w:szCs w:val="20"/>
        </w:rPr>
        <w:t>merupakan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biopestisida</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berbahan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aktif</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jamur</w:t>
      </w:r>
      <w:proofErr w:type="spellEnd"/>
      <w:r w:rsidRPr="00C62ADA">
        <w:rPr>
          <w:rFonts w:ascii="Palatino Linotype" w:hAnsi="Palatino Linotype" w:cs="Arial"/>
          <w:szCs w:val="20"/>
        </w:rPr>
        <w:t xml:space="preserve"> dan </w:t>
      </w:r>
      <w:proofErr w:type="spellStart"/>
      <w:r w:rsidRPr="00C62ADA">
        <w:rPr>
          <w:rFonts w:ascii="Palatino Linotype" w:hAnsi="Palatino Linotype" w:cs="Arial"/>
          <w:szCs w:val="20"/>
        </w:rPr>
        <w:t>produk</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nabati</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seperti</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pestisida</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nabati</w:t>
      </w:r>
      <w:proofErr w:type="spellEnd"/>
      <w:r w:rsidRPr="00C62ADA">
        <w:rPr>
          <w:rFonts w:ascii="Palatino Linotype" w:hAnsi="Palatino Linotype" w:cs="Arial"/>
          <w:szCs w:val="20"/>
        </w:rPr>
        <w:t xml:space="preserve"> dan </w:t>
      </w:r>
      <w:proofErr w:type="spellStart"/>
      <w:r w:rsidRPr="00C62ADA">
        <w:rPr>
          <w:rFonts w:ascii="Palatino Linotype" w:hAnsi="Palatino Linotype" w:cs="Arial"/>
          <w:szCs w:val="20"/>
        </w:rPr>
        <w:t>pupuk</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organik</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cair</w:t>
      </w:r>
      <w:proofErr w:type="spellEnd"/>
      <w:r w:rsidRPr="00C62ADA">
        <w:rPr>
          <w:rFonts w:ascii="Palatino Linotype" w:hAnsi="Palatino Linotype" w:cs="Arial"/>
          <w:szCs w:val="20"/>
        </w:rPr>
        <w:t xml:space="preserve">. Bahan </w:t>
      </w:r>
      <w:proofErr w:type="spellStart"/>
      <w:r w:rsidRPr="00C62ADA">
        <w:rPr>
          <w:rFonts w:ascii="Palatino Linotype" w:hAnsi="Palatino Linotype" w:cs="Arial"/>
          <w:szCs w:val="20"/>
        </w:rPr>
        <w:t>pestisida</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nabati</w:t>
      </w:r>
      <w:proofErr w:type="spellEnd"/>
      <w:r w:rsidRPr="00C62ADA">
        <w:rPr>
          <w:rFonts w:ascii="Palatino Linotype" w:hAnsi="Palatino Linotype" w:cs="Arial"/>
          <w:szCs w:val="20"/>
        </w:rPr>
        <w:t xml:space="preserve"> dan </w:t>
      </w:r>
      <w:proofErr w:type="spellStart"/>
      <w:r w:rsidRPr="00C62ADA">
        <w:rPr>
          <w:rFonts w:ascii="Palatino Linotype" w:hAnsi="Palatino Linotype" w:cs="Arial"/>
          <w:szCs w:val="20"/>
        </w:rPr>
        <w:t>pupuk</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organik</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cair</w:t>
      </w:r>
      <w:proofErr w:type="spellEnd"/>
      <w:r w:rsidRPr="00C62ADA">
        <w:rPr>
          <w:rFonts w:ascii="Palatino Linotype" w:hAnsi="Palatino Linotype" w:cs="Arial"/>
          <w:szCs w:val="20"/>
        </w:rPr>
        <w:t xml:space="preserve"> yang </w:t>
      </w:r>
      <w:proofErr w:type="spellStart"/>
      <w:r w:rsidRPr="00C62ADA">
        <w:rPr>
          <w:rFonts w:ascii="Palatino Linotype" w:hAnsi="Palatino Linotype" w:cs="Arial"/>
          <w:szCs w:val="20"/>
        </w:rPr>
        <w:t>dibuat</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berasal</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dari</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bahan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nabati</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sumber</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daya</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lokal</w:t>
      </w:r>
      <w:proofErr w:type="spellEnd"/>
      <w:r w:rsidRPr="00C62ADA">
        <w:rPr>
          <w:rFonts w:ascii="Palatino Linotype" w:hAnsi="Palatino Linotype" w:cs="Arial"/>
          <w:szCs w:val="20"/>
        </w:rPr>
        <w:t xml:space="preserve"> di Desa Purnama. Pada </w:t>
      </w:r>
      <w:proofErr w:type="spellStart"/>
      <w:r w:rsidRPr="00C62ADA">
        <w:rPr>
          <w:rFonts w:ascii="Palatino Linotype" w:hAnsi="Palatino Linotype" w:cs="Arial"/>
          <w:szCs w:val="20"/>
        </w:rPr>
        <w:t>saat</w:t>
      </w:r>
      <w:proofErr w:type="spellEnd"/>
      <w:r w:rsidRPr="00C62ADA">
        <w:rPr>
          <w:rFonts w:ascii="Palatino Linotype" w:hAnsi="Palatino Linotype" w:cs="Arial"/>
          <w:szCs w:val="20"/>
        </w:rPr>
        <w:t xml:space="preserve"> proses </w:t>
      </w:r>
      <w:proofErr w:type="spellStart"/>
      <w:r w:rsidRPr="00C62ADA">
        <w:rPr>
          <w:rFonts w:ascii="Palatino Linotype" w:hAnsi="Palatino Linotype" w:cs="Arial"/>
          <w:szCs w:val="20"/>
        </w:rPr>
        <w:t>pendampingan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membutuhkan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keuletan</w:t>
      </w:r>
      <w:proofErr w:type="spellEnd"/>
      <w:r w:rsidRPr="00C62ADA">
        <w:rPr>
          <w:rFonts w:ascii="Palatino Linotype" w:hAnsi="Palatino Linotype" w:cs="Arial"/>
          <w:szCs w:val="20"/>
        </w:rPr>
        <w:t xml:space="preserve"> dan </w:t>
      </w:r>
      <w:proofErr w:type="spellStart"/>
      <w:r w:rsidRPr="00C62ADA">
        <w:rPr>
          <w:rFonts w:ascii="Palatino Linotype" w:hAnsi="Palatino Linotype" w:cs="Arial"/>
          <w:szCs w:val="20"/>
        </w:rPr>
        <w:t>kesabaran</w:t>
      </w:r>
      <w:proofErr w:type="spellEnd"/>
      <w:r w:rsidRPr="00C62ADA">
        <w:rPr>
          <w:rFonts w:ascii="Palatino Linotype" w:hAnsi="Palatino Linotype" w:cs="Arial"/>
          <w:szCs w:val="20"/>
        </w:rPr>
        <w:t xml:space="preserve">. Saat proses </w:t>
      </w:r>
      <w:proofErr w:type="spellStart"/>
      <w:r w:rsidRPr="00C62ADA">
        <w:rPr>
          <w:rFonts w:ascii="Palatino Linotype" w:hAnsi="Palatino Linotype" w:cs="Arial"/>
          <w:szCs w:val="20"/>
        </w:rPr>
        <w:t>produksi</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petani</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masih</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belum</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pernah</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mengenal</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sebelumnya</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dengan</w:t>
      </w:r>
      <w:proofErr w:type="spellEnd"/>
      <w:r w:rsidRPr="00C62ADA">
        <w:rPr>
          <w:rFonts w:ascii="Palatino Linotype" w:hAnsi="Palatino Linotype" w:cs="Arial"/>
          <w:szCs w:val="20"/>
        </w:rPr>
        <w:t xml:space="preserve"> APH </w:t>
      </w:r>
      <w:proofErr w:type="spellStart"/>
      <w:r w:rsidRPr="00C62ADA">
        <w:rPr>
          <w:rFonts w:ascii="Palatino Linotype" w:hAnsi="Palatino Linotype" w:cs="Arial"/>
          <w:szCs w:val="20"/>
        </w:rPr>
        <w:t>berbasis</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jamur</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Untuk</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pestisida</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nabati</w:t>
      </w:r>
      <w:proofErr w:type="spellEnd"/>
      <w:r w:rsidRPr="00C62ADA">
        <w:rPr>
          <w:rFonts w:ascii="Palatino Linotype" w:hAnsi="Palatino Linotype" w:cs="Arial"/>
          <w:szCs w:val="20"/>
        </w:rPr>
        <w:t xml:space="preserve"> dan </w:t>
      </w:r>
      <w:proofErr w:type="spellStart"/>
      <w:r w:rsidRPr="00C62ADA">
        <w:rPr>
          <w:rFonts w:ascii="Palatino Linotype" w:hAnsi="Palatino Linotype" w:cs="Arial"/>
          <w:szCs w:val="20"/>
        </w:rPr>
        <w:t>pupuk</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organik</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cair</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petani</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telah</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sering</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mengenal</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namun</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daya</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tariknya</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terbatas</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Petani</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cenderung</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instan</w:t>
      </w:r>
      <w:proofErr w:type="spellEnd"/>
      <w:r w:rsidRPr="00C62ADA">
        <w:rPr>
          <w:rFonts w:ascii="Palatino Linotype" w:hAnsi="Palatino Linotype" w:cs="Arial"/>
          <w:szCs w:val="20"/>
        </w:rPr>
        <w:t xml:space="preserve"> dan </w:t>
      </w:r>
      <w:proofErr w:type="spellStart"/>
      <w:r w:rsidRPr="00C62ADA">
        <w:rPr>
          <w:rFonts w:ascii="Palatino Linotype" w:hAnsi="Palatino Linotype" w:cs="Arial"/>
          <w:szCs w:val="20"/>
        </w:rPr>
        <w:t>ingi</w:t>
      </w:r>
      <w:r w:rsidR="00293B51" w:rsidRPr="00C62ADA">
        <w:rPr>
          <w:rFonts w:ascii="Palatino Linotype" w:hAnsi="Palatino Linotype" w:cs="Arial"/>
          <w:szCs w:val="20"/>
        </w:rPr>
        <w:t>n</w:t>
      </w:r>
      <w:proofErr w:type="spellEnd"/>
      <w:r w:rsidR="00293B51" w:rsidRPr="00C62ADA">
        <w:rPr>
          <w:rFonts w:ascii="Palatino Linotype" w:hAnsi="Palatino Linotype" w:cs="Arial"/>
          <w:szCs w:val="20"/>
        </w:rPr>
        <w:t xml:space="preserve"> </w:t>
      </w:r>
      <w:proofErr w:type="spellStart"/>
      <w:proofErr w:type="gramStart"/>
      <w:r w:rsidR="00293B51" w:rsidRPr="00C62ADA">
        <w:rPr>
          <w:rFonts w:ascii="Palatino Linotype" w:hAnsi="Palatino Linotype" w:cs="Arial"/>
          <w:szCs w:val="20"/>
        </w:rPr>
        <w:t>mendapatkan</w:t>
      </w:r>
      <w:proofErr w:type="spellEnd"/>
      <w:r w:rsidRPr="00C62ADA">
        <w:rPr>
          <w:rFonts w:ascii="Palatino Linotype" w:hAnsi="Palatino Linotype" w:cs="Arial"/>
          <w:szCs w:val="20"/>
        </w:rPr>
        <w:t xml:space="preserve"> </w:t>
      </w:r>
      <w:r w:rsidR="009E0E17" w:rsidRPr="00C62ADA">
        <w:rPr>
          <w:rFonts w:ascii="Palatino Linotype" w:hAnsi="Palatino Linotype" w:cs="Arial"/>
          <w:szCs w:val="20"/>
        </w:rPr>
        <w:t xml:space="preserve"> </w:t>
      </w:r>
      <w:r w:rsidRPr="00C62ADA">
        <w:rPr>
          <w:rFonts w:ascii="Palatino Linotype" w:hAnsi="Palatino Linotype" w:cs="Arial"/>
          <w:szCs w:val="20"/>
        </w:rPr>
        <w:t>proses</w:t>
      </w:r>
      <w:proofErr w:type="gramEnd"/>
      <w:r w:rsidRPr="00C62ADA">
        <w:rPr>
          <w:rFonts w:ascii="Palatino Linotype" w:hAnsi="Palatino Linotype" w:cs="Arial"/>
          <w:szCs w:val="20"/>
        </w:rPr>
        <w:t xml:space="preserve"> </w:t>
      </w:r>
      <w:r w:rsidR="009E0E17" w:rsidRPr="00C62ADA">
        <w:rPr>
          <w:rFonts w:ascii="Palatino Linotype" w:hAnsi="Palatino Linotype" w:cs="Arial"/>
          <w:szCs w:val="20"/>
        </w:rPr>
        <w:t xml:space="preserve">yang </w:t>
      </w:r>
      <w:proofErr w:type="spellStart"/>
      <w:r w:rsidRPr="00C62ADA">
        <w:rPr>
          <w:rFonts w:ascii="Palatino Linotype" w:hAnsi="Palatino Linotype" w:cs="Arial"/>
          <w:szCs w:val="20"/>
        </w:rPr>
        <w:t>cepat</w:t>
      </w:r>
      <w:proofErr w:type="spellEnd"/>
      <w:r w:rsidRPr="00C62ADA">
        <w:rPr>
          <w:rFonts w:ascii="Palatino Linotype" w:hAnsi="Palatino Linotype" w:cs="Arial"/>
          <w:szCs w:val="20"/>
        </w:rPr>
        <w:t>.</w:t>
      </w:r>
    </w:p>
    <w:p w14:paraId="4CCC11AF" w14:textId="503DA5BF" w:rsidR="00796522" w:rsidRPr="00C62ADA" w:rsidRDefault="009E0E17" w:rsidP="009A121E">
      <w:pPr>
        <w:ind w:firstLine="567"/>
        <w:rPr>
          <w:rFonts w:ascii="Palatino Linotype" w:hAnsi="Palatino Linotype" w:cs="Arial"/>
          <w:szCs w:val="20"/>
        </w:rPr>
      </w:pPr>
      <w:r w:rsidRPr="00C62ADA">
        <w:rPr>
          <w:rFonts w:ascii="Palatino Linotype" w:hAnsi="Palatino Linotype" w:cs="Arial"/>
          <w:szCs w:val="20"/>
        </w:rPr>
        <w:tab/>
      </w:r>
      <w:proofErr w:type="spellStart"/>
      <w:r w:rsidRPr="00C62ADA">
        <w:rPr>
          <w:rFonts w:ascii="Palatino Linotype" w:hAnsi="Palatino Linotype" w:cs="Arial"/>
          <w:szCs w:val="20"/>
        </w:rPr>
        <w:t>Petani</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sering</w:t>
      </w:r>
      <w:proofErr w:type="spellEnd"/>
      <w:r w:rsidRPr="00C62ADA">
        <w:rPr>
          <w:rFonts w:ascii="Palatino Linotype" w:hAnsi="Palatino Linotype" w:cs="Arial"/>
          <w:szCs w:val="20"/>
        </w:rPr>
        <w:t xml:space="preserve"> kali </w:t>
      </w:r>
      <w:proofErr w:type="spellStart"/>
      <w:r w:rsidRPr="00C62ADA">
        <w:rPr>
          <w:rFonts w:ascii="Palatino Linotype" w:hAnsi="Palatino Linotype" w:cs="Arial"/>
          <w:szCs w:val="20"/>
        </w:rPr>
        <w:t>cenderung</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menyukai</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solusi</w:t>
      </w:r>
      <w:proofErr w:type="spellEnd"/>
      <w:r w:rsidRPr="00C62ADA">
        <w:rPr>
          <w:rFonts w:ascii="Palatino Linotype" w:hAnsi="Palatino Linotype" w:cs="Arial"/>
          <w:szCs w:val="20"/>
        </w:rPr>
        <w:t xml:space="preserve"> yang </w:t>
      </w:r>
      <w:proofErr w:type="spellStart"/>
      <w:r w:rsidRPr="00C62ADA">
        <w:rPr>
          <w:rFonts w:ascii="Palatino Linotype" w:hAnsi="Palatino Linotype" w:cs="Arial"/>
          <w:szCs w:val="20"/>
        </w:rPr>
        <w:t>instan</w:t>
      </w:r>
      <w:proofErr w:type="spellEnd"/>
      <w:r w:rsidRPr="00C62ADA">
        <w:rPr>
          <w:rFonts w:ascii="Palatino Linotype" w:hAnsi="Palatino Linotype" w:cs="Arial"/>
          <w:szCs w:val="20"/>
        </w:rPr>
        <w:t xml:space="preserve"> dan proses yang </w:t>
      </w:r>
      <w:proofErr w:type="spellStart"/>
      <w:r w:rsidRPr="00C62ADA">
        <w:rPr>
          <w:rFonts w:ascii="Palatino Linotype" w:hAnsi="Palatino Linotype" w:cs="Arial"/>
          <w:szCs w:val="20"/>
        </w:rPr>
        <w:t>cepat</w:t>
      </w:r>
      <w:proofErr w:type="spellEnd"/>
      <w:r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misalnya</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dalam</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hal</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penggunaan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pestisida</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sintetis</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karena</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aplikasi</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pestisida</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sintetis</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memberikan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hasil</w:t>
      </w:r>
      <w:proofErr w:type="spellEnd"/>
      <w:r w:rsidR="00796522" w:rsidRPr="00C62ADA">
        <w:rPr>
          <w:rFonts w:ascii="Palatino Linotype" w:hAnsi="Palatino Linotype" w:cs="Arial"/>
          <w:szCs w:val="20"/>
        </w:rPr>
        <w:t xml:space="preserve"> yang </w:t>
      </w:r>
      <w:proofErr w:type="spellStart"/>
      <w:r w:rsidR="00796522" w:rsidRPr="00C62ADA">
        <w:rPr>
          <w:rFonts w:ascii="Palatino Linotype" w:hAnsi="Palatino Linotype" w:cs="Arial"/>
          <w:szCs w:val="20"/>
        </w:rPr>
        <w:t>signifikan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dalam</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mengurangi</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populasi</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hama</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dalam</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waktu</w:t>
      </w:r>
      <w:proofErr w:type="spellEnd"/>
      <w:r w:rsidR="00796522" w:rsidRPr="00C62ADA">
        <w:rPr>
          <w:rFonts w:ascii="Palatino Linotype" w:hAnsi="Palatino Linotype" w:cs="Arial"/>
          <w:szCs w:val="20"/>
        </w:rPr>
        <w:t xml:space="preserve"> yang </w:t>
      </w:r>
      <w:proofErr w:type="spellStart"/>
      <w:r w:rsidR="00796522" w:rsidRPr="00C62ADA">
        <w:rPr>
          <w:rFonts w:ascii="Palatino Linotype" w:hAnsi="Palatino Linotype" w:cs="Arial"/>
          <w:szCs w:val="20"/>
        </w:rPr>
        <w:t>singkat</w:t>
      </w:r>
      <w:proofErr w:type="spellEnd"/>
      <w:r w:rsidR="00796522" w:rsidRPr="00C62ADA">
        <w:rPr>
          <w:rFonts w:ascii="Palatino Linotype" w:hAnsi="Palatino Linotype" w:cs="Arial"/>
          <w:szCs w:val="20"/>
        </w:rPr>
        <w:t xml:space="preserve">, yang sangat </w:t>
      </w:r>
      <w:proofErr w:type="spellStart"/>
      <w:r w:rsidR="00796522" w:rsidRPr="00C62ADA">
        <w:rPr>
          <w:rFonts w:ascii="Palatino Linotype" w:hAnsi="Palatino Linotype" w:cs="Arial"/>
          <w:szCs w:val="20"/>
        </w:rPr>
        <w:t>penting</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dalam</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lastRenderedPageBreak/>
        <w:t>situasi</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darurat</w:t>
      </w:r>
      <w:proofErr w:type="spellEnd"/>
      <w:r w:rsidR="00796522" w:rsidRPr="00C62ADA">
        <w:rPr>
          <w:rFonts w:ascii="Palatino Linotype" w:hAnsi="Palatino Linotype" w:cs="Arial"/>
          <w:szCs w:val="20"/>
        </w:rPr>
        <w:t xml:space="preserve"> </w:t>
      </w:r>
      <w:r w:rsidR="00260E96" w:rsidRPr="00C62ADA">
        <w:rPr>
          <w:rFonts w:ascii="Palatino Linotype" w:hAnsi="Palatino Linotype" w:cs="Arial"/>
          <w:szCs w:val="20"/>
        </w:rPr>
        <w:fldChar w:fldCharType="begin" w:fldLock="1"/>
      </w:r>
      <w:r w:rsidR="00CF740F" w:rsidRPr="00C62ADA">
        <w:rPr>
          <w:rFonts w:ascii="Palatino Linotype" w:hAnsi="Palatino Linotype" w:cs="Arial"/>
          <w:szCs w:val="20"/>
        </w:rPr>
        <w:instrText>ADDIN CSL_CITATION {"citationItems":[{"id":"ITEM-1","itemData":{"DOI":"10.1021/jf101303g","author":[{"dropping-particle":"","family":"Jeschke","given":"Peter","non-dropping-particle":"","parse-names":false,"suffix":""},{"dropping-particle":"","family":"Nauen","given":"Ralf","non-dropping-particle":"","parse-names":false,"suffix":""},{"dropping-particle":"","family":"Schindler","given":"Michael","non-dropping-particle":"","parse-names":false,"suffix":""},{"dropping-particle":"","family":"Elbert","given":"Alfred","non-dropping-particle":"","parse-names":false,"suffix":""}],"container-title":"Journal of Agricultural and Food Chemistry","id":"ITEM-1","issued":{"date-parts":[["2011"]]},"page":"2897-2908","title":"Overview of the status and global strategy for Neonicotinoids","type":"article-journal","volume":"59"},"uris":["http://www.mendeley.com/documents/?uuid=207da6c9-d582-412f-9f91-77d9a3ac3da9"]},{"id":"ITEM-2","itemData":{"DOI":"10.1016/j.pestbp.2014.11.014","ISSN":"0048-3575","author":[{"dropping-particle":"","family":"Sparks","given":"Thomas C","non-dropping-particle":"","parse-names":false,"suffix":""},{"dropping-particle":"","family":"Nauen","given":"Ralf","non-dropping-particle":"","parse-names":false,"suffix":""}],"container-title":"Pesticide Biochemistry and Physiology","id":"ITEM-2","issued":{"date-parts":[["2015"]]},"page":"122-128","publisher":"The Authors","title":"IRAC: Mode of action classification and insecticide resistance management","type":"article-journal","volume":"121"},"uris":["http://www.mendeley.com/documents/?uuid=6f445064-7c6e-48e0-b752-eca8a6b238e4"]},{"id":"ITEM-3","itemData":{"DOI":"10.1371/journal.pone.0258134","ISBN":"1111111111","ISSN":"19326203","PMID":"34591945","abstract":"Pesticides use in Southeast Asia has increased steadily, driven by the growth of large-scale commercial farming, as well as a desire to maximise food production in rural subsistence economies. Given that use of chemical pesticides, such as organophosphates and carbamates, has known potential health impacts, there are concerns about the safety of agricultural workers, and a need for a better evidence base to underpin regulation and worker education. This study, undertaken in 9 districts in Lao PDR, Thailand and Vietnam, will interview agricultural workers to investigate how they use pesticides, their knowledge of risks and self-protective practices, and their self-reported illness symptoms. In each district researchers will recruit and interview 120 participants engaged in vegetable farming, who have recently used pesticides, making a total of 1080 subjects divided equally between the three study countries. Workers' degree of pesticides exposure will be determined from acetyl cholinesterase concentrations in capillary blood samples collected using field test kits, and these data will be analysed together with the interview findings. Country findings will be compared and contrasted, and general patterns noted. Knowledge gained about risky behaviours, self-protective practices and degree of association with serious pesticides exposure will assist policy makers and inform health improvement programmes.","author":[{"dropping-particle":"","family":"Hughes","given":"Dav","non-dropping-particle":"","parse-names":false,"suffix":""},{"dropping-particle":"","family":"Thongkum","given":"Wisit","non-dropping-particle":"","parse-names":false,"suffix":""},{"dropping-particle":"","family":"Tudpor","given":"Kukiat","non-dropping-particle":"","parse-names":false,"suffix":""},{"dropping-particle":"","family":"Turnbull","given":"Niruwan","non-dropping-particle":"","parse-names":false,"suffix":""},{"dropping-particle":"","family":"Yukalang","given":"Nachalida","non-dropping-particle":"","parse-names":false,"suffix":""},{"dropping-particle":"","family":"Sychareun","given":"Vanphanom","non-dropping-particle":"","parse-names":false,"suffix":""},{"dropping-particle":"","family":"Vo","given":"Thang","non-dropping-particle":"Van","parse-names":false,"suffix":""},{"dropping-particle":"","family":"Win","given":"Latt Latt","non-dropping-particle":"","parse-names":false,"suffix":""},{"dropping-particle":"","family":"Watkins","given":"Alan","non-dropping-particle":"","parse-names":false,"suffix":""},{"dropping-particle":"","family":"Jordan","given":"Sue","non-dropping-particle":"","parse-names":false,"suffix":""}],"container-title":"PLoS ONE","id":"ITEM-3","issue":"9","issued":{"date-parts":[["2021"]]},"page":"1-17","title":"Pesticides use and health impacts on farmers in thailand, vietnam, and lao pdr: Protocol for a survey of knowledge, behaviours and blood acetyl cholinesterase concentrations","type":"article-journal","volume":"16"},"uris":["http://www.mendeley.com/documents/?uuid=a17f6946-da8d-42a1-a10c-b14b8e4ee191"]},{"id":"ITEM-4","itemData":{"DOI":"10.3390/agriculture12050600","ISSN":"20770472","abstract":"Pest management is being confronted with immense economic and environmental issues worldwide because of massive utilization and over-reliance on pesticides. The non-target toxicity, residual consequence, and challenging biodegradability of these synthetic pesticides have become a serious concern, which urgently requires the alternative and prompt adoption of sustainable and cost-effective pest control measures. Increasing attention in environmental safety has triggered interest in pest control approaches through eco-friendly plant-based pesticides. Botanical pesticidal constituents are effective against myriads of destructive pests and diseases. More importantly, they are widely available, inexpensive, accessible, rapidly biodegradable, and have little toxicity to beneficiary agents. The phytochemical compositions in diverse plant species are responsible for their varying mechanisms of action against pests and diseases. However, difficulties in their formulation and insufficient appropriate chemical data have led to a low level of acceptance and adoption globally. Therefore, the review seeks to highlight the status, phytochemical compositions, insecticidal mechanisms, and challenges of plant-based pesticide usage in sustainable agricultural production.","author":[{"dropping-particle":"","family":"Ngegba","given":"Patrick Maada","non-dropping-particle":"","parse-names":false,"suffix":""},{"dropping-particle":"","family":"Cui","given":"Gaofeng","non-dropping-particle":"","parse-names":false,"suffix":""},{"dropping-particle":"","family":"Khalid","given":"Muhammad Zaryab","non-dropping-particle":"","parse-names":false,"suffix":""},{"dropping-particle":"","family":"Zhong","given":"Guohua","non-dropping-particle":"","parse-names":false,"suffix":""}],"container-title":"Agriculture","id":"ITEM-4","issue":"5","issued":{"date-parts":[["2022"]]},"page":"1-24","title":"Use of botanical pesticides in agriculture as an alternative to synthetic pesticides","type":"article-journal","volume":"12"},"uris":["http://www.mendeley.com/documents/?uuid=4c9685c6-e249-4272-a227-002ba583f4e9"]}],"mendeley":{"formattedCitation":"(Hughes et al., 2021; Jeschke, Nauen, Schindler, &amp; Elbert, 2011; Ngegba, Cui, Khalid, &amp; Zhong, 2022; Sparks &amp; Nauen, 2015)","manualFormatting":"(Hughes et al., 2021; Jeschke, Nauen, Schindler, &amp; Elbert, 2011; Ngegba et al., 2022; Sparks &amp; Nauen, 2015)","plainTextFormattedCitation":"(Hughes et al., 2021; Jeschke, Nauen, Schindler, &amp; Elbert, 2011; Ngegba, Cui, Khalid, &amp; Zhong, 2022; Sparks &amp; Nauen, 2015)","previouslyFormattedCitation":"(Hughes et al., 2021; Jeschke et al., 2011; Ngegba et al., 2022; Sparks &amp; Nauen, 2015)"},"properties":{"noteIndex":0},"schema":"https://github.com/citation-style-language/schema/raw/master/csl-citation.json"}</w:instrText>
      </w:r>
      <w:r w:rsidR="00260E96" w:rsidRPr="00C62ADA">
        <w:rPr>
          <w:rFonts w:ascii="Palatino Linotype" w:hAnsi="Palatino Linotype" w:cs="Arial"/>
          <w:szCs w:val="20"/>
        </w:rPr>
        <w:fldChar w:fldCharType="separate"/>
      </w:r>
      <w:r w:rsidR="00260E96" w:rsidRPr="00C62ADA">
        <w:rPr>
          <w:rFonts w:ascii="Palatino Linotype" w:hAnsi="Palatino Linotype" w:cs="Arial"/>
          <w:noProof/>
          <w:szCs w:val="20"/>
        </w:rPr>
        <w:t>(Hughes et al., 2021; Jeschke, Nauen, Schindler, &amp; Elbert, 2011; Ngegba</w:t>
      </w:r>
      <w:r w:rsidR="001C50B4" w:rsidRPr="00C62ADA">
        <w:rPr>
          <w:rFonts w:ascii="Palatino Linotype" w:hAnsi="Palatino Linotype" w:cs="Arial"/>
          <w:noProof/>
          <w:szCs w:val="20"/>
        </w:rPr>
        <w:t xml:space="preserve"> et al.</w:t>
      </w:r>
      <w:r w:rsidR="00260E96" w:rsidRPr="00C62ADA">
        <w:rPr>
          <w:rFonts w:ascii="Palatino Linotype" w:hAnsi="Palatino Linotype" w:cs="Arial"/>
          <w:noProof/>
          <w:szCs w:val="20"/>
        </w:rPr>
        <w:t>, 2022; Sparks &amp; Nauen, 2015)</w:t>
      </w:r>
      <w:r w:rsidR="00260E96" w:rsidRPr="00C62ADA">
        <w:rPr>
          <w:rFonts w:ascii="Palatino Linotype" w:hAnsi="Palatino Linotype" w:cs="Arial"/>
          <w:szCs w:val="20"/>
        </w:rPr>
        <w:fldChar w:fldCharType="end"/>
      </w:r>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Siklus</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tanam</w:t>
      </w:r>
      <w:proofErr w:type="spellEnd"/>
      <w:r w:rsidR="00796522" w:rsidRPr="00C62ADA">
        <w:rPr>
          <w:rFonts w:ascii="Palatino Linotype" w:hAnsi="Palatino Linotype" w:cs="Arial"/>
          <w:szCs w:val="20"/>
        </w:rPr>
        <w:t xml:space="preserve"> yang </w:t>
      </w:r>
      <w:proofErr w:type="spellStart"/>
      <w:r w:rsidR="00796522" w:rsidRPr="00C62ADA">
        <w:rPr>
          <w:rFonts w:ascii="Palatino Linotype" w:hAnsi="Palatino Linotype" w:cs="Arial"/>
          <w:szCs w:val="20"/>
        </w:rPr>
        <w:t>padat</w:t>
      </w:r>
      <w:proofErr w:type="spellEnd"/>
      <w:r w:rsidR="00796522" w:rsidRPr="00C62ADA">
        <w:rPr>
          <w:rFonts w:ascii="Palatino Linotype" w:hAnsi="Palatino Linotype" w:cs="Arial"/>
          <w:szCs w:val="20"/>
        </w:rPr>
        <w:t xml:space="preserve"> dan </w:t>
      </w:r>
      <w:proofErr w:type="spellStart"/>
      <w:r w:rsidR="00796522" w:rsidRPr="00C62ADA">
        <w:rPr>
          <w:rFonts w:ascii="Palatino Linotype" w:hAnsi="Palatino Linotype" w:cs="Arial"/>
          <w:szCs w:val="20"/>
        </w:rPr>
        <w:t>kebutuhan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untuk</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merespon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dengan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cepat</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terhadap</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serangan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hama</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membuat</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petani</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memilih</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metode</w:t>
      </w:r>
      <w:proofErr w:type="spellEnd"/>
      <w:r w:rsidR="00796522" w:rsidRPr="00C62ADA">
        <w:rPr>
          <w:rFonts w:ascii="Palatino Linotype" w:hAnsi="Palatino Linotype" w:cs="Arial"/>
          <w:szCs w:val="20"/>
        </w:rPr>
        <w:t xml:space="preserve"> yang </w:t>
      </w:r>
      <w:proofErr w:type="spellStart"/>
      <w:r w:rsidR="00796522" w:rsidRPr="00C62ADA">
        <w:rPr>
          <w:rFonts w:ascii="Palatino Linotype" w:hAnsi="Palatino Linotype" w:cs="Arial"/>
          <w:szCs w:val="20"/>
        </w:rPr>
        <w:t>dapat</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segera</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diaplikasikan</w:t>
      </w:r>
      <w:proofErr w:type="spellEnd"/>
      <w:r w:rsidR="00796522" w:rsidRPr="00C62ADA">
        <w:rPr>
          <w:rFonts w:ascii="Palatino Linotype" w:hAnsi="Palatino Linotype" w:cs="Arial"/>
          <w:szCs w:val="20"/>
        </w:rPr>
        <w:t xml:space="preserve"> dan </w:t>
      </w:r>
      <w:proofErr w:type="spellStart"/>
      <w:r w:rsidR="00796522" w:rsidRPr="00C62ADA">
        <w:rPr>
          <w:rFonts w:ascii="Palatino Linotype" w:hAnsi="Palatino Linotype" w:cs="Arial"/>
          <w:szCs w:val="20"/>
        </w:rPr>
        <w:t>memberikan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hasil</w:t>
      </w:r>
      <w:proofErr w:type="spellEnd"/>
      <w:r w:rsidR="00796522" w:rsidRPr="00C62ADA">
        <w:rPr>
          <w:rFonts w:ascii="Palatino Linotype" w:hAnsi="Palatino Linotype" w:cs="Arial"/>
          <w:szCs w:val="20"/>
        </w:rPr>
        <w:t xml:space="preserve"> yang </w:t>
      </w:r>
      <w:proofErr w:type="spellStart"/>
      <w:r w:rsidR="00796522" w:rsidRPr="00C62ADA">
        <w:rPr>
          <w:rFonts w:ascii="Palatino Linotype" w:hAnsi="Palatino Linotype" w:cs="Arial"/>
          <w:szCs w:val="20"/>
        </w:rPr>
        <w:t>cepat</w:t>
      </w:r>
      <w:proofErr w:type="spellEnd"/>
      <w:r w:rsidR="00796522" w:rsidRPr="00C62ADA">
        <w:rPr>
          <w:rFonts w:ascii="Palatino Linotype" w:hAnsi="Palatino Linotype" w:cs="Arial"/>
          <w:szCs w:val="20"/>
        </w:rPr>
        <w:t xml:space="preserve"> </w:t>
      </w:r>
      <w:r w:rsidR="00260E96" w:rsidRPr="00C62ADA">
        <w:rPr>
          <w:rFonts w:ascii="Palatino Linotype" w:hAnsi="Palatino Linotype" w:cs="Arial"/>
          <w:szCs w:val="20"/>
        </w:rPr>
        <w:fldChar w:fldCharType="begin" w:fldLock="1"/>
      </w:r>
      <w:r w:rsidR="009300E9" w:rsidRPr="00C62ADA">
        <w:rPr>
          <w:rFonts w:ascii="Palatino Linotype" w:hAnsi="Palatino Linotype" w:cs="Arial"/>
          <w:szCs w:val="20"/>
        </w:rPr>
        <w:instrText>ADDIN CSL_CITATION {"citationItems":[{"id":"ITEM-1","itemData":{"DOI":"10.3390/agriculture12050600","ISSN":"20770472","abstract":"Pest management is being confronted with immense economic and environmental issues worldwide because of massive utilization and over-reliance on pesticides. The non-target toxicity, residual consequence, and challenging biodegradability of these synthetic pesticides have become a serious concern, which urgently requires the alternative and prompt adoption of sustainable and cost-effective pest control measures. Increasing attention in environmental safety has triggered interest in pest control approaches through eco-friendly plant-based pesticides. Botanical pesticidal constituents are effective against myriads of destructive pests and diseases. More importantly, they are widely available, inexpensive, accessible, rapidly biodegradable, and have little toxicity to beneficiary agents. The phytochemical compositions in diverse plant species are responsible for their varying mechanisms of action against pests and diseases. However, difficulties in their formulation and insufficient appropriate chemical data have led to a low level of acceptance and adoption globally. Therefore, the review seeks to highlight the status, phytochemical compositions, insecticidal mechanisms, and challenges of plant-based pesticide usage in sustainable agricultural production.","author":[{"dropping-particle":"","family":"Ngegba","given":"Patrick Maada","non-dropping-particle":"","parse-names":false,"suffix":""},{"dropping-particle":"","family":"Cui","given":"Gaofeng","non-dropping-particle":"","parse-names":false,"suffix":""},{"dropping-particle":"","family":"Khalid","given":"Muhammad Zaryab","non-dropping-particle":"","parse-names":false,"suffix":""},{"dropping-particle":"","family":"Zhong","given":"Guohua","non-dropping-particle":"","parse-names":false,"suffix":""}],"container-title":"Agriculture","id":"ITEM-1","issue":"5","issued":{"date-parts":[["2022"]]},"page":"1-24","title":"Use of botanical pesticides in agriculture as an alternative to synthetic pesticides","type":"article-journal","volume":"12"},"uris":["http://www.mendeley.com/documents/?uuid=4c9685c6-e249-4272-a227-002ba583f4e9"]}],"mendeley":{"formattedCitation":"(Ngegba et al., 2022)","plainTextFormattedCitation":"(Ngegba et al., 2022)","previouslyFormattedCitation":"(Ngegba et al., 2022)"},"properties":{"noteIndex":0},"schema":"https://github.com/citation-style-language/schema/raw/master/csl-citation.json"}</w:instrText>
      </w:r>
      <w:r w:rsidR="00260E96" w:rsidRPr="00C62ADA">
        <w:rPr>
          <w:rFonts w:ascii="Palatino Linotype" w:hAnsi="Palatino Linotype" w:cs="Arial"/>
          <w:szCs w:val="20"/>
        </w:rPr>
        <w:fldChar w:fldCharType="separate"/>
      </w:r>
      <w:r w:rsidR="00260E96" w:rsidRPr="00C62ADA">
        <w:rPr>
          <w:rFonts w:ascii="Palatino Linotype" w:hAnsi="Palatino Linotype" w:cs="Arial"/>
          <w:noProof/>
          <w:szCs w:val="20"/>
        </w:rPr>
        <w:t>(Ngegba et al., 2022)</w:t>
      </w:r>
      <w:r w:rsidR="00260E96" w:rsidRPr="00C62ADA">
        <w:rPr>
          <w:rFonts w:ascii="Palatino Linotype" w:hAnsi="Palatino Linotype" w:cs="Arial"/>
          <w:szCs w:val="20"/>
        </w:rPr>
        <w:fldChar w:fldCharType="end"/>
      </w:r>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Kemudian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pestisida</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sintetis</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umumnya</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lebih</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mudah</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diakses</w:t>
      </w:r>
      <w:proofErr w:type="spellEnd"/>
      <w:r w:rsidR="00796522" w:rsidRPr="00C62ADA">
        <w:rPr>
          <w:rFonts w:ascii="Palatino Linotype" w:hAnsi="Palatino Linotype" w:cs="Arial"/>
          <w:szCs w:val="20"/>
        </w:rPr>
        <w:t xml:space="preserve"> dan </w:t>
      </w:r>
      <w:proofErr w:type="spellStart"/>
      <w:r w:rsidR="00796522" w:rsidRPr="00C62ADA">
        <w:rPr>
          <w:rFonts w:ascii="Palatino Linotype" w:hAnsi="Palatino Linotype" w:cs="Arial"/>
          <w:szCs w:val="20"/>
        </w:rPr>
        <w:t>tersedia</w:t>
      </w:r>
      <w:proofErr w:type="spellEnd"/>
      <w:r w:rsidR="00796522" w:rsidRPr="00C62ADA">
        <w:rPr>
          <w:rFonts w:ascii="Palatino Linotype" w:hAnsi="Palatino Linotype" w:cs="Arial"/>
          <w:szCs w:val="20"/>
        </w:rPr>
        <w:t xml:space="preserve"> di pasar </w:t>
      </w:r>
      <w:proofErr w:type="spellStart"/>
      <w:r w:rsidR="00796522" w:rsidRPr="00C62ADA">
        <w:rPr>
          <w:rFonts w:ascii="Palatino Linotype" w:hAnsi="Palatino Linotype" w:cs="Arial"/>
          <w:szCs w:val="20"/>
        </w:rPr>
        <w:t>lokal</w:t>
      </w:r>
      <w:proofErr w:type="spellEnd"/>
      <w:r w:rsidR="00796522" w:rsidRPr="00C62ADA">
        <w:rPr>
          <w:rFonts w:ascii="Palatino Linotype" w:hAnsi="Palatino Linotype" w:cs="Arial"/>
          <w:szCs w:val="20"/>
        </w:rPr>
        <w:t xml:space="preserve">. Hal </w:t>
      </w:r>
      <w:proofErr w:type="spellStart"/>
      <w:r w:rsidR="00796522" w:rsidRPr="00C62ADA">
        <w:rPr>
          <w:rFonts w:ascii="Palatino Linotype" w:hAnsi="Palatino Linotype" w:cs="Arial"/>
          <w:szCs w:val="20"/>
        </w:rPr>
        <w:t>tersebut</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memudahkan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petani</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untuk</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mendapatkannya</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dibandingkan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dengan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biopestisida</w:t>
      </w:r>
      <w:proofErr w:type="spellEnd"/>
      <w:r w:rsidR="00796522" w:rsidRPr="00C62ADA">
        <w:rPr>
          <w:rFonts w:ascii="Palatino Linotype" w:hAnsi="Palatino Linotype" w:cs="Arial"/>
          <w:szCs w:val="20"/>
        </w:rPr>
        <w:t xml:space="preserve"> yang </w:t>
      </w:r>
      <w:proofErr w:type="spellStart"/>
      <w:r w:rsidR="00796522" w:rsidRPr="00C62ADA">
        <w:rPr>
          <w:rFonts w:ascii="Palatino Linotype" w:hAnsi="Palatino Linotype" w:cs="Arial"/>
          <w:szCs w:val="20"/>
        </w:rPr>
        <w:t>mungkin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kurang</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tersedia</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atau</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memerlukan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pengetahuan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khusus</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untuk</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digunakan</w:t>
      </w:r>
      <w:proofErr w:type="spellEnd"/>
      <w:r w:rsidR="00796522" w:rsidRPr="00C62ADA">
        <w:rPr>
          <w:rFonts w:ascii="Palatino Linotype" w:hAnsi="Palatino Linotype" w:cs="Arial"/>
          <w:szCs w:val="20"/>
        </w:rPr>
        <w:t xml:space="preserve"> </w:t>
      </w:r>
      <w:r w:rsidR="00260E96" w:rsidRPr="00C62ADA">
        <w:rPr>
          <w:rFonts w:ascii="Palatino Linotype" w:hAnsi="Palatino Linotype" w:cs="Arial"/>
          <w:szCs w:val="20"/>
        </w:rPr>
        <w:fldChar w:fldCharType="begin" w:fldLock="1"/>
      </w:r>
      <w:r w:rsidR="00CF740F" w:rsidRPr="00C62ADA">
        <w:rPr>
          <w:rFonts w:ascii="Palatino Linotype" w:hAnsi="Palatino Linotype" w:cs="Arial"/>
          <w:szCs w:val="20"/>
        </w:rPr>
        <w:instrText>ADDIN CSL_CITATION {"citationItems":[{"id":"ITEM-1","itemData":{"DOI":"10.3390/agriculture13081590","ISSN":"20770472","abstract":"Biopesticides are perceived as a feasible alternative to chemical pesticides, providing an effective approach to pest management while mitigating the undesirable effects of chemical pesticide overuse. Yet, due to the distinctive attributes of the two types of pesticides, farmers often adopt a combination of both. This study aimed to probe the interdependent relationship underlying the mixed use of chemical pesticides and biopesticides by farmers in the rice–crayfish integrated system (RCIS) in Hubei province, China. We also sought to identify influencing factors and associated consequences of this practice. Given that the adoption of chemical pesticides and biopesticides by farmers is not mutually exclusive, a multivariable probit model was utilized to estimate simultaneous pesticide applications. Survey data from 736 RCIS farmers revealed that 10.50% of the sample farmers employ a combination of chemical pesticides and biopesticides. A substitution relationship was observed between the adoption of chemical pesticides and biopesticides by farmers, whereas no significant complementary relationship was found in the application of the two types of pesticides. The primary motivation for the mixed use of pesticides by farmers is to achieve superior pest control efficacy. Notably, when integrating the use of pesticides, farmers pay less attention to factors such as resource endowments and multiple production objectives. Further analysis indicated that farmers display significant concern for pesticide attributes including insecticidal efficacy, toxicity, insecticidal spectrum, and validity period. The mixed use of pesticides has resulted in a decreased frequency of pesticide application but has escalated the cost. While the mixed use of pesticides elevated the selling price of rice, no significant improvement was observed in yield and output value. The insights garnered from this study offer strategic implications for policymakers on how to enhance the judicious adoption of pesticides by farmers.","author":[{"dropping-particle":"","family":"Liu","given":"Ke","non-dropping-particle":"","parse-names":false,"suffix":""},{"dropping-particle":"","family":"Qi","given":"Zhenhong","non-dropping-particle":"","parse-names":false,"suffix":""},{"dropping-particle":"","family":"Tan","given":"Li","non-dropping-particle":"","parse-names":false,"suffix":""},{"dropping-particle":"","family":"Yang","given":"Caiyan","non-dropping-particle":"","parse-names":false,"suffix":""},{"dropping-particle":"","family":"Hu","given":"Canwei","non-dropping-particle":"","parse-names":false,"suffix":""}],"container-title":"Agriculture","id":"ITEM-1","issue":"8","issued":{"date-parts":[["2023"]]},"page":"1-17","title":"Mixed use of chemical pesticides and biopesticides among rice-crayfish integrated system farmers in China: A multivariate probit approach","type":"article-journal","volume":"13"},"uris":["http://www.mendeley.com/documents/?uuid=5925c2a7-73ce-4aa2-89aa-d81e8267db1a"]}],"mendeley":{"formattedCitation":"(Liu, Qi, Tan, Yang, &amp; Hu, 2023)","plainTextFormattedCitation":"(Liu, Qi, Tan, Yang, &amp; Hu, 2023)","previouslyFormattedCitation":"(Liu et al., 2023)"},"properties":{"noteIndex":0},"schema":"https://github.com/citation-style-language/schema/raw/master/csl-citation.json"}</w:instrText>
      </w:r>
      <w:r w:rsidR="00260E96" w:rsidRPr="00C62ADA">
        <w:rPr>
          <w:rFonts w:ascii="Palatino Linotype" w:hAnsi="Palatino Linotype" w:cs="Arial"/>
          <w:szCs w:val="20"/>
        </w:rPr>
        <w:fldChar w:fldCharType="separate"/>
      </w:r>
      <w:r w:rsidR="00CF740F" w:rsidRPr="00C62ADA">
        <w:rPr>
          <w:rFonts w:ascii="Palatino Linotype" w:hAnsi="Palatino Linotype" w:cs="Arial"/>
          <w:noProof/>
          <w:szCs w:val="20"/>
        </w:rPr>
        <w:t>(Liu, Qi, Tan, Yang, &amp; Hu, 2023)</w:t>
      </w:r>
      <w:r w:rsidR="00260E96" w:rsidRPr="00C62ADA">
        <w:rPr>
          <w:rFonts w:ascii="Palatino Linotype" w:hAnsi="Palatino Linotype" w:cs="Arial"/>
          <w:szCs w:val="20"/>
        </w:rPr>
        <w:fldChar w:fldCharType="end"/>
      </w:r>
      <w:r w:rsidR="00796522" w:rsidRPr="00C62ADA">
        <w:rPr>
          <w:rFonts w:ascii="Palatino Linotype" w:hAnsi="Palatino Linotype" w:cs="Arial"/>
          <w:szCs w:val="20"/>
        </w:rPr>
        <w:t xml:space="preserve">. Selain </w:t>
      </w:r>
      <w:proofErr w:type="spellStart"/>
      <w:r w:rsidR="00796522" w:rsidRPr="00C62ADA">
        <w:rPr>
          <w:rFonts w:ascii="Palatino Linotype" w:hAnsi="Palatino Linotype" w:cs="Arial"/>
          <w:szCs w:val="20"/>
        </w:rPr>
        <w:t>itu</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banyak</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petani</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telah</w:t>
      </w:r>
      <w:proofErr w:type="spellEnd"/>
      <w:r w:rsidR="00796522" w:rsidRPr="00C62ADA">
        <w:rPr>
          <w:rFonts w:ascii="Palatino Linotype" w:hAnsi="Palatino Linotype" w:cs="Arial"/>
          <w:szCs w:val="20"/>
        </w:rPr>
        <w:t xml:space="preserve"> lama </w:t>
      </w:r>
      <w:proofErr w:type="spellStart"/>
      <w:r w:rsidR="00796522" w:rsidRPr="00C62ADA">
        <w:rPr>
          <w:rFonts w:ascii="Palatino Linotype" w:hAnsi="Palatino Linotype" w:cs="Arial"/>
          <w:szCs w:val="20"/>
        </w:rPr>
        <w:t>menggunakan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pestisida</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sintetis</w:t>
      </w:r>
      <w:proofErr w:type="spellEnd"/>
      <w:r w:rsidR="00796522" w:rsidRPr="00C62ADA">
        <w:rPr>
          <w:rFonts w:ascii="Palatino Linotype" w:hAnsi="Palatino Linotype" w:cs="Arial"/>
          <w:szCs w:val="20"/>
        </w:rPr>
        <w:t xml:space="preserve"> dan </w:t>
      </w:r>
      <w:proofErr w:type="spellStart"/>
      <w:r w:rsidR="00796522" w:rsidRPr="00C62ADA">
        <w:rPr>
          <w:rFonts w:ascii="Palatino Linotype" w:hAnsi="Palatino Linotype" w:cs="Arial"/>
          <w:szCs w:val="20"/>
        </w:rPr>
        <w:t>merasa</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nyaman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serta</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percaya</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terhadap</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efektivitasnya</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Perubahan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ke</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metode</w:t>
      </w:r>
      <w:proofErr w:type="spellEnd"/>
      <w:r w:rsidR="00796522" w:rsidRPr="00C62ADA">
        <w:rPr>
          <w:rFonts w:ascii="Palatino Linotype" w:hAnsi="Palatino Linotype" w:cs="Arial"/>
          <w:szCs w:val="20"/>
        </w:rPr>
        <w:t xml:space="preserve"> lain </w:t>
      </w:r>
      <w:proofErr w:type="spellStart"/>
      <w:r w:rsidR="00796522" w:rsidRPr="00C62ADA">
        <w:rPr>
          <w:rFonts w:ascii="Palatino Linotype" w:hAnsi="Palatino Linotype" w:cs="Arial"/>
          <w:szCs w:val="20"/>
        </w:rPr>
        <w:t>memerlukan</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waktu</w:t>
      </w:r>
      <w:proofErr w:type="spellEnd"/>
      <w:r w:rsidR="00796522" w:rsidRPr="00C62ADA">
        <w:rPr>
          <w:rFonts w:ascii="Palatino Linotype" w:hAnsi="Palatino Linotype" w:cs="Arial"/>
          <w:szCs w:val="20"/>
        </w:rPr>
        <w:t xml:space="preserve"> dan </w:t>
      </w:r>
      <w:proofErr w:type="spellStart"/>
      <w:r w:rsidR="00796522" w:rsidRPr="00C62ADA">
        <w:rPr>
          <w:rFonts w:ascii="Palatino Linotype" w:hAnsi="Palatino Linotype" w:cs="Arial"/>
          <w:szCs w:val="20"/>
        </w:rPr>
        <w:t>pendidikan</w:t>
      </w:r>
      <w:proofErr w:type="spellEnd"/>
      <w:r w:rsidR="00796522" w:rsidRPr="00C62ADA">
        <w:rPr>
          <w:rFonts w:ascii="Palatino Linotype" w:hAnsi="Palatino Linotype" w:cs="Arial"/>
          <w:szCs w:val="20"/>
        </w:rPr>
        <w:t xml:space="preserve"> yang </w:t>
      </w:r>
      <w:proofErr w:type="spellStart"/>
      <w:r w:rsidR="00796522" w:rsidRPr="00C62ADA">
        <w:rPr>
          <w:rFonts w:ascii="Palatino Linotype" w:hAnsi="Palatino Linotype" w:cs="Arial"/>
          <w:szCs w:val="20"/>
        </w:rPr>
        <w:t>lebih</w:t>
      </w:r>
      <w:proofErr w:type="spellEnd"/>
      <w:r w:rsidR="00796522" w:rsidRPr="00C62ADA">
        <w:rPr>
          <w:rFonts w:ascii="Palatino Linotype" w:hAnsi="Palatino Linotype" w:cs="Arial"/>
          <w:szCs w:val="20"/>
        </w:rPr>
        <w:t xml:space="preserve"> </w:t>
      </w:r>
      <w:proofErr w:type="spellStart"/>
      <w:r w:rsidR="00796522" w:rsidRPr="00C62ADA">
        <w:rPr>
          <w:rFonts w:ascii="Palatino Linotype" w:hAnsi="Palatino Linotype" w:cs="Arial"/>
          <w:szCs w:val="20"/>
        </w:rPr>
        <w:t>intensif</w:t>
      </w:r>
      <w:proofErr w:type="spellEnd"/>
      <w:r w:rsidR="00260E96" w:rsidRPr="00C62ADA">
        <w:rPr>
          <w:rFonts w:ascii="Palatino Linotype" w:hAnsi="Palatino Linotype" w:cs="Arial"/>
          <w:szCs w:val="20"/>
        </w:rPr>
        <w:t xml:space="preserve"> </w:t>
      </w:r>
      <w:r w:rsidR="00260E96" w:rsidRPr="00C62ADA">
        <w:rPr>
          <w:rFonts w:ascii="Palatino Linotype" w:hAnsi="Palatino Linotype" w:cs="Arial"/>
          <w:szCs w:val="20"/>
        </w:rPr>
        <w:fldChar w:fldCharType="begin" w:fldLock="1"/>
      </w:r>
      <w:r w:rsidR="009300E9" w:rsidRPr="00C62ADA">
        <w:rPr>
          <w:rFonts w:ascii="Palatino Linotype" w:hAnsi="Palatino Linotype" w:cs="Arial"/>
          <w:szCs w:val="20"/>
        </w:rPr>
        <w:instrText>ADDIN CSL_CITATION {"citationItems":[{"id":"ITEM-1","itemData":{"DOI":"10.3390/agriculture12050600","ISSN":"20770472","abstract":"Pest management is being confronted with immense economic and environmental issues worldwide because of massive utilization and over-reliance on pesticides. The non-target toxicity, residual consequence, and challenging biodegradability of these synthetic pesticides have become a serious concern, which urgently requires the alternative and prompt adoption of sustainable and cost-effective pest control measures. Increasing attention in environmental safety has triggered interest in pest control approaches through eco-friendly plant-based pesticides. Botanical pesticidal constituents are effective against myriads of destructive pests and diseases. More importantly, they are widely available, inexpensive, accessible, rapidly biodegradable, and have little toxicity to beneficiary agents. The phytochemical compositions in diverse plant species are responsible for their varying mechanisms of action against pests and diseases. However, difficulties in their formulation and insufficient appropriate chemical data have led to a low level of acceptance and adoption globally. Therefore, the review seeks to highlight the status, phytochemical compositions, insecticidal mechanisms, and challenges of plant-based pesticide usage in sustainable agricultural production.","author":[{"dropping-particle":"","family":"Ngegba","given":"Patrick Maada","non-dropping-particle":"","parse-names":false,"suffix":""},{"dropping-particle":"","family":"Cui","given":"Gaofeng","non-dropping-particle":"","parse-names":false,"suffix":""},{"dropping-particle":"","family":"Khalid","given":"Muhammad Zaryab","non-dropping-particle":"","parse-names":false,"suffix":""},{"dropping-particle":"","family":"Zhong","given":"Guohua","non-dropping-particle":"","parse-names":false,"suffix":""}],"container-title":"Agriculture","id":"ITEM-1","issue":"5","issued":{"date-parts":[["2022"]]},"page":"1-24","title":"Use of botanical pesticides in agriculture as an alternative to synthetic pesticides","type":"article-journal","volume":"12"},"uris":["http://www.mendeley.com/documents/?uuid=4c9685c6-e249-4272-a227-002ba583f4e9"]}],"mendeley":{"formattedCitation":"(Ngegba et al., 2022)","plainTextFormattedCitation":"(Ngegba et al., 2022)","previouslyFormattedCitation":"(Ngegba et al., 2022)"},"properties":{"noteIndex":0},"schema":"https://github.com/citation-style-language/schema/raw/master/csl-citation.json"}</w:instrText>
      </w:r>
      <w:r w:rsidR="00260E96" w:rsidRPr="00C62ADA">
        <w:rPr>
          <w:rFonts w:ascii="Palatino Linotype" w:hAnsi="Palatino Linotype" w:cs="Arial"/>
          <w:szCs w:val="20"/>
        </w:rPr>
        <w:fldChar w:fldCharType="separate"/>
      </w:r>
      <w:r w:rsidR="00260E96" w:rsidRPr="00C62ADA">
        <w:rPr>
          <w:rFonts w:ascii="Palatino Linotype" w:hAnsi="Palatino Linotype" w:cs="Arial"/>
          <w:noProof/>
          <w:szCs w:val="20"/>
        </w:rPr>
        <w:t>(Ngegba et al., 2022)</w:t>
      </w:r>
      <w:r w:rsidR="00260E96" w:rsidRPr="00C62ADA">
        <w:rPr>
          <w:rFonts w:ascii="Palatino Linotype" w:hAnsi="Palatino Linotype" w:cs="Arial"/>
          <w:szCs w:val="20"/>
        </w:rPr>
        <w:fldChar w:fldCharType="end"/>
      </w:r>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Penelitian</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dari</w:t>
      </w:r>
      <w:proofErr w:type="spellEnd"/>
      <w:r w:rsidR="00260E96" w:rsidRPr="00C62ADA">
        <w:rPr>
          <w:rFonts w:ascii="Palatino Linotype" w:hAnsi="Palatino Linotype" w:cs="Arial"/>
          <w:szCs w:val="20"/>
        </w:rPr>
        <w:t xml:space="preserve"> </w:t>
      </w:r>
      <w:r w:rsidR="00260E96" w:rsidRPr="00C62ADA">
        <w:rPr>
          <w:rFonts w:ascii="Palatino Linotype" w:hAnsi="Palatino Linotype" w:cs="Arial"/>
          <w:szCs w:val="20"/>
        </w:rPr>
        <w:fldChar w:fldCharType="begin" w:fldLock="1"/>
      </w:r>
      <w:r w:rsidR="009300E9" w:rsidRPr="00C62ADA">
        <w:rPr>
          <w:rFonts w:ascii="Palatino Linotype" w:hAnsi="Palatino Linotype" w:cs="Arial"/>
          <w:szCs w:val="20"/>
        </w:rPr>
        <w:instrText>ADDIN CSL_CITATION {"citationItems":[{"id":"ITEM-1","itemData":{"DOI":"10.3390/agriculture12050600","ISSN":"20770472","abstract":"Pest management is being confronted with immense economic and environmental issues worldwide because of massive utilization and over-reliance on pesticides. The non-target toxicity, residual consequence, and challenging biodegradability of these synthetic pesticides have become a serious concern, which urgently requires the alternative and prompt adoption of sustainable and cost-effective pest control measures. Increasing attention in environmental safety has triggered interest in pest control approaches through eco-friendly plant-based pesticides. Botanical pesticidal constituents are effective against myriads of destructive pests and diseases. More importantly, they are widely available, inexpensive, accessible, rapidly biodegradable, and have little toxicity to beneficiary agents. The phytochemical compositions in diverse plant species are responsible for their varying mechanisms of action against pests and diseases. However, difficulties in their formulation and insufficient appropriate chemical data have led to a low level of acceptance and adoption globally. Therefore, the review seeks to highlight the status, phytochemical compositions, insecticidal mechanisms, and challenges of plant-based pesticide usage in sustainable agricultural production.","author":[{"dropping-particle":"","family":"Ngegba","given":"Patrick Maada","non-dropping-particle":"","parse-names":false,"suffix":""},{"dropping-particle":"","family":"Cui","given":"Gaofeng","non-dropping-particle":"","parse-names":false,"suffix":""},{"dropping-particle":"","family":"Khalid","given":"Muhammad Zaryab","non-dropping-particle":"","parse-names":false,"suffix":""},{"dropping-particle":"","family":"Zhong","given":"Guohua","non-dropping-particle":"","parse-names":false,"suffix":""}],"container-title":"Agriculture","id":"ITEM-1","issue":"5","issued":{"date-parts":[["2022"]]},"page":"1-24","title":"Use of botanical pesticides in agriculture as an alternative to synthetic pesticides","type":"article-journal","volume":"12"},"uris":["http://www.mendeley.com/documents/?uuid=4c9685c6-e249-4272-a227-002ba583f4e9"]}],"mendeley":{"formattedCitation":"(Ngegba et al., 2022)","manualFormatting":"Ngegba et al. (2022)","plainTextFormattedCitation":"(Ngegba et al., 2022)","previouslyFormattedCitation":"(Ngegba et al., 2022)"},"properties":{"noteIndex":0},"schema":"https://github.com/citation-style-language/schema/raw/master/csl-citation.json"}</w:instrText>
      </w:r>
      <w:r w:rsidR="00260E96" w:rsidRPr="00C62ADA">
        <w:rPr>
          <w:rFonts w:ascii="Palatino Linotype" w:hAnsi="Palatino Linotype" w:cs="Arial"/>
          <w:szCs w:val="20"/>
        </w:rPr>
        <w:fldChar w:fldCharType="separate"/>
      </w:r>
      <w:r w:rsidR="00260E96" w:rsidRPr="00C62ADA">
        <w:rPr>
          <w:rFonts w:ascii="Palatino Linotype" w:hAnsi="Palatino Linotype" w:cs="Arial"/>
          <w:noProof/>
          <w:szCs w:val="20"/>
        </w:rPr>
        <w:t>Ngegba et al. (2022)</w:t>
      </w:r>
      <w:r w:rsidR="00260E96" w:rsidRPr="00C62ADA">
        <w:rPr>
          <w:rFonts w:ascii="Palatino Linotype" w:hAnsi="Palatino Linotype" w:cs="Arial"/>
          <w:szCs w:val="20"/>
        </w:rPr>
        <w:fldChar w:fldCharType="end"/>
      </w:r>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menghasilkan</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bahwa</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meskipun</w:t>
      </w:r>
      <w:proofErr w:type="spellEnd"/>
      <w:r w:rsidR="00A1078A" w:rsidRPr="00C62ADA">
        <w:rPr>
          <w:rFonts w:ascii="Palatino Linotype" w:hAnsi="Palatino Linotype" w:cs="Arial"/>
          <w:szCs w:val="20"/>
        </w:rPr>
        <w:t xml:space="preserve"> </w:t>
      </w:r>
      <w:proofErr w:type="spellStart"/>
      <w:r w:rsidR="00A1078A" w:rsidRPr="00C62ADA">
        <w:rPr>
          <w:rFonts w:ascii="Palatino Linotype" w:hAnsi="Palatino Linotype" w:cs="Arial"/>
          <w:szCs w:val="20"/>
        </w:rPr>
        <w:t>petani</w:t>
      </w:r>
      <w:proofErr w:type="spellEnd"/>
      <w:r w:rsidR="00A1078A" w:rsidRPr="00C62ADA">
        <w:rPr>
          <w:rFonts w:ascii="Palatino Linotype" w:hAnsi="Palatino Linotype" w:cs="Arial"/>
          <w:szCs w:val="20"/>
        </w:rPr>
        <w:t xml:space="preserve"> </w:t>
      </w:r>
      <w:proofErr w:type="spellStart"/>
      <w:r w:rsidR="00A1078A" w:rsidRPr="00C62ADA">
        <w:rPr>
          <w:rFonts w:ascii="Palatino Linotype" w:hAnsi="Palatino Linotype" w:cs="Arial"/>
          <w:szCs w:val="20"/>
        </w:rPr>
        <w:t>memiliki</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kesadaran</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tentang</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dampak</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negatif</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pestisida</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sintetis</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kebutuhan</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akan</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hasil</w:t>
      </w:r>
      <w:proofErr w:type="spellEnd"/>
      <w:r w:rsidR="00260E96" w:rsidRPr="00C62ADA">
        <w:rPr>
          <w:rFonts w:ascii="Palatino Linotype" w:hAnsi="Palatino Linotype" w:cs="Arial"/>
          <w:szCs w:val="20"/>
        </w:rPr>
        <w:t xml:space="preserve"> yang </w:t>
      </w:r>
      <w:proofErr w:type="spellStart"/>
      <w:r w:rsidR="00260E96" w:rsidRPr="00C62ADA">
        <w:rPr>
          <w:rFonts w:ascii="Palatino Linotype" w:hAnsi="Palatino Linotype" w:cs="Arial"/>
          <w:szCs w:val="20"/>
        </w:rPr>
        <w:t>cepat</w:t>
      </w:r>
      <w:proofErr w:type="spellEnd"/>
      <w:r w:rsidR="00260E96" w:rsidRPr="00C62ADA">
        <w:rPr>
          <w:rFonts w:ascii="Palatino Linotype" w:hAnsi="Palatino Linotype" w:cs="Arial"/>
          <w:szCs w:val="20"/>
        </w:rPr>
        <w:t xml:space="preserve"> dan </w:t>
      </w:r>
      <w:proofErr w:type="spellStart"/>
      <w:r w:rsidR="00260E96" w:rsidRPr="00C62ADA">
        <w:rPr>
          <w:rFonts w:ascii="Palatino Linotype" w:hAnsi="Palatino Linotype" w:cs="Arial"/>
          <w:szCs w:val="20"/>
        </w:rPr>
        <w:t>tekanan</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ekonomi</w:t>
      </w:r>
      <w:proofErr w:type="spellEnd"/>
      <w:r w:rsidR="00260E96" w:rsidRPr="00C62ADA">
        <w:rPr>
          <w:rFonts w:ascii="Palatino Linotype" w:hAnsi="Palatino Linotype" w:cs="Arial"/>
          <w:szCs w:val="20"/>
        </w:rPr>
        <w:t xml:space="preserve"> sangat </w:t>
      </w:r>
      <w:proofErr w:type="spellStart"/>
      <w:r w:rsidR="00260E96" w:rsidRPr="00C62ADA">
        <w:rPr>
          <w:rFonts w:ascii="Palatino Linotype" w:hAnsi="Palatino Linotype" w:cs="Arial"/>
          <w:szCs w:val="20"/>
        </w:rPr>
        <w:t>sering</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membuat</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petani</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memilih</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pestisida</w:t>
      </w:r>
      <w:proofErr w:type="spellEnd"/>
      <w:r w:rsidR="00260E96" w:rsidRPr="00C62ADA">
        <w:rPr>
          <w:rFonts w:ascii="Palatino Linotype" w:hAnsi="Palatino Linotype" w:cs="Arial"/>
          <w:szCs w:val="20"/>
        </w:rPr>
        <w:t xml:space="preserve"> </w:t>
      </w:r>
      <w:proofErr w:type="spellStart"/>
      <w:r w:rsidR="00260E96" w:rsidRPr="00C62ADA">
        <w:rPr>
          <w:rFonts w:ascii="Palatino Linotype" w:hAnsi="Palatino Linotype" w:cs="Arial"/>
          <w:szCs w:val="20"/>
        </w:rPr>
        <w:t>sintetis</w:t>
      </w:r>
      <w:proofErr w:type="spellEnd"/>
      <w:r w:rsidR="00260E96" w:rsidRPr="00C62ADA">
        <w:rPr>
          <w:rFonts w:ascii="Palatino Linotype" w:hAnsi="Palatino Linotype" w:cs="Arial"/>
          <w:szCs w:val="20"/>
        </w:rPr>
        <w:t>.</w:t>
      </w:r>
    </w:p>
    <w:p w14:paraId="67923F15" w14:textId="4F0C7D6C" w:rsidR="009E0E17" w:rsidRPr="00C62ADA" w:rsidRDefault="009E0E17" w:rsidP="009E0E17">
      <w:pPr>
        <w:rPr>
          <w:rFonts w:ascii="Palatino Linotype" w:hAnsi="Palatino Linotype" w:cs="Arial"/>
          <w:szCs w:val="20"/>
        </w:rPr>
      </w:pPr>
    </w:p>
    <w:p w14:paraId="5C45F379" w14:textId="27BF0E3F" w:rsidR="003C2461" w:rsidRPr="00C62ADA" w:rsidRDefault="00BC24B3">
      <w:pPr>
        <w:jc w:val="center"/>
        <w:rPr>
          <w:rFonts w:ascii="Palatino Linotype" w:hAnsi="Palatino Linotype" w:cs="Arial"/>
          <w:szCs w:val="20"/>
        </w:rPr>
      </w:pPr>
      <w:r w:rsidRPr="00C62ADA">
        <w:rPr>
          <w:rFonts w:ascii="Palatino Linotype" w:hAnsi="Palatino Linotype" w:cs="Arial"/>
          <w:noProof/>
          <w:szCs w:val="20"/>
          <w:lang w:eastAsia="en-US"/>
        </w:rPr>
        <w:drawing>
          <wp:inline distT="0" distB="0" distL="0" distR="0" wp14:anchorId="69671700" wp14:editId="32EA3CDC">
            <wp:extent cx="2690734" cy="1898442"/>
            <wp:effectExtent l="0" t="0" r="1905" b="0"/>
            <wp:docPr id="1032"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7"/>
                    <pic:cNvPicPr/>
                  </pic:nvPicPr>
                  <pic:blipFill>
                    <a:blip r:embed="rId23" cstate="print"/>
                    <a:srcRect/>
                    <a:stretch/>
                  </pic:blipFill>
                  <pic:spPr>
                    <a:xfrm>
                      <a:off x="0" y="0"/>
                      <a:ext cx="2690734" cy="1898442"/>
                    </a:xfrm>
                    <a:prstGeom prst="rect">
                      <a:avLst/>
                    </a:prstGeom>
                  </pic:spPr>
                </pic:pic>
              </a:graphicData>
            </a:graphic>
          </wp:inline>
        </w:drawing>
      </w:r>
      <w:r w:rsidRPr="00C62ADA">
        <w:rPr>
          <w:rFonts w:ascii="Palatino Linotype" w:hAnsi="Palatino Linotype" w:cs="Arial"/>
          <w:noProof/>
          <w:szCs w:val="20"/>
          <w:lang w:eastAsia="en-US"/>
        </w:rPr>
        <w:drawing>
          <wp:inline distT="0" distB="0" distL="0" distR="0" wp14:anchorId="5F2D7FF0" wp14:editId="6F9206FB">
            <wp:extent cx="2368446" cy="1894257"/>
            <wp:effectExtent l="0" t="0" r="0" b="0"/>
            <wp:docPr id="1033"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cstate="print"/>
                    <a:srcRect/>
                    <a:stretch/>
                  </pic:blipFill>
                  <pic:spPr>
                    <a:xfrm>
                      <a:off x="0" y="0"/>
                      <a:ext cx="2368446" cy="1894257"/>
                    </a:xfrm>
                    <a:prstGeom prst="rect">
                      <a:avLst/>
                    </a:prstGeom>
                  </pic:spPr>
                </pic:pic>
              </a:graphicData>
            </a:graphic>
          </wp:inline>
        </w:drawing>
      </w:r>
    </w:p>
    <w:p w14:paraId="741DF0FA" w14:textId="77777777" w:rsidR="003C2461" w:rsidRDefault="00BC24B3">
      <w:pPr>
        <w:jc w:val="center"/>
        <w:rPr>
          <w:rFonts w:ascii="Palatino Linotype" w:hAnsi="Palatino Linotype" w:cs="Arial"/>
          <w:szCs w:val="20"/>
        </w:rPr>
      </w:pPr>
      <w:r w:rsidRPr="00C62ADA">
        <w:rPr>
          <w:rFonts w:ascii="Palatino Linotype" w:hAnsi="Palatino Linotype" w:cs="Arial"/>
          <w:b/>
          <w:bCs/>
          <w:szCs w:val="20"/>
        </w:rPr>
        <w:t>Gambar 3</w:t>
      </w:r>
      <w:r w:rsidRPr="00C62ADA">
        <w:rPr>
          <w:rFonts w:ascii="Palatino Linotype" w:hAnsi="Palatino Linotype" w:cs="Arial"/>
          <w:szCs w:val="20"/>
        </w:rPr>
        <w:t xml:space="preserve">. </w:t>
      </w:r>
      <w:proofErr w:type="spellStart"/>
      <w:r w:rsidRPr="00C62ADA">
        <w:rPr>
          <w:rFonts w:ascii="Palatino Linotype" w:hAnsi="Palatino Linotype" w:cs="Arial"/>
          <w:szCs w:val="20"/>
        </w:rPr>
        <w:t>Contoh</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produk</w:t>
      </w:r>
      <w:proofErr w:type="spellEnd"/>
      <w:r w:rsidRPr="00C62ADA">
        <w:rPr>
          <w:rFonts w:ascii="Palatino Linotype" w:hAnsi="Palatino Linotype" w:cs="Arial"/>
          <w:szCs w:val="20"/>
        </w:rPr>
        <w:t xml:space="preserve"> yang </w:t>
      </w:r>
      <w:proofErr w:type="spellStart"/>
      <w:r w:rsidRPr="00C62ADA">
        <w:rPr>
          <w:rFonts w:ascii="Palatino Linotype" w:hAnsi="Palatino Linotype" w:cs="Arial"/>
          <w:szCs w:val="20"/>
        </w:rPr>
        <w:t>telah</w:t>
      </w:r>
      <w:proofErr w:type="spellEnd"/>
      <w:r w:rsidRPr="00C62ADA">
        <w:rPr>
          <w:rFonts w:ascii="Palatino Linotype" w:hAnsi="Palatino Linotype" w:cs="Arial"/>
          <w:szCs w:val="20"/>
        </w:rPr>
        <w:t xml:space="preserve"> </w:t>
      </w:r>
      <w:proofErr w:type="spellStart"/>
      <w:r w:rsidRPr="00C62ADA">
        <w:rPr>
          <w:rFonts w:ascii="Palatino Linotype" w:hAnsi="Palatino Linotype" w:cs="Arial"/>
          <w:szCs w:val="20"/>
        </w:rPr>
        <w:t>diproduksi</w:t>
      </w:r>
      <w:proofErr w:type="spellEnd"/>
      <w:r w:rsidRPr="00C62ADA">
        <w:rPr>
          <w:rFonts w:ascii="Palatino Linotype" w:hAnsi="Palatino Linotype" w:cs="Arial"/>
          <w:szCs w:val="20"/>
        </w:rPr>
        <w:t xml:space="preserve"> oleh </w:t>
      </w:r>
      <w:proofErr w:type="spellStart"/>
      <w:r w:rsidRPr="00C62ADA">
        <w:rPr>
          <w:rFonts w:ascii="Palatino Linotype" w:hAnsi="Palatino Linotype" w:cs="Arial"/>
          <w:szCs w:val="20"/>
        </w:rPr>
        <w:t>petani</w:t>
      </w:r>
      <w:proofErr w:type="spellEnd"/>
      <w:r w:rsidRPr="00C62ADA">
        <w:rPr>
          <w:rFonts w:ascii="Palatino Linotype" w:hAnsi="Palatino Linotype" w:cs="Arial"/>
          <w:szCs w:val="20"/>
        </w:rPr>
        <w:t xml:space="preserve"> di Desa Purnama. </w:t>
      </w:r>
    </w:p>
    <w:p w14:paraId="6F48EFFF" w14:textId="77777777" w:rsidR="009A121E" w:rsidRPr="00C62ADA" w:rsidRDefault="009A121E">
      <w:pPr>
        <w:jc w:val="center"/>
        <w:rPr>
          <w:rFonts w:ascii="Palatino Linotype" w:hAnsi="Palatino Linotype" w:cs="Arial"/>
          <w:szCs w:val="20"/>
        </w:rPr>
      </w:pPr>
    </w:p>
    <w:p w14:paraId="3BB28E39" w14:textId="77777777" w:rsidR="003C2461" w:rsidRPr="00C62ADA" w:rsidRDefault="00BC24B3">
      <w:pPr>
        <w:jc w:val="center"/>
        <w:rPr>
          <w:rFonts w:ascii="Palatino Linotype" w:hAnsi="Palatino Linotype" w:cs="Arial"/>
          <w:szCs w:val="20"/>
          <w:lang w:val="sv-SE"/>
        </w:rPr>
      </w:pPr>
      <w:r w:rsidRPr="00C62ADA">
        <w:rPr>
          <w:rFonts w:ascii="Palatino Linotype" w:hAnsi="Palatino Linotype" w:cs="Arial"/>
          <w:noProof/>
          <w:szCs w:val="20"/>
          <w:lang w:eastAsia="en-US"/>
        </w:rPr>
        <w:drawing>
          <wp:inline distT="0" distB="0" distL="0" distR="0" wp14:anchorId="5022C17F" wp14:editId="6065F7C8">
            <wp:extent cx="2810294" cy="2083591"/>
            <wp:effectExtent l="0" t="0" r="0" b="0"/>
            <wp:docPr id="103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3"/>
                    <pic:cNvPicPr/>
                  </pic:nvPicPr>
                  <pic:blipFill>
                    <a:blip r:embed="rId25" cstate="print"/>
                    <a:srcRect/>
                    <a:stretch/>
                  </pic:blipFill>
                  <pic:spPr>
                    <a:xfrm>
                      <a:off x="0" y="0"/>
                      <a:ext cx="2810294" cy="2083591"/>
                    </a:xfrm>
                    <a:prstGeom prst="rect">
                      <a:avLst/>
                    </a:prstGeom>
                  </pic:spPr>
                </pic:pic>
              </a:graphicData>
            </a:graphic>
          </wp:inline>
        </w:drawing>
      </w:r>
      <w:r w:rsidRPr="00C62ADA">
        <w:rPr>
          <w:rFonts w:ascii="Palatino Linotype" w:hAnsi="Palatino Linotype" w:cs="Arial"/>
          <w:noProof/>
          <w:szCs w:val="20"/>
          <w:lang w:eastAsia="en-US"/>
        </w:rPr>
        <w:drawing>
          <wp:inline distT="0" distB="0" distL="0" distR="0" wp14:anchorId="42DF9AE8" wp14:editId="17469BA9">
            <wp:extent cx="2101215" cy="2109773"/>
            <wp:effectExtent l="0" t="0" r="0" b="0"/>
            <wp:docPr id="1035"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4"/>
                    <pic:cNvPicPr/>
                  </pic:nvPicPr>
                  <pic:blipFill>
                    <a:blip r:embed="rId26" cstate="print"/>
                    <a:srcRect/>
                    <a:stretch/>
                  </pic:blipFill>
                  <pic:spPr>
                    <a:xfrm>
                      <a:off x="0" y="0"/>
                      <a:ext cx="2101215" cy="2109773"/>
                    </a:xfrm>
                    <a:prstGeom prst="rect">
                      <a:avLst/>
                    </a:prstGeom>
                  </pic:spPr>
                </pic:pic>
              </a:graphicData>
            </a:graphic>
          </wp:inline>
        </w:drawing>
      </w:r>
    </w:p>
    <w:p w14:paraId="4C0704BC" w14:textId="77777777" w:rsidR="003C2461" w:rsidRPr="00C62ADA" w:rsidRDefault="00BC24B3">
      <w:pPr>
        <w:jc w:val="center"/>
        <w:rPr>
          <w:rFonts w:ascii="Palatino Linotype" w:hAnsi="Palatino Linotype" w:cs="Arial"/>
          <w:szCs w:val="20"/>
          <w:lang w:val="sv-SE"/>
        </w:rPr>
      </w:pPr>
      <w:r w:rsidRPr="00C62ADA">
        <w:rPr>
          <w:rFonts w:ascii="Palatino Linotype" w:hAnsi="Palatino Linotype" w:cs="Arial"/>
          <w:b/>
          <w:bCs/>
          <w:szCs w:val="20"/>
          <w:lang w:val="sv-SE"/>
        </w:rPr>
        <w:t>Gambar 4</w:t>
      </w:r>
      <w:r w:rsidRPr="00C62ADA">
        <w:rPr>
          <w:rFonts w:ascii="Palatino Linotype" w:hAnsi="Palatino Linotype" w:cs="Arial"/>
          <w:szCs w:val="20"/>
          <w:lang w:val="sv-SE"/>
        </w:rPr>
        <w:t xml:space="preserve">. Evaluasi program kegiatan pengabdian. </w:t>
      </w:r>
    </w:p>
    <w:p w14:paraId="444D8CF1" w14:textId="77777777" w:rsidR="003C2461" w:rsidRPr="00C62ADA" w:rsidRDefault="003C2461">
      <w:pPr>
        <w:rPr>
          <w:rFonts w:ascii="Palatino Linotype" w:hAnsi="Palatino Linotype" w:cs="Arial"/>
          <w:szCs w:val="20"/>
          <w:lang w:val="sv-SE"/>
        </w:rPr>
      </w:pPr>
    </w:p>
    <w:p w14:paraId="26B9FAAE" w14:textId="77777777" w:rsidR="00EC74AC" w:rsidRPr="00C62ADA" w:rsidRDefault="00BC24B3" w:rsidP="009A121E">
      <w:pPr>
        <w:ind w:firstLine="567"/>
        <w:rPr>
          <w:rFonts w:ascii="Palatino Linotype" w:hAnsi="Palatino Linotype" w:cs="Arial"/>
          <w:szCs w:val="20"/>
          <w:lang w:val="sv-SE"/>
        </w:rPr>
      </w:pPr>
      <w:r w:rsidRPr="00C62ADA">
        <w:rPr>
          <w:rFonts w:ascii="Palatino Linotype" w:hAnsi="Palatino Linotype" w:cs="Arial"/>
          <w:szCs w:val="20"/>
          <w:lang w:val="sv-SE"/>
        </w:rPr>
        <w:t xml:space="preserve">APH memiliki peranan penting dalam rangka peningkatan produksi tanaman singkong dan konservasi sumber daya alam. Oleh sebab itu program ini membantu petani singkong selain untuk meningkatkan produksi, melainkan melakukan kegiatan konservasi dengan aplikasi APH. Berdasarkan Gambar </w:t>
      </w:r>
      <w:r w:rsidR="00855F6A" w:rsidRPr="00C62ADA">
        <w:rPr>
          <w:rFonts w:ascii="Palatino Linotype" w:hAnsi="Palatino Linotype" w:cs="Arial"/>
          <w:szCs w:val="20"/>
          <w:lang w:val="sv-SE"/>
        </w:rPr>
        <w:t>4</w:t>
      </w:r>
      <w:r w:rsidRPr="00C62ADA">
        <w:rPr>
          <w:rFonts w:ascii="Palatino Linotype" w:hAnsi="Palatino Linotype" w:cs="Arial"/>
          <w:szCs w:val="20"/>
          <w:lang w:val="sv-SE"/>
        </w:rPr>
        <w:t xml:space="preserve"> merupakan hasil evaluasi program setelah dilakukan penyuluhan dan disemenasi. Berdasarkan objek APH, tim telah melakukan penilaian pada pokok pengetahuan seperti jenis-jenis APH, bentuk APH, aplikasi APH, dan manfaat APH. Petani masih ada beberapa yang belum mengetahui tentang APH. Berdasarkan masing-masing indikator mengenai APH, sebanyak 20 petani telah mengetahui jenis-jenis APH, sisanya belum mengetahui. Sedangkan untuk manfaat APH, petani dominasi lebih belum mengetahui kebermanfaat</w:t>
      </w:r>
      <w:r w:rsidR="00EC74AC" w:rsidRPr="00C62ADA">
        <w:rPr>
          <w:rFonts w:ascii="Palatino Linotype" w:hAnsi="Palatino Linotype" w:cs="Arial"/>
          <w:szCs w:val="20"/>
          <w:lang w:val="sv-SE"/>
        </w:rPr>
        <w:t>an</w:t>
      </w:r>
      <w:r w:rsidRPr="00C62ADA">
        <w:rPr>
          <w:rFonts w:ascii="Palatino Linotype" w:hAnsi="Palatino Linotype" w:cs="Arial"/>
          <w:szCs w:val="20"/>
          <w:lang w:val="sv-SE"/>
        </w:rPr>
        <w:t xml:space="preserve"> APH baik dalam jangka pendek maupun </w:t>
      </w:r>
      <w:r w:rsidRPr="00C62ADA">
        <w:rPr>
          <w:rFonts w:ascii="Palatino Linotype" w:hAnsi="Palatino Linotype" w:cs="Arial"/>
          <w:szCs w:val="20"/>
          <w:lang w:val="sv-SE"/>
        </w:rPr>
        <w:lastRenderedPageBreak/>
        <w:t xml:space="preserve">panjang. Hal ini didukung dengan tingkat pendidikan petani yang hadir saat kegiatan disemenasi berlangsung. Rata-rata petani yang hadir dengan latar belakang pendidikan umumnya sekolah dasar. </w:t>
      </w:r>
    </w:p>
    <w:p w14:paraId="77D5323A" w14:textId="33211E14" w:rsidR="006F3C09" w:rsidRPr="00C62ADA" w:rsidRDefault="00EC74AC" w:rsidP="009A121E">
      <w:pPr>
        <w:ind w:firstLine="567"/>
        <w:rPr>
          <w:rFonts w:ascii="Palatino Linotype" w:hAnsi="Palatino Linotype" w:cs="Arial"/>
          <w:szCs w:val="20"/>
          <w:lang w:val="sv-SE"/>
        </w:rPr>
      </w:pPr>
      <w:r w:rsidRPr="00C62ADA">
        <w:rPr>
          <w:rFonts w:ascii="Palatino Linotype" w:hAnsi="Palatino Linotype" w:cs="Arial"/>
          <w:szCs w:val="20"/>
          <w:lang w:val="sv-SE"/>
        </w:rPr>
        <w:t>Banyak petani belum mengenal atau memahami cara kerja dan man</w:t>
      </w:r>
      <w:r w:rsidR="00A1078A" w:rsidRPr="00C62ADA">
        <w:rPr>
          <w:rFonts w:ascii="Palatino Linotype" w:hAnsi="Palatino Linotype" w:cs="Arial"/>
          <w:szCs w:val="20"/>
          <w:lang w:val="sv-SE"/>
        </w:rPr>
        <w:t>faat</w:t>
      </w:r>
      <w:r w:rsidRPr="00C62ADA">
        <w:rPr>
          <w:rFonts w:ascii="Palatino Linotype" w:hAnsi="Palatino Linotype" w:cs="Arial"/>
          <w:szCs w:val="20"/>
          <w:lang w:val="sv-SE"/>
        </w:rPr>
        <w:t xml:space="preserve"> APH. Hal tersebut dapat disebabkan karena distribusi dan ketersediaan produk APH masih terbatas di banyak daerah. Keterbatasan akses terhadap produk APH sering kali disebabkan oleh distribusi yang tidak merata dan kurangnya dukungan dari pihak pemerintah atau swasta dalam menyediakan produk ini kepada petani kecil </w:t>
      </w:r>
      <w:r w:rsidR="00325430" w:rsidRPr="00C62ADA">
        <w:rPr>
          <w:rFonts w:ascii="Palatino Linotype" w:hAnsi="Palatino Linotype" w:cs="Arial"/>
          <w:szCs w:val="20"/>
          <w:lang w:val="sv-SE"/>
        </w:rPr>
        <w:fldChar w:fldCharType="begin" w:fldLock="1"/>
      </w:r>
      <w:r w:rsidR="00325430" w:rsidRPr="00C62ADA">
        <w:rPr>
          <w:rFonts w:ascii="Palatino Linotype" w:hAnsi="Palatino Linotype" w:cs="Arial"/>
          <w:szCs w:val="20"/>
          <w:lang w:val="sv-SE"/>
        </w:rPr>
        <w:instrText>ADDIN CSL_CITATION {"citationItems":[{"id":"ITEM-1","itemData":{"DOI":"10.1186/s12866-022-02744-2","ISSN":"14712180","PMID":"36581846","abstract":"For the burgeoning global population, sustainable agriculture practices are crucial for accomplishing the zero-hunger goal. The agriculture sector is very concerned about the rise in insecticide resistance and the Modern Environmental Health Hazards (MEHHs) that are problems for public health due to on pesticide exposure and residues. Currently, farming practices are being developed based on microbial bio-stimulants, which have fewer negative effects and are more efficient than synthetic agro-chemicals. In this context, one of the most important approaches in sustainable agriculture is the use of biocontrol microbes that can suppress phytopathogens and insects. Simultaneously, it is critical to comprehend the role of these microbes in promoting growth and disease control, and their application as biofertilizers and biopesticides, the success of which in the field is currently inconsistent. Therefore, editorial is part of a special issue titled \"Biocontrol Strategies: An Eco-smart Tool for Integrated Pest and Disease Management\" which focuses on biocontrol approaches that can suppress the biotic stresses, alter plant defense mechanisms, and offer new eco-smart ways for controlling plant pathogens and insect pests under sustainable agriculture.","author":[{"dropping-particle":"","family":"Jaiswal","given":"Durgesh Kumar","non-dropping-particle":"","parse-names":false,"suffix":""},{"dropping-particle":"","family":"Gawande","given":"Suresh Janardhan","non-dropping-particle":"","parse-names":false,"suffix":""},{"dropping-particle":"","family":"Soumia","given":"P. S.","non-dropping-particle":"","parse-names":false,"suffix":""},{"dropping-particle":"","family":"Krishna","given":"Ram","non-dropping-particle":"","parse-names":false,"suffix":""},{"dropping-particle":"","family":"Vaishnav","given":"Anukool","non-dropping-particle":"","parse-names":false,"suffix":""},{"dropping-particle":"","family":"Ade","given":"Avinash Bapurao","non-dropping-particle":"","parse-names":false,"suffix":""}],"container-title":"BMC Microbiology","id":"ITEM-1","issue":"1","issued":{"date-parts":[["2022"]]},"page":"1-5","publisher":"BioMed Central","title":"Biocontrol strategies: an eco-smart tool for integrated pest and diseases management","type":"article-journal","volume":"22"},"uris":["http://www.mendeley.com/documents/?uuid=596bd313-77ce-49d9-8bbd-da4bdb09e26d"]},{"id":"ITEM-2","itemData":{"DOI":"10.3390/agronomy12051218","ISSN":"20734395","abstract":"Developing sustainable agriculture by identifying non-chemical alternative Plant Protection Products (PPP) is a cornerstone in achieving long-sought environmental friendliness. Despite significant legislative and political efforts to promote biocontrol solutions and Integrated Pest Management (IPM), the literature points out the disadvantages posed by European Union’s (EU) two-tier system for Microbial Biological Control Agents (MBCA) approval and subsequent Microbial Biological Control Products (MBCP) authorization by each EU Member State (MS). Despite the disadvantages, in a recent article, we showed that the EU had outcompeted the US and other countries in approved MBCA in the last decades; however, MBCP approval at the national level lags. Achieving the EU Green Deal’s aim set out in the ‘Farm to Fork Strategy’ to reduce the use and risk of pesticides by 50% by 2030 is difficult without developing viable alternatives. Why do we not have higher MBCP availability and usage in the EU? Is it the current legislation, its poor application, or some other factors? The current legislative framework stimulated MBCA approval. Thus, we compare MBCA approval and MBCP authorization procedure to evaluate if MBCP authorization is more difficult and thus causes a bottleneck. We find that requirements for MBCP authorization are unnecessarily more complex. We recommend simplifying the MBCP dossier requirements and making them as similar to MBCA as possible to accelerate the MBCP authorization in more EU MS to increase their availability and integration in agronomic crops’ pest management plans.","author":[{"dropping-particle":"","family":"Helepciuc","given":"Florența Elena","non-dropping-particle":"","parse-names":false,"suffix":""},{"dropping-particle":"","family":"Todor","given":"Arpad","non-dropping-particle":"","parse-names":false,"suffix":""}],"container-title":"Agronomy","id":"ITEM-2","issue":"5","issued":{"date-parts":[["2022"]]},"page":"1-8","title":"Improving the authorization of Microbial Biological Control Products (MBCP) in the European Union within the EU green deal framework","type":"article-journal","volume":"12"},"uris":["http://www.mendeley.com/documents/?uuid=dc72d167-7cdc-4ca6-83a0-c91b21846351"]}],"mendeley":{"formattedCitation":"(Helepciuc &amp; Todor, 2022; Jaiswal et al., 2022)","plainTextFormattedCitation":"(Helepciuc &amp; Todor, 2022; Jaiswal et al., 2022)","previouslyFormattedCitation":"(Helepciuc &amp; Todor, 2022; Jaiswal et al., 2022)"},"properties":{"noteIndex":0},"schema":"https://github.com/citation-style-language/schema/raw/master/csl-citation.json"}</w:instrText>
      </w:r>
      <w:r w:rsidR="00325430" w:rsidRPr="00C62ADA">
        <w:rPr>
          <w:rFonts w:ascii="Palatino Linotype" w:hAnsi="Palatino Linotype" w:cs="Arial"/>
          <w:szCs w:val="20"/>
          <w:lang w:val="sv-SE"/>
        </w:rPr>
        <w:fldChar w:fldCharType="separate"/>
      </w:r>
      <w:r w:rsidR="00325430" w:rsidRPr="00C62ADA">
        <w:rPr>
          <w:rFonts w:ascii="Palatino Linotype" w:hAnsi="Palatino Linotype" w:cs="Arial"/>
          <w:noProof/>
          <w:szCs w:val="20"/>
          <w:lang w:val="sv-SE"/>
        </w:rPr>
        <w:t>(Helepciuc &amp; Todor, 2022; Jaiswal et al., 2022)</w:t>
      </w:r>
      <w:r w:rsidR="00325430" w:rsidRPr="00C62ADA">
        <w:rPr>
          <w:rFonts w:ascii="Palatino Linotype" w:hAnsi="Palatino Linotype" w:cs="Arial"/>
          <w:szCs w:val="20"/>
          <w:lang w:val="sv-SE"/>
        </w:rPr>
        <w:fldChar w:fldCharType="end"/>
      </w:r>
      <w:r w:rsidRPr="00C62ADA">
        <w:rPr>
          <w:rFonts w:ascii="Palatino Linotype" w:hAnsi="Palatino Linotype" w:cs="Arial"/>
          <w:szCs w:val="20"/>
          <w:lang w:val="sv-SE"/>
        </w:rPr>
        <w:t xml:space="preserve">. Selain itu, kurangnya pengetahuan dan informasi petani tentang </w:t>
      </w:r>
      <w:r w:rsidR="006F3C09" w:rsidRPr="00C62ADA">
        <w:rPr>
          <w:rFonts w:ascii="Palatino Linotype" w:hAnsi="Palatino Linotype" w:cs="Arial"/>
          <w:szCs w:val="20"/>
          <w:lang w:val="sv-SE"/>
        </w:rPr>
        <w:t xml:space="preserve">manfaat jangka panjang </w:t>
      </w:r>
      <w:r w:rsidRPr="00C62ADA">
        <w:rPr>
          <w:rFonts w:ascii="Palatino Linotype" w:hAnsi="Palatino Linotype" w:cs="Arial"/>
          <w:szCs w:val="20"/>
          <w:lang w:val="sv-SE"/>
        </w:rPr>
        <w:t>APH</w:t>
      </w:r>
      <w:r w:rsidR="006F3C09" w:rsidRPr="00C62ADA">
        <w:rPr>
          <w:rFonts w:ascii="Palatino Linotype" w:hAnsi="Palatino Linotype" w:cs="Arial"/>
          <w:szCs w:val="20"/>
          <w:lang w:val="sv-SE"/>
        </w:rPr>
        <w:t xml:space="preserve"> dan keberlanjutannya</w:t>
      </w:r>
      <w:r w:rsidRPr="00C62ADA">
        <w:rPr>
          <w:rFonts w:ascii="Palatino Linotype" w:hAnsi="Palatino Linotype" w:cs="Arial"/>
          <w:szCs w:val="20"/>
          <w:lang w:val="sv-SE"/>
        </w:rPr>
        <w:t xml:space="preserve"> menjadi salah satu hambatan utama bagi adopsi teknologi </w:t>
      </w:r>
      <w:r w:rsidR="006F3C09" w:rsidRPr="00C62ADA">
        <w:rPr>
          <w:rFonts w:ascii="Palatino Linotype" w:hAnsi="Palatino Linotype" w:cs="Arial"/>
          <w:szCs w:val="20"/>
          <w:lang w:val="sv-SE"/>
        </w:rPr>
        <w:t>tersebut</w:t>
      </w:r>
      <w:r w:rsidRPr="00C62ADA">
        <w:rPr>
          <w:rFonts w:ascii="Palatino Linotype" w:hAnsi="Palatino Linotype" w:cs="Arial"/>
          <w:szCs w:val="20"/>
          <w:lang w:val="sv-SE"/>
        </w:rPr>
        <w:t xml:space="preserve"> </w:t>
      </w:r>
      <w:r w:rsidR="00325430" w:rsidRPr="00C62ADA">
        <w:rPr>
          <w:rFonts w:ascii="Palatino Linotype" w:hAnsi="Palatino Linotype" w:cs="Arial"/>
          <w:szCs w:val="20"/>
          <w:lang w:val="sv-SE"/>
        </w:rPr>
        <w:fldChar w:fldCharType="begin" w:fldLock="1"/>
      </w:r>
      <w:r w:rsidR="00325430" w:rsidRPr="00C62ADA">
        <w:rPr>
          <w:rFonts w:ascii="Palatino Linotype" w:hAnsi="Palatino Linotype" w:cs="Arial"/>
          <w:szCs w:val="20"/>
          <w:lang w:val="sv-SE"/>
        </w:rPr>
        <w:instrText>ADDIN CSL_CITATION {"citationItems":[{"id":"ITEM-1","itemData":{"DOI":"10.1186/s12866-022-02744-2","ISSN":"14712180","PMID":"36581846","abstract":"For the burgeoning global population, sustainable agriculture practices are crucial for accomplishing the zero-hunger goal. The agriculture sector is very concerned about the rise in insecticide resistance and the Modern Environmental Health Hazards (MEHHs) that are problems for public health due to on pesticide exposure and residues. Currently, farming practices are being developed based on microbial bio-stimulants, which have fewer negative effects and are more efficient than synthetic agro-chemicals. In this context, one of the most important approaches in sustainable agriculture is the use of biocontrol microbes that can suppress phytopathogens and insects. Simultaneously, it is critical to comprehend the role of these microbes in promoting growth and disease control, and their application as biofertilizers and biopesticides, the success of which in the field is currently inconsistent. Therefore, editorial is part of a special issue titled \"Biocontrol Strategies: An Eco-smart Tool for Integrated Pest and Disease Management\" which focuses on biocontrol approaches that can suppress the biotic stresses, alter plant defense mechanisms, and offer new eco-smart ways for controlling plant pathogens and insect pests under sustainable agriculture.","author":[{"dropping-particle":"","family":"Jaiswal","given":"Durgesh Kumar","non-dropping-particle":"","parse-names":false,"suffix":""},{"dropping-particle":"","family":"Gawande","given":"Suresh Janardhan","non-dropping-particle":"","parse-names":false,"suffix":""},{"dropping-particle":"","family":"Soumia","given":"P. S.","non-dropping-particle":"","parse-names":false,"suffix":""},{"dropping-particle":"","family":"Krishna","given":"Ram","non-dropping-particle":"","parse-names":false,"suffix":""},{"dropping-particle":"","family":"Vaishnav","given":"Anukool","non-dropping-particle":"","parse-names":false,"suffix":""},{"dropping-particle":"","family":"Ade","given":"Avinash Bapurao","non-dropping-particle":"","parse-names":false,"suffix":""}],"container-title":"BMC Microbiology","id":"ITEM-1","issue":"1","issued":{"date-parts":[["2022"]]},"page":"1-5","publisher":"BioMed Central","title":"Biocontrol strategies: an eco-smart tool for integrated pest and diseases management","type":"article-journal","volume":"22"},"uris":["http://www.mendeley.com/documents/?uuid=596bd313-77ce-49d9-8bbd-da4bdb09e26d"]},{"id":"ITEM-2","itemData":{"DOI":"10.3390/agronomy12051218","ISSN":"20734395","abstract":"Developing sustainable agriculture by identifying non-chemical alternative Plant Protection Products (PPP) is a cornerstone in achieving long-sought environmental friendliness. Despite significant legislative and political efforts to promote biocontrol solutions and Integrated Pest Management (IPM), the literature points out the disadvantages posed by European Union’s (EU) two-tier system for Microbial Biological Control Agents (MBCA) approval and subsequent Microbial Biological Control Products (MBCP) authorization by each EU Member State (MS). Despite the disadvantages, in a recent article, we showed that the EU had outcompeted the US and other countries in approved MBCA in the last decades; however, MBCP approval at the national level lags. Achieving the EU Green Deal’s aim set out in the ‘Farm to Fork Strategy’ to reduce the use and risk of pesticides by 50% by 2030 is difficult without developing viable alternatives. Why do we not have higher MBCP availability and usage in the EU? Is it the current legislation, its poor application, or some other factors? The current legislative framework stimulated MBCA approval. Thus, we compare MBCA approval and MBCP authorization procedure to evaluate if MBCP authorization is more difficult and thus causes a bottleneck. We find that requirements for MBCP authorization are unnecessarily more complex. We recommend simplifying the MBCP dossier requirements and making them as similar to MBCA as possible to accelerate the MBCP authorization in more EU MS to increase their availability and integration in agronomic crops’ pest management plans.","author":[{"dropping-particle":"","family":"Helepciuc","given":"Florența Elena","non-dropping-particle":"","parse-names":false,"suffix":""},{"dropping-particle":"","family":"Todor","given":"Arpad","non-dropping-particle":"","parse-names":false,"suffix":""}],"container-title":"Agronomy","id":"ITEM-2","issue":"5","issued":{"date-parts":[["2022"]]},"page":"1-8","title":"Improving the authorization of Microbial Biological Control Products (MBCP) in the European Union within the EU green deal framework","type":"article-journal","volume":"12"},"uris":["http://www.mendeley.com/documents/?uuid=dc72d167-7cdc-4ca6-83a0-c91b21846351"]}],"mendeley":{"formattedCitation":"(Helepciuc &amp; Todor, 2022; Jaiswal et al., 2022)","plainTextFormattedCitation":"(Helepciuc &amp; Todor, 2022; Jaiswal et al., 2022)","previouslyFormattedCitation":"(Helepciuc &amp; Todor, 2022; Jaiswal et al., 2022)"},"properties":{"noteIndex":0},"schema":"https://github.com/citation-style-language/schema/raw/master/csl-citation.json"}</w:instrText>
      </w:r>
      <w:r w:rsidR="00325430" w:rsidRPr="00C62ADA">
        <w:rPr>
          <w:rFonts w:ascii="Palatino Linotype" w:hAnsi="Palatino Linotype" w:cs="Arial"/>
          <w:szCs w:val="20"/>
          <w:lang w:val="sv-SE"/>
        </w:rPr>
        <w:fldChar w:fldCharType="separate"/>
      </w:r>
      <w:r w:rsidR="00325430" w:rsidRPr="00C62ADA">
        <w:rPr>
          <w:rFonts w:ascii="Palatino Linotype" w:hAnsi="Palatino Linotype" w:cs="Arial"/>
          <w:noProof/>
          <w:szCs w:val="20"/>
          <w:lang w:val="sv-SE"/>
        </w:rPr>
        <w:t>(Helepciuc &amp; Todor, 2022; Jaiswal et al., 2022)</w:t>
      </w:r>
      <w:r w:rsidR="00325430" w:rsidRPr="00C62ADA">
        <w:rPr>
          <w:rFonts w:ascii="Palatino Linotype" w:hAnsi="Palatino Linotype" w:cs="Arial"/>
          <w:szCs w:val="20"/>
          <w:lang w:val="sv-SE"/>
        </w:rPr>
        <w:fldChar w:fldCharType="end"/>
      </w:r>
      <w:r w:rsidRPr="00C62ADA">
        <w:rPr>
          <w:rFonts w:ascii="Palatino Linotype" w:hAnsi="Palatino Linotype" w:cs="Arial"/>
          <w:szCs w:val="20"/>
          <w:lang w:val="sv-SE"/>
        </w:rPr>
        <w:t>. Petani mungkin melihat penggunaan APH sebagai suatu risiko atau tidak yakin dengan keberhasilannya</w:t>
      </w:r>
      <w:r w:rsidR="004B67AE" w:rsidRPr="00C62ADA">
        <w:rPr>
          <w:rFonts w:ascii="Palatino Linotype" w:hAnsi="Palatino Linotype" w:cs="Arial"/>
          <w:szCs w:val="20"/>
          <w:lang w:val="sv-SE"/>
        </w:rPr>
        <w:t>, karena ketidakpastian tentang efektivitas dan keamanan suatu teknologi dapat menjadi penghalang bagi adopsi teknologi tersebut di kalangan petani</w:t>
      </w:r>
      <w:r w:rsidRPr="00C62ADA">
        <w:rPr>
          <w:rFonts w:ascii="Palatino Linotype" w:hAnsi="Palatino Linotype" w:cs="Arial"/>
          <w:szCs w:val="20"/>
          <w:lang w:val="sv-SE"/>
        </w:rPr>
        <w:t xml:space="preserve"> </w:t>
      </w:r>
      <w:r w:rsidR="006F3C09" w:rsidRPr="00C62ADA">
        <w:rPr>
          <w:rFonts w:ascii="Palatino Linotype" w:hAnsi="Palatino Linotype" w:cs="Arial"/>
          <w:szCs w:val="20"/>
          <w:lang w:val="sv-SE"/>
        </w:rPr>
        <w:fldChar w:fldCharType="begin" w:fldLock="1"/>
      </w:r>
      <w:r w:rsidR="00325430" w:rsidRPr="00C62ADA">
        <w:rPr>
          <w:rFonts w:ascii="Palatino Linotype" w:hAnsi="Palatino Linotype" w:cs="Arial"/>
          <w:szCs w:val="20"/>
          <w:lang w:val="sv-SE"/>
        </w:rPr>
        <w:instrText>ADDIN CSL_CITATION {"citationItems":[{"id":"ITEM-1","itemData":{"DOI":"10.1186/s43170-023-00161-7","ISSN":"26624044","abstract":"Background: Farmer perceptions are highly important in influencing on-farm pest management decision-making. Biological control is extremely sustainable in the smallholder production context, but in Sub Saharan Africa (SSA) few attempts using this pest control method for arthropod pests have been successful, with one of the key reasons cited as poor involvement of farming communities and extension in the dissemination of information. Although farmers’ knowledge and attitudes are hugely important for the successful implementation of biological control, they are often disregarded. Papaya mealybug (Paracoccus marginatus) (PMB) has rapidly spread and established in suitable areas across Kenya becoming a serious pest. The objective of this study is to determine smallholder farmers’ knowledge, attitudes and practices towards biological control; farmers’ willingness to reduce their chemical pesticide use; and levels of support for a classical biological control initiative for PMB management. Methods: Household surveys were conducted covering 383 farming households (148 women) in four papaya producing counties in Kenya alongside key informant interviews with eight extension agents and thirty agro-dealers, and eight focus group discussions. Results: Although some farmers demonstrated awareness of the concept of biological control they lacked knowledge, experience and technical support from extension or agro-dealers. Reasons for not using biological control included inadequate awareness and concerns over efficacy and safety. Farmers expressed high levels of interest and willingness to support biological control, and were willing to reduce their chemical pesticide use to help conserve, and support the establishment of natural enemies. County, perception of biological as safe, training in IPM and gender were all highly significant factors determining farmers willingness to support biological control. Conclusions: Previously, poor attention has been paid to farmer perceptions and participation in biological control, which has resulted in limited success in developing countries. With high levels of interest and willingness to support biological control, the next step is to engage with farming communities impacted by PMB. By building awareness and capacity, and developing a management plan with farmers that will support the release and establishment of the biological control agent, Acerophagus papayae, long-term, sustainable control of PMB in Kenya is possible.","author":[{"dropping-particle":"","family":"Constantine","given":"Kate","non-dropping-particle":"","parse-names":false,"suffix":""},{"dropping-particle":"","family":"Makale","given":"Fernadis","non-dropping-particle":"","parse-names":false,"suffix":""},{"dropping-particle":"","family":"Mugambi","given":"Idah","non-dropping-particle":"","parse-names":false,"suffix":""},{"dropping-particle":"","family":"Rware","given":"Harrison","non-dropping-particle":"","parse-names":false,"suffix":""},{"dropping-particle":"","family":"Chacha","given":"Duncan","non-dropping-particle":"","parse-names":false,"suffix":""},{"dropping-particle":"","family":"Lowry","given":"Alyssa","non-dropping-particle":"","parse-names":false,"suffix":""},{"dropping-particle":"","family":"Rwomushana","given":"Ivan","non-dropping-particle":"","parse-names":false,"suffix":""},{"dropping-particle":"","family":"Williams","given":"Frances","non-dropping-particle":"","parse-names":false,"suffix":""}],"container-title":"CABI Agriculture and Bioscience","id":"ITEM-1","issue":"1","issued":{"date-parts":[["2023"]]},"page":"1-15","publisher":"BioMed Central","title":"Smallholder farmers’ knowledge, attitudes and practices towards biological control of papaya mealybug in Kenya","type":"article-journal","volume":"4"},"uris":["http://www.mendeley.com/documents/?uuid=e42a71dc-9754-44b3-9e0f-98c3c1cb215b"]},{"id":"ITEM-2","itemData":{"DOI":"10.1186/s41938-020-00215-2","ISBN":"4193802000","ISSN":"25369342","abstract":"Biological control agents (BCAs) are increasingly used against various plant-parasitic nematode (PPN) pests and offer a favorable alternative to hazardous chemical nematicides. Yet, their lack of efficacy, inconsistent field performance, and/or unfavorable economic factors have generally relegated them to a relatively small sector of pesticide market. Efficacy and biocontrol success can be boosted via holistic grasping of soil biological and ecological factors. Therefore, such factors were highlighted to give better directions for their use. Main points discussed currently are considered to affect the transmission success of these BCAs so that their use must be a way forward in crop protection/pest management. These included improved sampling, grasping BCAs interactions with soil biota and ecology, cost-effective use of BCAs, genetic manipulation for better PPN control, grower acceptance and awareness-raising of BCA techniques, and commercial application.","author":[{"dropping-particle":"","family":"Abd-Elgawad","given":"Mahfouz M.M.","non-dropping-particle":"","parse-names":false,"suffix":""},{"dropping-particle":"","family":"Askary","given":"Tarique Hassan","non-dropping-particle":"","parse-names":false,"suffix":""}],"container-title":"Egyptian Journal of Biological Pest Control","id":"ITEM-2","issue":"1","issued":{"date-parts":[["2020"]]},"page":"1-11","publisher":"Egyptian Journal of Biological Pest Control","title":"Factors affecting success of biological agents used in controlling the plant-parasitic nematodes","type":"article-journal","volume":"30"},"uris":["http://www.mendeley.com/documents/?uuid=52345a33-a235-491a-9031-baa4b9962670"]}],"mendeley":{"formattedCitation":"(Abd-Elgawad &amp; Askary, 2020; Constantine et al., 2023)","plainTextFormattedCitation":"(Abd-Elgawad &amp; Askary, 2020; Constantine et al., 2023)","previouslyFormattedCitation":"(Abd-Elgawad &amp; Askary, 2020; Constantine et al., 2023)"},"properties":{"noteIndex":0},"schema":"https://github.com/citation-style-language/schema/raw/master/csl-citation.json"}</w:instrText>
      </w:r>
      <w:r w:rsidR="006F3C09" w:rsidRPr="00C62ADA">
        <w:rPr>
          <w:rFonts w:ascii="Palatino Linotype" w:hAnsi="Palatino Linotype" w:cs="Arial"/>
          <w:szCs w:val="20"/>
          <w:lang w:val="sv-SE"/>
        </w:rPr>
        <w:fldChar w:fldCharType="separate"/>
      </w:r>
      <w:r w:rsidR="006F3C09" w:rsidRPr="00C62ADA">
        <w:rPr>
          <w:rFonts w:ascii="Palatino Linotype" w:hAnsi="Palatino Linotype" w:cs="Arial"/>
          <w:noProof/>
          <w:szCs w:val="20"/>
          <w:lang w:val="sv-SE"/>
        </w:rPr>
        <w:t>(Abd-Elgawad &amp; Askary, 2020; Constantine et al., 2023)</w:t>
      </w:r>
      <w:r w:rsidR="006F3C09" w:rsidRPr="00C62ADA">
        <w:rPr>
          <w:rFonts w:ascii="Palatino Linotype" w:hAnsi="Palatino Linotype" w:cs="Arial"/>
          <w:szCs w:val="20"/>
          <w:lang w:val="sv-SE"/>
        </w:rPr>
        <w:fldChar w:fldCharType="end"/>
      </w:r>
      <w:r w:rsidRPr="00C62ADA">
        <w:rPr>
          <w:rFonts w:ascii="Palatino Linotype" w:hAnsi="Palatino Linotype" w:cs="Arial"/>
          <w:szCs w:val="20"/>
          <w:lang w:val="sv-SE"/>
        </w:rPr>
        <w:t xml:space="preserve">. </w:t>
      </w:r>
      <w:r w:rsidR="00325430" w:rsidRPr="00C62ADA">
        <w:rPr>
          <w:rFonts w:ascii="Palatino Linotype" w:hAnsi="Palatino Linotype" w:cs="Arial"/>
          <w:szCs w:val="20"/>
          <w:lang w:val="sv-SE"/>
        </w:rPr>
        <w:t xml:space="preserve">Untuk mengatasi permasalahan tersebut dan mempromosikan penggunaan APH, diperlukan pendekatan yang lebih holistik yang melibatkan peningkatan edukasi, akses yang lebih baik terhadap produk pengendalian hayati, serta dukungan kebijakan dari pemerintah dan organisasi pertanian </w:t>
      </w:r>
      <w:r w:rsidR="00325430" w:rsidRPr="00C62ADA">
        <w:rPr>
          <w:rFonts w:ascii="Palatino Linotype" w:hAnsi="Palatino Linotype" w:cs="Arial"/>
          <w:szCs w:val="20"/>
          <w:lang w:val="sv-SE"/>
        </w:rPr>
        <w:fldChar w:fldCharType="begin" w:fldLock="1"/>
      </w:r>
      <w:r w:rsidR="00325430" w:rsidRPr="00C62ADA">
        <w:rPr>
          <w:rFonts w:ascii="Palatino Linotype" w:hAnsi="Palatino Linotype" w:cs="Arial"/>
          <w:szCs w:val="20"/>
          <w:lang w:val="sv-SE"/>
        </w:rPr>
        <w:instrText>ADDIN CSL_CITATION {"citationItems":[{"id":"ITEM-1","itemData":{"DOI":"10.1186/s43170-023-00161-7","ISSN":"26624044","abstract":"Background: Farmer perceptions are highly important in influencing on-farm pest management decision-making. Biological control is extremely sustainable in the smallholder production context, but in Sub Saharan Africa (SSA) few attempts using this pest control method for arthropod pests have been successful, with one of the key reasons cited as poor involvement of farming communities and extension in the dissemination of information. Although farmers’ knowledge and attitudes are hugely important for the successful implementation of biological control, they are often disregarded. Papaya mealybug (Paracoccus marginatus) (PMB) has rapidly spread and established in suitable areas across Kenya becoming a serious pest. The objective of this study is to determine smallholder farmers’ knowledge, attitudes and practices towards biological control; farmers’ willingness to reduce their chemical pesticide use; and levels of support for a classical biological control initiative for PMB management. Methods: Household surveys were conducted covering 383 farming households (148 women) in four papaya producing counties in Kenya alongside key informant interviews with eight extension agents and thirty agro-dealers, and eight focus group discussions. Results: Although some farmers demonstrated awareness of the concept of biological control they lacked knowledge, experience and technical support from extension or agro-dealers. Reasons for not using biological control included inadequate awareness and concerns over efficacy and safety. Farmers expressed high levels of interest and willingness to support biological control, and were willing to reduce their chemical pesticide use to help conserve, and support the establishment of natural enemies. County, perception of biological as safe, training in IPM and gender were all highly significant factors determining farmers willingness to support biological control. Conclusions: Previously, poor attention has been paid to farmer perceptions and participation in biological control, which has resulted in limited success in developing countries. With high levels of interest and willingness to support biological control, the next step is to engage with farming communities impacted by PMB. By building awareness and capacity, and developing a management plan with farmers that will support the release and establishment of the biological control agent, Acerophagus papayae, long-term, sustainable control of PMB in Kenya is possible.","author":[{"dropping-particle":"","family":"Constantine","given":"Kate","non-dropping-particle":"","parse-names":false,"suffix":""},{"dropping-particle":"","family":"Makale","given":"Fernadis","non-dropping-particle":"","parse-names":false,"suffix":""},{"dropping-particle":"","family":"Mugambi","given":"Idah","non-dropping-particle":"","parse-names":false,"suffix":""},{"dropping-particle":"","family":"Rware","given":"Harrison","non-dropping-particle":"","parse-names":false,"suffix":""},{"dropping-particle":"","family":"Chacha","given":"Duncan","non-dropping-particle":"","parse-names":false,"suffix":""},{"dropping-particle":"","family":"Lowry","given":"Alyssa","non-dropping-particle":"","parse-names":false,"suffix":""},{"dropping-particle":"","family":"Rwomushana","given":"Ivan","non-dropping-particle":"","parse-names":false,"suffix":""},{"dropping-particle":"","family":"Williams","given":"Frances","non-dropping-particle":"","parse-names":false,"suffix":""}],"container-title":"CABI Agriculture and Bioscience","id":"ITEM-1","issue":"1","issued":{"date-parts":[["2023"]]},"page":"1-15","publisher":"BioMed Central","title":"Smallholder farmers’ knowledge, attitudes and practices towards biological control of papaya mealybug in Kenya","type":"article-journal","volume":"4"},"uris":["http://www.mendeley.com/documents/?uuid=e42a71dc-9754-44b3-9e0f-98c3c1cb215b"]},{"id":"ITEM-2","itemData":{"DOI":"10.1186/s12866-022-02744-2","ISSN":"14712180","PMID":"36581846","abstract":"For the burgeoning global population, sustainable agriculture practices are crucial for accomplishing the zero-hunger goal. The agriculture sector is very concerned about the rise in insecticide resistance and the Modern Environmental Health Hazards (MEHHs) that are problems for public health due to on pesticide exposure and residues. Currently, farming practices are being developed based on microbial bio-stimulants, which have fewer negative effects and are more efficient than synthetic agro-chemicals. In this context, one of the most important approaches in sustainable agriculture is the use of biocontrol microbes that can suppress phytopathogens and insects. Simultaneously, it is critical to comprehend the role of these microbes in promoting growth and disease control, and their application as biofertilizers and biopesticides, the success of which in the field is currently inconsistent. Therefore, editorial is part of a special issue titled \"Biocontrol Strategies: An Eco-smart Tool for Integrated Pest and Disease Management\" which focuses on biocontrol approaches that can suppress the biotic stresses, alter plant defense mechanisms, and offer new eco-smart ways for controlling plant pathogens and insect pests under sustainable agriculture.","author":[{"dropping-particle":"","family":"Jaiswal","given":"Durgesh Kumar","non-dropping-particle":"","parse-names":false,"suffix":""},{"dropping-particle":"","family":"Gawande","given":"Suresh Janardhan","non-dropping-particle":"","parse-names":false,"suffix":""},{"dropping-particle":"","family":"Soumia","given":"P. S.","non-dropping-particle":"","parse-names":false,"suffix":""},{"dropping-particle":"","family":"Krishna","given":"Ram","non-dropping-particle":"","parse-names":false,"suffix":""},{"dropping-particle":"","family":"Vaishnav","given":"Anukool","non-dropping-particle":"","parse-names":false,"suffix":""},{"dropping-particle":"","family":"Ade","given":"Avinash Bapurao","non-dropping-particle":"","parse-names":false,"suffix":""}],"container-title":"BMC Microbiology","id":"ITEM-2","issue":"1","issued":{"date-parts":[["2022"]]},"page":"1-5","publisher":"BioMed Central","title":"Biocontrol strategies: an eco-smart tool for integrated pest and diseases management","type":"article-journal","volume":"22"},"uris":["http://www.mendeley.com/documents/?uuid=596bd313-77ce-49d9-8bbd-da4bdb09e26d"]},{"id":"ITEM-3","itemData":{"DOI":"10.3390/agronomy12051218","ISSN":"20734395","abstract":"Developing sustainable agriculture by identifying non-chemical alternative Plant Protection Products (PPP) is a cornerstone in achieving long-sought environmental friendliness. Despite significant legislative and political efforts to promote biocontrol solutions and Integrated Pest Management (IPM), the literature points out the disadvantages posed by European Union’s (EU) two-tier system for Microbial Biological Control Agents (MBCA) approval and subsequent Microbial Biological Control Products (MBCP) authorization by each EU Member State (MS). Despite the disadvantages, in a recent article, we showed that the EU had outcompeted the US and other countries in approved MBCA in the last decades; however, MBCP approval at the national level lags. Achieving the EU Green Deal’s aim set out in the ‘Farm to Fork Strategy’ to reduce the use and risk of pesticides by 50% by 2030 is difficult without developing viable alternatives. Why do we not have higher MBCP availability and usage in the EU? Is it the current legislation, its poor application, or some other factors? The current legislative framework stimulated MBCA approval. Thus, we compare MBCA approval and MBCP authorization procedure to evaluate if MBCP authorization is more difficult and thus causes a bottleneck. We find that requirements for MBCP authorization are unnecessarily more complex. We recommend simplifying the MBCP dossier requirements and making them as similar to MBCA as possible to accelerate the MBCP authorization in more EU MS to increase their availability and integration in agronomic crops’ pest management plans.","author":[{"dropping-particle":"","family":"Helepciuc","given":"Florența Elena","non-dropping-particle":"","parse-names":false,"suffix":""},{"dropping-particle":"","family":"Todor","given":"Arpad","non-dropping-particle":"","parse-names":false,"suffix":""}],"container-title":"Agronomy","id":"ITEM-3","issue":"5","issued":{"date-parts":[["2022"]]},"page":"1-8","title":"Improving the authorization of Microbial Biological Control Products (MBCP) in the European Union within the EU green deal framework","type":"article-journal","volume":"12"},"uris":["http://www.mendeley.com/documents/?uuid=dc72d167-7cdc-4ca6-83a0-c91b21846351"]}],"mendeley":{"formattedCitation":"(Constantine et al., 2023; Helepciuc &amp; Todor, 2022; Jaiswal et al., 2022)","plainTextFormattedCitation":"(Constantine et al., 2023; Helepciuc &amp; Todor, 2022; Jaiswal et al., 2022)","previouslyFormattedCitation":"(Constantine et al., 2023; Helepciuc &amp; Todor, 2022; Jaiswal et al., 2022)"},"properties":{"noteIndex":0},"schema":"https://github.com/citation-style-language/schema/raw/master/csl-citation.json"}</w:instrText>
      </w:r>
      <w:r w:rsidR="00325430" w:rsidRPr="00C62ADA">
        <w:rPr>
          <w:rFonts w:ascii="Palatino Linotype" w:hAnsi="Palatino Linotype" w:cs="Arial"/>
          <w:szCs w:val="20"/>
          <w:lang w:val="sv-SE"/>
        </w:rPr>
        <w:fldChar w:fldCharType="separate"/>
      </w:r>
      <w:r w:rsidR="00325430" w:rsidRPr="00C62ADA">
        <w:rPr>
          <w:rFonts w:ascii="Palatino Linotype" w:hAnsi="Palatino Linotype" w:cs="Arial"/>
          <w:noProof/>
          <w:szCs w:val="20"/>
          <w:lang w:val="sv-SE"/>
        </w:rPr>
        <w:t>(Constantine et al., 2023; Helepciuc &amp; Todor, 2022; Jaiswal et al., 2022)</w:t>
      </w:r>
      <w:r w:rsidR="00325430" w:rsidRPr="00C62ADA">
        <w:rPr>
          <w:rFonts w:ascii="Palatino Linotype" w:hAnsi="Palatino Linotype" w:cs="Arial"/>
          <w:szCs w:val="20"/>
          <w:lang w:val="sv-SE"/>
        </w:rPr>
        <w:fldChar w:fldCharType="end"/>
      </w:r>
      <w:r w:rsidR="00325430" w:rsidRPr="00C62ADA">
        <w:rPr>
          <w:rFonts w:ascii="Palatino Linotype" w:hAnsi="Palatino Linotype" w:cs="Arial"/>
          <w:szCs w:val="20"/>
          <w:lang w:val="sv-SE"/>
        </w:rPr>
        <w:t xml:space="preserve">. </w:t>
      </w:r>
      <w:r w:rsidRPr="00C62ADA">
        <w:rPr>
          <w:rFonts w:ascii="Palatino Linotype" w:hAnsi="Palatino Linotype" w:cs="Arial"/>
          <w:szCs w:val="20"/>
          <w:lang w:val="sv-SE"/>
        </w:rPr>
        <w:t xml:space="preserve">Oleh karena itu, </w:t>
      </w:r>
      <w:r w:rsidR="00A1078A" w:rsidRPr="00C62ADA">
        <w:rPr>
          <w:rFonts w:ascii="Palatino Linotype" w:hAnsi="Palatino Linotype" w:cs="Arial"/>
          <w:szCs w:val="20"/>
          <w:lang w:val="sv-SE"/>
        </w:rPr>
        <w:t xml:space="preserve">diseminasi dan </w:t>
      </w:r>
      <w:r w:rsidRPr="00C62ADA">
        <w:rPr>
          <w:rFonts w:ascii="Palatino Linotype" w:hAnsi="Palatino Linotype" w:cs="Arial"/>
          <w:szCs w:val="20"/>
          <w:lang w:val="sv-SE"/>
        </w:rPr>
        <w:t xml:space="preserve">pelatihan yang memadai tentang penggunaan APH sangat diperlukan. Penelitian dari </w:t>
      </w:r>
      <w:r w:rsidR="00325430" w:rsidRPr="00C62ADA">
        <w:rPr>
          <w:rFonts w:ascii="Palatino Linotype" w:hAnsi="Palatino Linotype" w:cs="Arial"/>
          <w:szCs w:val="20"/>
          <w:lang w:val="sv-SE"/>
        </w:rPr>
        <w:fldChar w:fldCharType="begin" w:fldLock="1"/>
      </w:r>
      <w:r w:rsidR="00CF740F" w:rsidRPr="00C62ADA">
        <w:rPr>
          <w:rFonts w:ascii="Palatino Linotype" w:hAnsi="Palatino Linotype" w:cs="Arial"/>
          <w:szCs w:val="20"/>
          <w:lang w:val="sv-SE"/>
        </w:rPr>
        <w:instrText>ADDIN CSL_CITATION {"citationItems":[{"id":"ITEM-1","itemData":{"DOI":"10.1371/journal.pone.0292877","ISBN":"1111111111","ISSN":"19326203","PMID":"37930967","abstract":"Agricultural extension plays a crucial role in disseminating knowledge, empowering farmers, and advancing agricultural development. The effectiveness of these roles can be greatly improved by integrating technology. These technologies, often grouped into two categories–agricultural technology and educational technology–work together to yield the best outcomes. While several studies have been conducted using technologies in agricultural extension programs, no previous reviews have solely examined the impact of these technologies in agricultural extension, and this leaves a significant knowledge gap especially for professionals in this field. For this scoping review, we searched the five most relevant, reliable, and comprehensive databases (CAB Abstracts (Ovid), AGRICOLA (EBSCO), ERIC (EBSCO), Education Source (EBSCO), and Web of Science Core Collection) for articles focused on the use of technology for training farmers in agricultural extension settings. Fifty-four studies published between 2000 and 2022 on the use of technology in agricultural extension programs were included in this review. Our findings show that: (1) most studies were conducted in the last seven years (2016–2022) in the field of agronomy, with India being the most frequent country and Africa being the most notable region for the studies; (2) the quantitative research method was the most employed, while most of the included studies used more than one data collection approach; (3) multimedia was the most widely used educational technology, while most of the studies combined more than one agricultural technology such as pest and disease control, crop cultivation and harvesting practices; (4) the impacts of technology in agricultural extension were mostly mixed, while only the educational technology type had a statistically significant effect or impact of the intervention outcome. From an analysis of the results, we identified potential limitations in included studies’ methodology and reporting that should be considered in the future like the need to further analyze the specific interactions between the two technology types and their impacts of some aspects of agricultural extension. We also looked at the characteristics of interventions, the impact of technology on agricultural extension programs, and current and future trends. We emphasized the gaps in the literature that need to be addressed.","author":[{"dropping-particle":"","family":"Xu","given":"Zhihong","non-dropping-particle":"","parse-names":false,"suffix":""},{"dropping-particle":"","family":"Adeyemi","given":"Anjorin Ezekiel","non-dropping-particle":"","parse-names":false,"suffix":""},{"dropping-particle":"","family":"Catalan","given":"Emily","non-dropping-particle":"","parse-names":false,"suffix":""},{"dropping-particle":"","family":"Ma","given":"Shuai","non-dropping-particle":"","parse-names":false,"suffix":""},{"dropping-particle":"","family":"Kogut","given":"Ashlynn","non-dropping-particle":"","parse-names":false,"suffix":""},{"dropping-particle":"","family":"Guzman","given":"Cristina","non-dropping-particle":"","parse-names":false,"suffix":""}],"container-title":"PLoS ONE","id":"ITEM-1","issued":{"date-parts":[["2023"]]},"page":"1-22","title":"A scoping review on technology applications in agricultural extension","type":"article-journal","volume":"18"},"uris":["http://www.mendeley.com/documents/?uuid=97c15e04-66e1-45ea-a66e-eb3c88c707de"]},{"id":"ITEM-2","itemData":{"DOI":"10.1186/s40066-018-0225-x","ISSN":"20487010","abstract":"Background: In agricultural-dependent economies, extension programmes have been the main conduit for disseminating information on farm technologies, support rural adult learning and assist farmers in developing their farm technical and managerial skills. It is expected that extension programmes will help increase farm productivity, farm revenue, reduce poverty and minimize food insecurity. In this study, we estimate the effects of extension services on farm productivity and income with particular reference to agricultural extension services delivered by Association of Church-based Development NGOs (ACDEP). Methods: The study used cross-sectional data collected from 200 farm households from two districts in the Northern region of Ghana. The robustness of the estimates was tested by the use of regression on covariates, regression on propensity scores and Heckman treatment effect model. Results: The study found positive economic gains from participating in the ACDEP agricultural extension programmes. Apart from the primary variable of interest (ACDEP agricultural extension programme), socio-economic, institutional and farm-specific variables were estimated to significantly affect farmers' farm income depending on the estimation technique used. Conclusions: The study has reaffirmed the critical role of extension programmes in enhancing farm productivity and household income. It is, therefore, recommended that agricultural extension service delivery should be boosted through timely recruitment, periodic training of agents and provision of adequate logistics.","author":[{"dropping-particle":"","family":"Danso-Abbeam","given":"Gideon","non-dropping-particle":"","parse-names":false,"suffix":""},{"dropping-particle":"","family":"Ehiakpor","given":"Dennis Sedem","non-dropping-particle":"","parse-names":false,"suffix":""},{"dropping-particle":"","family":"Aidoo","given":"Robert","non-dropping-particle":"","parse-names":false,"suffix":""}],"container-title":"Agriculture and Food Security","id":"ITEM-2","issue":"1","issued":{"date-parts":[["2018"]]},"page":"1-10","publisher":"BioMed Central","title":"Agricultural extension and its effects on farm productivity and income: Insight from Northern Ghana","type":"article-journal","volume":"7"},"uris":["http://www.mendeley.com/documents/?uuid=c653988d-bd65-47a6-be00-0a8dd91e96f8"]}],"mendeley":{"formattedCitation":"(Danso-Abbeam, Ehiakpor, &amp; Aidoo, 2018; Xu et al., 2023)","manualFormatting":"Danso-Abbeam, Ehiakpor, &amp; Aidoo, (2018) dan Xu et al., (2023)","plainTextFormattedCitation":"(Danso-Abbeam, Ehiakpor, &amp; Aidoo, 2018; Xu et al., 2023)","previouslyFormattedCitation":"(Danso-Abbeam et al., 2018; Xu et al., 2023)"},"properties":{"noteIndex":0},"schema":"https://github.com/citation-style-language/schema/raw/master/csl-citation.json"}</w:instrText>
      </w:r>
      <w:r w:rsidR="00325430" w:rsidRPr="00C62ADA">
        <w:rPr>
          <w:rFonts w:ascii="Palatino Linotype" w:hAnsi="Palatino Linotype" w:cs="Arial"/>
          <w:szCs w:val="20"/>
          <w:lang w:val="sv-SE"/>
        </w:rPr>
        <w:fldChar w:fldCharType="separate"/>
      </w:r>
      <w:r w:rsidR="00325430" w:rsidRPr="00C62ADA">
        <w:rPr>
          <w:rFonts w:ascii="Palatino Linotype" w:hAnsi="Palatino Linotype" w:cs="Arial"/>
          <w:noProof/>
          <w:szCs w:val="20"/>
          <w:lang w:val="sv-SE"/>
        </w:rPr>
        <w:t>Danso-Abbeam, Ehiakpor, &amp; Aidoo, (2018) dan Xu et al., (2023)</w:t>
      </w:r>
      <w:r w:rsidR="00325430" w:rsidRPr="00C62ADA">
        <w:rPr>
          <w:rFonts w:ascii="Palatino Linotype" w:hAnsi="Palatino Linotype" w:cs="Arial"/>
          <w:szCs w:val="20"/>
          <w:lang w:val="sv-SE"/>
        </w:rPr>
        <w:fldChar w:fldCharType="end"/>
      </w:r>
      <w:r w:rsidRPr="00C62ADA">
        <w:rPr>
          <w:rFonts w:ascii="Palatino Linotype" w:hAnsi="Palatino Linotype" w:cs="Arial"/>
          <w:szCs w:val="20"/>
          <w:lang w:val="sv-SE"/>
        </w:rPr>
        <w:t xml:space="preserve"> menyatakan bahwa keberhasilan implementasi teknologi baru di sektor pertanian sangat bergantung pada penyuluhan dan pendidikan kepa</w:t>
      </w:r>
      <w:r w:rsidR="001C50B4" w:rsidRPr="00C62ADA">
        <w:rPr>
          <w:rFonts w:ascii="Palatino Linotype" w:hAnsi="Palatino Linotype" w:cs="Arial"/>
          <w:szCs w:val="20"/>
          <w:lang w:val="sv-SE"/>
        </w:rPr>
        <w:t>d</w:t>
      </w:r>
      <w:r w:rsidRPr="00C62ADA">
        <w:rPr>
          <w:rFonts w:ascii="Palatino Linotype" w:hAnsi="Palatino Linotype" w:cs="Arial"/>
          <w:szCs w:val="20"/>
          <w:lang w:val="sv-SE"/>
        </w:rPr>
        <w:t xml:space="preserve">a petani. </w:t>
      </w:r>
    </w:p>
    <w:p w14:paraId="2D4C43E4" w14:textId="77777777" w:rsidR="003C2461" w:rsidRPr="00C62ADA" w:rsidRDefault="003C2461">
      <w:pPr>
        <w:ind w:firstLine="709"/>
        <w:rPr>
          <w:rFonts w:ascii="Palatino Linotype" w:hAnsi="Palatino Linotype" w:cs="Arial"/>
          <w:szCs w:val="20"/>
          <w:lang w:val="sv-SE"/>
        </w:rPr>
      </w:pPr>
    </w:p>
    <w:p w14:paraId="61D554EC" w14:textId="77777777" w:rsidR="003C2461" w:rsidRPr="00C62ADA" w:rsidRDefault="00BC24B3">
      <w:pPr>
        <w:pStyle w:val="Bagian"/>
        <w:spacing w:before="0" w:after="0"/>
        <w:contextualSpacing/>
        <w:rPr>
          <w:rFonts w:ascii="Palatino Linotype" w:hAnsi="Palatino Linotype" w:cs="Arial"/>
          <w:sz w:val="24"/>
          <w:szCs w:val="32"/>
        </w:rPr>
      </w:pPr>
      <w:r w:rsidRPr="00C62ADA">
        <w:rPr>
          <w:rFonts w:ascii="Palatino Linotype" w:hAnsi="Palatino Linotype" w:cs="Arial"/>
          <w:sz w:val="24"/>
        </w:rPr>
        <w:t>SIMPULAN DAN SARAN</w:t>
      </w:r>
    </w:p>
    <w:p w14:paraId="5027CC6E" w14:textId="77777777" w:rsidR="003C2461" w:rsidRPr="00C62ADA" w:rsidRDefault="00BC24B3" w:rsidP="009A121E">
      <w:pPr>
        <w:ind w:firstLine="567"/>
        <w:rPr>
          <w:rFonts w:ascii="Palatino Linotype" w:hAnsi="Palatino Linotype" w:cs="Arial"/>
          <w:szCs w:val="20"/>
          <w:lang w:val="sv-SE"/>
        </w:rPr>
      </w:pPr>
      <w:r w:rsidRPr="00C62ADA">
        <w:rPr>
          <w:rFonts w:ascii="Palatino Linotype" w:hAnsi="Palatino Linotype" w:cs="Arial"/>
          <w:szCs w:val="20"/>
          <w:lang w:val="sv-SE"/>
        </w:rPr>
        <w:t xml:space="preserve">Disemenasi memberikan manfaat yang signifikan terhadap keberdayaan petani singkong di Desa Purnama. Petani umumnya hanya tahu tentang pupuk dan pestisida sintetis. Dengan pengabdian ini petani bisa mengidentifikasi mengenai jenis-jenis APH sampai manfaat aplikasi APH. Pengabdian desa binaan ini petani telah didampingi bagaimana produksi pupuk dan pestisida nabati serta produk biopestisida berbasis jamur. </w:t>
      </w:r>
    </w:p>
    <w:p w14:paraId="21DA8AFA" w14:textId="77777777" w:rsidR="003C2461" w:rsidRPr="00C62ADA" w:rsidRDefault="00BC24B3">
      <w:pPr>
        <w:ind w:firstLine="720"/>
        <w:rPr>
          <w:rFonts w:ascii="Palatino Linotype" w:hAnsi="Palatino Linotype" w:cs="Arial"/>
          <w:szCs w:val="20"/>
          <w:lang w:val="sv-SE"/>
        </w:rPr>
      </w:pPr>
      <w:r w:rsidRPr="00C62ADA">
        <w:rPr>
          <w:rFonts w:ascii="Palatino Linotype" w:hAnsi="Palatino Linotype" w:cs="Arial"/>
          <w:szCs w:val="20"/>
          <w:lang w:val="sv-SE"/>
        </w:rPr>
        <w:t xml:space="preserve">Untuk pengabdian berikutnya tim Universitas Jember berkomitmen dengan Pemerintah Desa Purnama untuk melegalkan kelembagaan PPAH Purnama Sejahtera sebagai organisasi swadaya petani singkong. </w:t>
      </w:r>
    </w:p>
    <w:p w14:paraId="58126BB1" w14:textId="77777777" w:rsidR="003C2461" w:rsidRPr="00C62ADA" w:rsidRDefault="003C2461">
      <w:pPr>
        <w:ind w:firstLine="720"/>
        <w:rPr>
          <w:rFonts w:ascii="Palatino Linotype" w:hAnsi="Palatino Linotype" w:cs="Arial"/>
          <w:szCs w:val="20"/>
          <w:lang w:val="sv-SE"/>
        </w:rPr>
      </w:pPr>
    </w:p>
    <w:p w14:paraId="55BA3B18" w14:textId="77777777" w:rsidR="003C2461" w:rsidRPr="00C62ADA" w:rsidRDefault="00BC24B3">
      <w:pPr>
        <w:pStyle w:val="Bagian"/>
        <w:spacing w:before="0" w:after="0"/>
        <w:contextualSpacing/>
        <w:rPr>
          <w:rFonts w:ascii="Palatino Linotype" w:hAnsi="Palatino Linotype" w:cs="Arial"/>
          <w:sz w:val="24"/>
          <w:szCs w:val="32"/>
        </w:rPr>
      </w:pPr>
      <w:r w:rsidRPr="00C62ADA">
        <w:rPr>
          <w:rFonts w:ascii="Palatino Linotype" w:hAnsi="Palatino Linotype" w:cs="Arial"/>
          <w:sz w:val="24"/>
        </w:rPr>
        <w:t>UCAPAN TERIMAKASIH</w:t>
      </w:r>
    </w:p>
    <w:p w14:paraId="6479E0BB" w14:textId="77777777" w:rsidR="003C2461" w:rsidRPr="00C62ADA" w:rsidRDefault="00BC24B3" w:rsidP="009A121E">
      <w:pPr>
        <w:ind w:firstLine="567"/>
        <w:rPr>
          <w:rFonts w:ascii="Palatino Linotype" w:hAnsi="Palatino Linotype" w:cs="Arial"/>
          <w:szCs w:val="20"/>
          <w:lang w:val="sv-SE"/>
        </w:rPr>
      </w:pPr>
      <w:r w:rsidRPr="00C62ADA">
        <w:rPr>
          <w:rFonts w:ascii="Palatino Linotype" w:hAnsi="Palatino Linotype" w:cs="Arial"/>
          <w:szCs w:val="20"/>
          <w:lang w:val="sv-SE"/>
        </w:rPr>
        <w:t>Ucapan terimakasih terutama ditujukan kepada LP2M Universitas Jember melalui kegiatan pengabdian kepada masyarakat skema hibah Desa Binaan dengan nomor kontrak 4420/UN25.3.1/LT/2023 Tanggal 18 Juli 2023. Ucapan terimakasih dapat juga disampaikan kepada pihak-pihak yang membantu pelaksanaan kegiatan pengabdian yaitu Pemerintah Desa Purnama, Mahasiswa Proteksi Tanaman yaitu Thoriq Abdillah dan Pak Sanusi selaku PLP (Pranata Laboratorium Pendidikan) Program Studi Proteksi Tanaman.</w:t>
      </w:r>
    </w:p>
    <w:p w14:paraId="32AF5E0B" w14:textId="77777777" w:rsidR="003C2461" w:rsidRPr="00C62ADA" w:rsidRDefault="003C2461">
      <w:pPr>
        <w:ind w:firstLine="720"/>
        <w:rPr>
          <w:rFonts w:ascii="Palatino Linotype" w:hAnsi="Palatino Linotype" w:cs="Arial"/>
          <w:szCs w:val="20"/>
          <w:lang w:val="sv-SE"/>
        </w:rPr>
      </w:pPr>
    </w:p>
    <w:p w14:paraId="0CB7AC5B" w14:textId="77777777" w:rsidR="003C2461" w:rsidRPr="00C62ADA" w:rsidRDefault="00BC24B3">
      <w:pPr>
        <w:pStyle w:val="Bagian"/>
        <w:spacing w:before="0" w:after="0"/>
        <w:contextualSpacing/>
        <w:rPr>
          <w:rFonts w:ascii="Palatino Linotype" w:hAnsi="Palatino Linotype" w:cs="Arial"/>
          <w:sz w:val="24"/>
          <w:szCs w:val="32"/>
        </w:rPr>
      </w:pPr>
      <w:r w:rsidRPr="00C62ADA">
        <w:rPr>
          <w:rFonts w:ascii="Palatino Linotype" w:hAnsi="Palatino Linotype" w:cs="Arial"/>
          <w:sz w:val="24"/>
        </w:rPr>
        <w:t>DAFTAR RUJUKAN</w:t>
      </w:r>
    </w:p>
    <w:p w14:paraId="799E9D2F" w14:textId="2E2785D0" w:rsidR="00CF740F" w:rsidRPr="00C62ADA" w:rsidRDefault="00BC24B3" w:rsidP="009A121E">
      <w:pPr>
        <w:widowControl w:val="0"/>
        <w:autoSpaceDE w:val="0"/>
        <w:autoSpaceDN w:val="0"/>
        <w:ind w:left="567" w:hanging="567"/>
        <w:rPr>
          <w:rFonts w:ascii="Palatino Linotype" w:hAnsi="Palatino Linotype"/>
          <w:noProof/>
        </w:rPr>
      </w:pPr>
      <w:r w:rsidRPr="00C62ADA">
        <w:rPr>
          <w:rFonts w:ascii="Palatino Linotype" w:hAnsi="Palatino Linotype" w:cs="Arial"/>
          <w:b/>
          <w:bCs/>
        </w:rPr>
        <w:fldChar w:fldCharType="begin" w:fldLock="1"/>
      </w:r>
      <w:r w:rsidRPr="00C62ADA">
        <w:rPr>
          <w:rFonts w:ascii="Palatino Linotype" w:hAnsi="Palatino Linotype" w:cs="Arial"/>
          <w:b/>
          <w:bCs/>
        </w:rPr>
        <w:instrText xml:space="preserve">ADDIN Mendeley Bibliography CSL_BIBLIOGRAPHY </w:instrText>
      </w:r>
      <w:r w:rsidRPr="00C62ADA">
        <w:rPr>
          <w:rFonts w:ascii="Palatino Linotype" w:hAnsi="Palatino Linotype" w:cs="Arial"/>
          <w:b/>
          <w:bCs/>
        </w:rPr>
        <w:fldChar w:fldCharType="separate"/>
      </w:r>
      <w:r w:rsidR="00CF740F" w:rsidRPr="00C62ADA">
        <w:rPr>
          <w:rFonts w:ascii="Palatino Linotype" w:hAnsi="Palatino Linotype"/>
          <w:noProof/>
        </w:rPr>
        <w:t xml:space="preserve">Abd-Elgawad, M. M. M., &amp; Askary, T. H. (2020). Factors affecting success of biological agents used in controlling the plant-parasitic nematodes. </w:t>
      </w:r>
      <w:r w:rsidR="00CF740F" w:rsidRPr="00C62ADA">
        <w:rPr>
          <w:rFonts w:ascii="Palatino Linotype" w:hAnsi="Palatino Linotype"/>
          <w:i/>
          <w:iCs/>
          <w:noProof/>
        </w:rPr>
        <w:t>Egyptian Journal of Biological Pest Control</w:t>
      </w:r>
      <w:r w:rsidR="00CF740F" w:rsidRPr="00C62ADA">
        <w:rPr>
          <w:rFonts w:ascii="Palatino Linotype" w:hAnsi="Palatino Linotype"/>
          <w:noProof/>
        </w:rPr>
        <w:t xml:space="preserve">, </w:t>
      </w:r>
      <w:r w:rsidR="00CF740F" w:rsidRPr="00C62ADA">
        <w:rPr>
          <w:rFonts w:ascii="Palatino Linotype" w:hAnsi="Palatino Linotype"/>
          <w:i/>
          <w:iCs/>
          <w:noProof/>
        </w:rPr>
        <w:t>30</w:t>
      </w:r>
      <w:r w:rsidR="00CF740F" w:rsidRPr="00C62ADA">
        <w:rPr>
          <w:rFonts w:ascii="Palatino Linotype" w:hAnsi="Palatino Linotype"/>
          <w:noProof/>
        </w:rPr>
        <w:t>(1), 1–11. https://doi.org/10.1186/s41938-020-00215-2</w:t>
      </w:r>
    </w:p>
    <w:p w14:paraId="55010750"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Baehaki, S. E., Iswanto, E. H., &amp; Munawar, D. (2016). Resistensi wereng cokelat terhadap insektisida yang beredar di sentra produksi padi. </w:t>
      </w:r>
      <w:r w:rsidRPr="00C62ADA">
        <w:rPr>
          <w:rFonts w:ascii="Palatino Linotype" w:hAnsi="Palatino Linotype"/>
          <w:i/>
          <w:iCs/>
          <w:noProof/>
        </w:rPr>
        <w:t>Jurnal Penelitian Pertanian Tanaman Pangan</w:t>
      </w:r>
      <w:r w:rsidRPr="00C62ADA">
        <w:rPr>
          <w:rFonts w:ascii="Palatino Linotype" w:hAnsi="Palatino Linotype"/>
          <w:noProof/>
        </w:rPr>
        <w:t xml:space="preserve">, </w:t>
      </w:r>
      <w:r w:rsidRPr="00C62ADA">
        <w:rPr>
          <w:rFonts w:ascii="Palatino Linotype" w:hAnsi="Palatino Linotype"/>
          <w:i/>
          <w:iCs/>
          <w:noProof/>
        </w:rPr>
        <w:t>35</w:t>
      </w:r>
      <w:r w:rsidRPr="00C62ADA">
        <w:rPr>
          <w:rFonts w:ascii="Palatino Linotype" w:hAnsi="Palatino Linotype"/>
          <w:noProof/>
        </w:rPr>
        <w:t>(2), 99–108. https://doi.org/10.21082/jpptp.v35n2.2016.p99-108</w:t>
      </w:r>
    </w:p>
    <w:p w14:paraId="23826FFD"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Basuki, Hermiyanto, B., Budiman, S. A., &amp; Alfarisy, F. K. (2023). The evaluation of land use cover changes through the composite approach of Landsat 8 and the land use capability index for the Bedadung watershed. </w:t>
      </w:r>
      <w:r w:rsidRPr="00C62ADA">
        <w:rPr>
          <w:rFonts w:ascii="Palatino Linotype" w:hAnsi="Palatino Linotype"/>
          <w:i/>
          <w:iCs/>
          <w:noProof/>
        </w:rPr>
        <w:t>Journal of Degraded and Mining Lands Management</w:t>
      </w:r>
      <w:r w:rsidRPr="00C62ADA">
        <w:rPr>
          <w:rFonts w:ascii="Palatino Linotype" w:hAnsi="Palatino Linotype"/>
          <w:noProof/>
        </w:rPr>
        <w:t xml:space="preserve">, </w:t>
      </w:r>
      <w:r w:rsidRPr="00C62ADA">
        <w:rPr>
          <w:rFonts w:ascii="Palatino Linotype" w:hAnsi="Palatino Linotype"/>
          <w:i/>
          <w:iCs/>
          <w:noProof/>
        </w:rPr>
        <w:t>10</w:t>
      </w:r>
      <w:r w:rsidRPr="00C62ADA">
        <w:rPr>
          <w:rFonts w:ascii="Palatino Linotype" w:hAnsi="Palatino Linotype"/>
          <w:noProof/>
        </w:rPr>
        <w:t>(4), 4659–4672. https://doi.org/10.15243/jdmlm.2023.104.4659</w:t>
      </w:r>
    </w:p>
    <w:p w14:paraId="5E0F1446"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Constantine, K., Makale, F., Mugambi, I., Rware, H., Chacha, D., Lowry, A., … Williams, F. (2023). </w:t>
      </w:r>
      <w:r w:rsidRPr="00C62ADA">
        <w:rPr>
          <w:rFonts w:ascii="Palatino Linotype" w:hAnsi="Palatino Linotype"/>
          <w:noProof/>
        </w:rPr>
        <w:lastRenderedPageBreak/>
        <w:t xml:space="preserve">Smallholder farmers’ knowledge, attitudes and practices towards biological control of papaya mealybug in Kenya. </w:t>
      </w:r>
      <w:r w:rsidRPr="00C62ADA">
        <w:rPr>
          <w:rFonts w:ascii="Palatino Linotype" w:hAnsi="Palatino Linotype"/>
          <w:i/>
          <w:iCs/>
          <w:noProof/>
        </w:rPr>
        <w:t>CABI Agriculture and Bioscience</w:t>
      </w:r>
      <w:r w:rsidRPr="00C62ADA">
        <w:rPr>
          <w:rFonts w:ascii="Palatino Linotype" w:hAnsi="Palatino Linotype"/>
          <w:noProof/>
        </w:rPr>
        <w:t xml:space="preserve">, </w:t>
      </w:r>
      <w:r w:rsidRPr="00C62ADA">
        <w:rPr>
          <w:rFonts w:ascii="Palatino Linotype" w:hAnsi="Palatino Linotype"/>
          <w:i/>
          <w:iCs/>
          <w:noProof/>
        </w:rPr>
        <w:t>4</w:t>
      </w:r>
      <w:r w:rsidRPr="00C62ADA">
        <w:rPr>
          <w:rFonts w:ascii="Palatino Linotype" w:hAnsi="Palatino Linotype"/>
          <w:noProof/>
        </w:rPr>
        <w:t>(1), 1–15. https://doi.org/10.1186/s43170-023-00161-7</w:t>
      </w:r>
    </w:p>
    <w:p w14:paraId="0389B9B2"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Danso-Abbeam, G., Ehiakpor, D. S., &amp; Aidoo, R. (2018). Agricultural extension and its effects on farm productivity and income: Insight from Northern Ghana. </w:t>
      </w:r>
      <w:r w:rsidRPr="00C62ADA">
        <w:rPr>
          <w:rFonts w:ascii="Palatino Linotype" w:hAnsi="Palatino Linotype"/>
          <w:i/>
          <w:iCs/>
          <w:noProof/>
        </w:rPr>
        <w:t>Agriculture and Food Security</w:t>
      </w:r>
      <w:r w:rsidRPr="00C62ADA">
        <w:rPr>
          <w:rFonts w:ascii="Palatino Linotype" w:hAnsi="Palatino Linotype"/>
          <w:noProof/>
        </w:rPr>
        <w:t xml:space="preserve">, </w:t>
      </w:r>
      <w:r w:rsidRPr="00C62ADA">
        <w:rPr>
          <w:rFonts w:ascii="Palatino Linotype" w:hAnsi="Palatino Linotype"/>
          <w:i/>
          <w:iCs/>
          <w:noProof/>
        </w:rPr>
        <w:t>7</w:t>
      </w:r>
      <w:r w:rsidRPr="00C62ADA">
        <w:rPr>
          <w:rFonts w:ascii="Palatino Linotype" w:hAnsi="Palatino Linotype"/>
          <w:noProof/>
        </w:rPr>
        <w:t>(1), 1–10. https://doi.org/10.1186/s40066-018-0225-x</w:t>
      </w:r>
    </w:p>
    <w:p w14:paraId="55A5833B"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Elfarisna. (2012). Pengaruh metode pelatihan dan pengetahuan tentang limbah organik terhadap keterampilan petani membuat pupuk organik (Studi eksperimen pada petani di Kabupaten Bogor). </w:t>
      </w:r>
      <w:r w:rsidRPr="00C62ADA">
        <w:rPr>
          <w:rFonts w:ascii="Palatino Linotype" w:hAnsi="Palatino Linotype"/>
          <w:i/>
          <w:iCs/>
          <w:noProof/>
        </w:rPr>
        <w:t>PLPB: Jurnal Pendidikan Lingkungan Dan Pembangunan Berkelanjutan</w:t>
      </w:r>
      <w:r w:rsidRPr="00C62ADA">
        <w:rPr>
          <w:rFonts w:ascii="Palatino Linotype" w:hAnsi="Palatino Linotype"/>
          <w:noProof/>
        </w:rPr>
        <w:t xml:space="preserve">, </w:t>
      </w:r>
      <w:r w:rsidRPr="00C62ADA">
        <w:rPr>
          <w:rFonts w:ascii="Palatino Linotype" w:hAnsi="Palatino Linotype"/>
          <w:i/>
          <w:iCs/>
          <w:noProof/>
        </w:rPr>
        <w:t>13</w:t>
      </w:r>
      <w:r w:rsidRPr="00C62ADA">
        <w:rPr>
          <w:rFonts w:ascii="Palatino Linotype" w:hAnsi="Palatino Linotype"/>
          <w:noProof/>
        </w:rPr>
        <w:t>(2), 42–53. https://doi.org/10.21009/PLPB.132.04</w:t>
      </w:r>
    </w:p>
    <w:p w14:paraId="49A856A9"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Hani, E. S., Alfarisy, F. K., Widuri, L. I., Soeparjono, S., Muhlison, W., Saputra, T. W., &amp; Yulianto, R. (2024). Assessment of water quality in agricultural systems in Candipuro, Lumajang Regency, East Java, Indonesia. </w:t>
      </w:r>
      <w:r w:rsidRPr="00C62ADA">
        <w:rPr>
          <w:rFonts w:ascii="Palatino Linotype" w:hAnsi="Palatino Linotype"/>
          <w:i/>
          <w:iCs/>
          <w:noProof/>
        </w:rPr>
        <w:t>Journal of Degraded and Mining Lands Management</w:t>
      </w:r>
      <w:r w:rsidRPr="00C62ADA">
        <w:rPr>
          <w:rFonts w:ascii="Palatino Linotype" w:hAnsi="Palatino Linotype"/>
          <w:noProof/>
        </w:rPr>
        <w:t xml:space="preserve">, </w:t>
      </w:r>
      <w:r w:rsidRPr="00C62ADA">
        <w:rPr>
          <w:rFonts w:ascii="Palatino Linotype" w:hAnsi="Palatino Linotype"/>
          <w:i/>
          <w:iCs/>
          <w:noProof/>
        </w:rPr>
        <w:t>11</w:t>
      </w:r>
      <w:r w:rsidRPr="00C62ADA">
        <w:rPr>
          <w:rFonts w:ascii="Palatino Linotype" w:hAnsi="Palatino Linotype"/>
          <w:noProof/>
        </w:rPr>
        <w:t>(3), 5597–5609. https://doi.org/10.15243/jdmlm.2024.113.5597</w:t>
      </w:r>
    </w:p>
    <w:p w14:paraId="5A115E45"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Helepciuc, F. E., &amp; Todor, A. (2022). Improving the authorization of Microbial Biological Control Products (MBCP) in the European Union within the EU green deal framework. </w:t>
      </w:r>
      <w:r w:rsidRPr="00C62ADA">
        <w:rPr>
          <w:rFonts w:ascii="Palatino Linotype" w:hAnsi="Palatino Linotype"/>
          <w:i/>
          <w:iCs/>
          <w:noProof/>
        </w:rPr>
        <w:t>Agronomy</w:t>
      </w:r>
      <w:r w:rsidRPr="00C62ADA">
        <w:rPr>
          <w:rFonts w:ascii="Palatino Linotype" w:hAnsi="Palatino Linotype"/>
          <w:noProof/>
        </w:rPr>
        <w:t xml:space="preserve">, </w:t>
      </w:r>
      <w:r w:rsidRPr="00C62ADA">
        <w:rPr>
          <w:rFonts w:ascii="Palatino Linotype" w:hAnsi="Palatino Linotype"/>
          <w:i/>
          <w:iCs/>
          <w:noProof/>
        </w:rPr>
        <w:t>12</w:t>
      </w:r>
      <w:r w:rsidRPr="00C62ADA">
        <w:rPr>
          <w:rFonts w:ascii="Palatino Linotype" w:hAnsi="Palatino Linotype"/>
          <w:noProof/>
        </w:rPr>
        <w:t>(5), 1–8. https://doi.org/10.3390/agronomy12051218</w:t>
      </w:r>
    </w:p>
    <w:p w14:paraId="675A64D7"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Hoesain, M., Suharto, Prastowo, S., Pradana, A. P., Alfarisy, F. K., &amp; Adiwena, M. (2023). Investigating the plant metabolite potential as botanical insecticides against Spodoptera litura with different application methods. </w:t>
      </w:r>
      <w:r w:rsidRPr="00C62ADA">
        <w:rPr>
          <w:rFonts w:ascii="Palatino Linotype" w:hAnsi="Palatino Linotype"/>
          <w:i/>
          <w:iCs/>
          <w:noProof/>
        </w:rPr>
        <w:t>Cogent Food &amp; Agriculture</w:t>
      </w:r>
      <w:r w:rsidRPr="00C62ADA">
        <w:rPr>
          <w:rFonts w:ascii="Palatino Linotype" w:hAnsi="Palatino Linotype"/>
          <w:noProof/>
        </w:rPr>
        <w:t xml:space="preserve">, </w:t>
      </w:r>
      <w:r w:rsidRPr="00C62ADA">
        <w:rPr>
          <w:rFonts w:ascii="Palatino Linotype" w:hAnsi="Palatino Linotype"/>
          <w:i/>
          <w:iCs/>
          <w:noProof/>
        </w:rPr>
        <w:t>9</w:t>
      </w:r>
      <w:r w:rsidRPr="00C62ADA">
        <w:rPr>
          <w:rFonts w:ascii="Palatino Linotype" w:hAnsi="Palatino Linotype"/>
          <w:noProof/>
        </w:rPr>
        <w:t>(1), 1–12. https://doi.org/10.1080/23311932.2023.2229580</w:t>
      </w:r>
    </w:p>
    <w:p w14:paraId="11DB7BE7"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Hughes, D., Thongkum, W., Tudpor, K., Turnbull, N., Yukalang, N., Sychareun, V., … Jordan, S. (2021). Pesticides use and health impacts on farmers in thailand, vietnam, and lao pdr: Protocol for a survey of knowledge, behaviours and blood acetyl cholinesterase concentrations. </w:t>
      </w:r>
      <w:r w:rsidRPr="00C62ADA">
        <w:rPr>
          <w:rFonts w:ascii="Palatino Linotype" w:hAnsi="Palatino Linotype"/>
          <w:i/>
          <w:iCs/>
          <w:noProof/>
        </w:rPr>
        <w:t>PLoS ONE</w:t>
      </w:r>
      <w:r w:rsidRPr="00C62ADA">
        <w:rPr>
          <w:rFonts w:ascii="Palatino Linotype" w:hAnsi="Palatino Linotype"/>
          <w:noProof/>
        </w:rPr>
        <w:t xml:space="preserve">, </w:t>
      </w:r>
      <w:r w:rsidRPr="00C62ADA">
        <w:rPr>
          <w:rFonts w:ascii="Palatino Linotype" w:hAnsi="Palatino Linotype"/>
          <w:i/>
          <w:iCs/>
          <w:noProof/>
        </w:rPr>
        <w:t>16</w:t>
      </w:r>
      <w:r w:rsidRPr="00C62ADA">
        <w:rPr>
          <w:rFonts w:ascii="Palatino Linotype" w:hAnsi="Palatino Linotype"/>
          <w:noProof/>
        </w:rPr>
        <w:t>(9), 1–17. https://doi.org/10.1371/journal.pone.0258134</w:t>
      </w:r>
    </w:p>
    <w:p w14:paraId="2C2D00B2"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Jaiswal, D. K., Gawande, S. J., Soumia, P. S., Krishna, R., Vaishnav, A., &amp; Ade, A. B. (2022). Biocontrol strategies: an eco-smart tool for integrated pest and diseases management. </w:t>
      </w:r>
      <w:r w:rsidRPr="00C62ADA">
        <w:rPr>
          <w:rFonts w:ascii="Palatino Linotype" w:hAnsi="Palatino Linotype"/>
          <w:i/>
          <w:iCs/>
          <w:noProof/>
        </w:rPr>
        <w:t>BMC Microbiology</w:t>
      </w:r>
      <w:r w:rsidRPr="00C62ADA">
        <w:rPr>
          <w:rFonts w:ascii="Palatino Linotype" w:hAnsi="Palatino Linotype"/>
          <w:noProof/>
        </w:rPr>
        <w:t xml:space="preserve">, </w:t>
      </w:r>
      <w:r w:rsidRPr="00C62ADA">
        <w:rPr>
          <w:rFonts w:ascii="Palatino Linotype" w:hAnsi="Palatino Linotype"/>
          <w:i/>
          <w:iCs/>
          <w:noProof/>
        </w:rPr>
        <w:t>22</w:t>
      </w:r>
      <w:r w:rsidRPr="00C62ADA">
        <w:rPr>
          <w:rFonts w:ascii="Palatino Linotype" w:hAnsi="Palatino Linotype"/>
          <w:noProof/>
        </w:rPr>
        <w:t>(1), 1–5. https://doi.org/10.1186/s12866-022-02744-2</w:t>
      </w:r>
    </w:p>
    <w:p w14:paraId="558073D8"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Jeschke, P., Nauen, R., Schindler, M., &amp; Elbert, A. (2011). Overview of the status and global strategy for Neonicotinoids. </w:t>
      </w:r>
      <w:r w:rsidRPr="00C62ADA">
        <w:rPr>
          <w:rFonts w:ascii="Palatino Linotype" w:hAnsi="Palatino Linotype"/>
          <w:i/>
          <w:iCs/>
          <w:noProof/>
        </w:rPr>
        <w:t>Journal of Agricultural and Food Chemistry</w:t>
      </w:r>
      <w:r w:rsidRPr="00C62ADA">
        <w:rPr>
          <w:rFonts w:ascii="Palatino Linotype" w:hAnsi="Palatino Linotype"/>
          <w:noProof/>
        </w:rPr>
        <w:t xml:space="preserve">, </w:t>
      </w:r>
      <w:r w:rsidRPr="00C62ADA">
        <w:rPr>
          <w:rFonts w:ascii="Palatino Linotype" w:hAnsi="Palatino Linotype"/>
          <w:i/>
          <w:iCs/>
          <w:noProof/>
        </w:rPr>
        <w:t>59</w:t>
      </w:r>
      <w:r w:rsidRPr="00C62ADA">
        <w:rPr>
          <w:rFonts w:ascii="Palatino Linotype" w:hAnsi="Palatino Linotype"/>
          <w:noProof/>
        </w:rPr>
        <w:t>, 2897–2908. https://doi.org/10.1021/jf101303g</w:t>
      </w:r>
    </w:p>
    <w:p w14:paraId="3BE914BD"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Liu, K., Qi, Z., Tan, L., Yang, C., &amp; Hu, C. (2023). Mixed use of chemical pesticides and biopesticides among rice-crayfish integrated system farmers in China: A multivariate probit approach. </w:t>
      </w:r>
      <w:r w:rsidRPr="00C62ADA">
        <w:rPr>
          <w:rFonts w:ascii="Palatino Linotype" w:hAnsi="Palatino Linotype"/>
          <w:i/>
          <w:iCs/>
          <w:noProof/>
        </w:rPr>
        <w:t>Agriculture</w:t>
      </w:r>
      <w:r w:rsidRPr="00C62ADA">
        <w:rPr>
          <w:rFonts w:ascii="Palatino Linotype" w:hAnsi="Palatino Linotype"/>
          <w:noProof/>
        </w:rPr>
        <w:t xml:space="preserve">, </w:t>
      </w:r>
      <w:r w:rsidRPr="00C62ADA">
        <w:rPr>
          <w:rFonts w:ascii="Palatino Linotype" w:hAnsi="Palatino Linotype"/>
          <w:i/>
          <w:iCs/>
          <w:noProof/>
        </w:rPr>
        <w:t>13</w:t>
      </w:r>
      <w:r w:rsidRPr="00C62ADA">
        <w:rPr>
          <w:rFonts w:ascii="Palatino Linotype" w:hAnsi="Palatino Linotype"/>
          <w:noProof/>
        </w:rPr>
        <w:t>(8), 1–17. https://doi.org/10.3390/agriculture13081590</w:t>
      </w:r>
    </w:p>
    <w:p w14:paraId="77CD6661"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Lubis, N., Wasito, M., Marlina, L., Girsang, R., &amp; Wahyudi, H. (2022). Respon pemberian ekoenzim dan pupuk organik cair terhadap pertumbuhan dan produksi bawang merah (Allium ascalonicum L.). </w:t>
      </w:r>
      <w:r w:rsidRPr="00C62ADA">
        <w:rPr>
          <w:rFonts w:ascii="Palatino Linotype" w:hAnsi="Palatino Linotype"/>
          <w:i/>
          <w:iCs/>
          <w:noProof/>
        </w:rPr>
        <w:t>Agrium Jurnal Ilmu Pertanian</w:t>
      </w:r>
      <w:r w:rsidRPr="00C62ADA">
        <w:rPr>
          <w:rFonts w:ascii="Palatino Linotype" w:hAnsi="Palatino Linotype"/>
          <w:noProof/>
        </w:rPr>
        <w:t xml:space="preserve">, </w:t>
      </w:r>
      <w:r w:rsidRPr="00C62ADA">
        <w:rPr>
          <w:rFonts w:ascii="Palatino Linotype" w:hAnsi="Palatino Linotype"/>
          <w:i/>
          <w:iCs/>
          <w:noProof/>
        </w:rPr>
        <w:t>25</w:t>
      </w:r>
      <w:r w:rsidRPr="00C62ADA">
        <w:rPr>
          <w:rFonts w:ascii="Palatino Linotype" w:hAnsi="Palatino Linotype"/>
          <w:noProof/>
        </w:rPr>
        <w:t>(2), 107–115. https://doi.org/10.30596/agrium.v25i2.10354</w:t>
      </w:r>
    </w:p>
    <w:p w14:paraId="1DDDA1A2"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Ngegba, P. M., Cui, G., Khalid, M. Z., &amp; Zhong, G. (2022). Use of botanical pesticides in agriculture as an alternative to synthetic pesticides. </w:t>
      </w:r>
      <w:r w:rsidRPr="00C62ADA">
        <w:rPr>
          <w:rFonts w:ascii="Palatino Linotype" w:hAnsi="Palatino Linotype"/>
          <w:i/>
          <w:iCs/>
          <w:noProof/>
        </w:rPr>
        <w:t>Agriculture</w:t>
      </w:r>
      <w:r w:rsidRPr="00C62ADA">
        <w:rPr>
          <w:rFonts w:ascii="Palatino Linotype" w:hAnsi="Palatino Linotype"/>
          <w:noProof/>
        </w:rPr>
        <w:t xml:space="preserve">, </w:t>
      </w:r>
      <w:r w:rsidRPr="00C62ADA">
        <w:rPr>
          <w:rFonts w:ascii="Palatino Linotype" w:hAnsi="Palatino Linotype"/>
          <w:i/>
          <w:iCs/>
          <w:noProof/>
        </w:rPr>
        <w:t>12</w:t>
      </w:r>
      <w:r w:rsidRPr="00C62ADA">
        <w:rPr>
          <w:rFonts w:ascii="Palatino Linotype" w:hAnsi="Palatino Linotype"/>
          <w:noProof/>
        </w:rPr>
        <w:t>(5), 1–24. https://doi.org/10.3390/agriculture12050600</w:t>
      </w:r>
    </w:p>
    <w:p w14:paraId="5A8E8A35"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Pradana, A. P., Masnilah, R., Izzatika, Z. N., Hoesain, M., Hasjim, S., Wagiyana, … Irawan, B. (2024). Manajemen kesehatan tanaman hortikultura di desa Sukorambi kabupaten Jember. </w:t>
      </w:r>
      <w:r w:rsidRPr="00C62ADA">
        <w:rPr>
          <w:rFonts w:ascii="Palatino Linotype" w:hAnsi="Palatino Linotype"/>
          <w:i/>
          <w:iCs/>
          <w:noProof/>
        </w:rPr>
        <w:t>SELAPARANG: Jurnal Pengabdian Masyarakat Berkemajuan</w:t>
      </w:r>
      <w:r w:rsidRPr="00C62ADA">
        <w:rPr>
          <w:rFonts w:ascii="Palatino Linotype" w:hAnsi="Palatino Linotype"/>
          <w:noProof/>
        </w:rPr>
        <w:t xml:space="preserve">, </w:t>
      </w:r>
      <w:r w:rsidRPr="00C62ADA">
        <w:rPr>
          <w:rFonts w:ascii="Palatino Linotype" w:hAnsi="Palatino Linotype"/>
          <w:i/>
          <w:iCs/>
          <w:noProof/>
        </w:rPr>
        <w:t>8</w:t>
      </w:r>
      <w:r w:rsidRPr="00C62ADA">
        <w:rPr>
          <w:rFonts w:ascii="Palatino Linotype" w:hAnsi="Palatino Linotype"/>
          <w:noProof/>
        </w:rPr>
        <w:t>(1), 410–420. https://doi.org/10.31764/jpmb.v8i1.21214</w:t>
      </w:r>
    </w:p>
    <w:p w14:paraId="29590299"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Prastiwi, S., Wagiyana, W., &amp; Alfarisy, F. K. (2023). Compatibility studies of entomopathogenic fungi and botanical pesticide for controlling Spodoptera exigua. </w:t>
      </w:r>
      <w:r w:rsidRPr="00C62ADA">
        <w:rPr>
          <w:rFonts w:ascii="Palatino Linotype" w:hAnsi="Palatino Linotype"/>
          <w:i/>
          <w:iCs/>
          <w:noProof/>
        </w:rPr>
        <w:t>E3S Web of Conferences</w:t>
      </w:r>
      <w:r w:rsidRPr="00C62ADA">
        <w:rPr>
          <w:rFonts w:ascii="Palatino Linotype" w:hAnsi="Palatino Linotype"/>
          <w:noProof/>
        </w:rPr>
        <w:t xml:space="preserve">, </w:t>
      </w:r>
      <w:r w:rsidRPr="00C62ADA">
        <w:rPr>
          <w:rFonts w:ascii="Palatino Linotype" w:hAnsi="Palatino Linotype"/>
          <w:i/>
          <w:iCs/>
          <w:noProof/>
        </w:rPr>
        <w:t>373</w:t>
      </w:r>
      <w:r w:rsidRPr="00C62ADA">
        <w:rPr>
          <w:rFonts w:ascii="Palatino Linotype" w:hAnsi="Palatino Linotype"/>
          <w:noProof/>
        </w:rPr>
        <w:t>, 1–7. https://doi.org/10.1051/e3sconf/202337307006</w:t>
      </w:r>
    </w:p>
    <w:p w14:paraId="56C57E46"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Sparks, T. C., &amp; Nauen, R. (2015). IRAC: Mode of action classification and insecticide resistance management. </w:t>
      </w:r>
      <w:r w:rsidRPr="00C62ADA">
        <w:rPr>
          <w:rFonts w:ascii="Palatino Linotype" w:hAnsi="Palatino Linotype"/>
          <w:i/>
          <w:iCs/>
          <w:noProof/>
        </w:rPr>
        <w:t>Pesticide Biochemistry and Physiology</w:t>
      </w:r>
      <w:r w:rsidRPr="00C62ADA">
        <w:rPr>
          <w:rFonts w:ascii="Palatino Linotype" w:hAnsi="Palatino Linotype"/>
          <w:noProof/>
        </w:rPr>
        <w:t xml:space="preserve">, </w:t>
      </w:r>
      <w:r w:rsidRPr="00C62ADA">
        <w:rPr>
          <w:rFonts w:ascii="Palatino Linotype" w:hAnsi="Palatino Linotype"/>
          <w:i/>
          <w:iCs/>
          <w:noProof/>
        </w:rPr>
        <w:t>121</w:t>
      </w:r>
      <w:r w:rsidRPr="00C62ADA">
        <w:rPr>
          <w:rFonts w:ascii="Palatino Linotype" w:hAnsi="Palatino Linotype"/>
          <w:noProof/>
        </w:rPr>
        <w:t xml:space="preserve">, 122–128. </w:t>
      </w:r>
      <w:r w:rsidRPr="00C62ADA">
        <w:rPr>
          <w:rFonts w:ascii="Palatino Linotype" w:hAnsi="Palatino Linotype"/>
          <w:noProof/>
        </w:rPr>
        <w:lastRenderedPageBreak/>
        <w:t>https://doi.org/10.1016/j.pestbp.2014.11.014</w:t>
      </w:r>
    </w:p>
    <w:p w14:paraId="718A2356"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Syafruddin, S. (2017). Implementasi metode diskusi terhadap peningkatan hasil belajar siswa. </w:t>
      </w:r>
      <w:r w:rsidRPr="00C62ADA">
        <w:rPr>
          <w:rFonts w:ascii="Palatino Linotype" w:hAnsi="Palatino Linotype"/>
          <w:i/>
          <w:iCs/>
          <w:noProof/>
        </w:rPr>
        <w:t>CIRCUIT: Jurnal Ilmiah Pendidikan Teknik Elektro</w:t>
      </w:r>
      <w:r w:rsidRPr="00C62ADA">
        <w:rPr>
          <w:rFonts w:ascii="Palatino Linotype" w:hAnsi="Palatino Linotype"/>
          <w:noProof/>
        </w:rPr>
        <w:t xml:space="preserve">, </w:t>
      </w:r>
      <w:r w:rsidRPr="00C62ADA">
        <w:rPr>
          <w:rFonts w:ascii="Palatino Linotype" w:hAnsi="Palatino Linotype"/>
          <w:i/>
          <w:iCs/>
          <w:noProof/>
        </w:rPr>
        <w:t>1</w:t>
      </w:r>
      <w:r w:rsidRPr="00C62ADA">
        <w:rPr>
          <w:rFonts w:ascii="Palatino Linotype" w:hAnsi="Palatino Linotype"/>
          <w:noProof/>
        </w:rPr>
        <w:t>(1), 63–73. https://doi.org/10.22373/crc.v1i1.1384</w:t>
      </w:r>
    </w:p>
    <w:p w14:paraId="5B7A8743"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Wagiyana, Alfarisy, F. K., Suharto, &amp; Merina, G. (2023). Pemberdayaan masyarakat melalui transfer knowledge untuk pengembangan Desa Sentra Singkong di Desa Purnama, Kecamatan Tegalampel, Bondowoso. </w:t>
      </w:r>
      <w:r w:rsidRPr="00C62ADA">
        <w:rPr>
          <w:rFonts w:ascii="Palatino Linotype" w:hAnsi="Palatino Linotype"/>
          <w:i/>
          <w:iCs/>
          <w:noProof/>
        </w:rPr>
        <w:t>Jurnal Abdidas</w:t>
      </w:r>
      <w:r w:rsidRPr="00C62ADA">
        <w:rPr>
          <w:rFonts w:ascii="Palatino Linotype" w:hAnsi="Palatino Linotype"/>
          <w:noProof/>
        </w:rPr>
        <w:t xml:space="preserve">, </w:t>
      </w:r>
      <w:r w:rsidRPr="00C62ADA">
        <w:rPr>
          <w:rFonts w:ascii="Palatino Linotype" w:hAnsi="Palatino Linotype"/>
          <w:i/>
          <w:iCs/>
          <w:noProof/>
        </w:rPr>
        <w:t>4</w:t>
      </w:r>
      <w:r w:rsidRPr="00C62ADA">
        <w:rPr>
          <w:rFonts w:ascii="Palatino Linotype" w:hAnsi="Palatino Linotype"/>
          <w:noProof/>
        </w:rPr>
        <w:t>(1), 44–49. https://doi.org/10.31004/abdidas.v4i1.746</w:t>
      </w:r>
    </w:p>
    <w:p w14:paraId="06A3FA46" w14:textId="77777777" w:rsidR="00CF740F" w:rsidRPr="00C62ADA" w:rsidRDefault="00CF740F" w:rsidP="009A121E">
      <w:pPr>
        <w:widowControl w:val="0"/>
        <w:autoSpaceDE w:val="0"/>
        <w:autoSpaceDN w:val="0"/>
        <w:ind w:left="567" w:hanging="567"/>
        <w:rPr>
          <w:rFonts w:ascii="Palatino Linotype" w:hAnsi="Palatino Linotype"/>
          <w:noProof/>
        </w:rPr>
      </w:pPr>
      <w:r w:rsidRPr="00C62ADA">
        <w:rPr>
          <w:rFonts w:ascii="Palatino Linotype" w:hAnsi="Palatino Linotype"/>
          <w:noProof/>
        </w:rPr>
        <w:t xml:space="preserve">Xu, Z., Adeyemi, A. E., Catalan, E., Ma, S., Kogut, A., &amp; Guzman, C. (2023). A scoping review on technology applications in agricultural extension. </w:t>
      </w:r>
      <w:r w:rsidRPr="00C62ADA">
        <w:rPr>
          <w:rFonts w:ascii="Palatino Linotype" w:hAnsi="Palatino Linotype"/>
          <w:i/>
          <w:iCs/>
          <w:noProof/>
        </w:rPr>
        <w:t>PLoS ONE</w:t>
      </w:r>
      <w:r w:rsidRPr="00C62ADA">
        <w:rPr>
          <w:rFonts w:ascii="Palatino Linotype" w:hAnsi="Palatino Linotype"/>
          <w:noProof/>
        </w:rPr>
        <w:t xml:space="preserve">, </w:t>
      </w:r>
      <w:r w:rsidRPr="00C62ADA">
        <w:rPr>
          <w:rFonts w:ascii="Palatino Linotype" w:hAnsi="Palatino Linotype"/>
          <w:i/>
          <w:iCs/>
          <w:noProof/>
        </w:rPr>
        <w:t>18</w:t>
      </w:r>
      <w:r w:rsidRPr="00C62ADA">
        <w:rPr>
          <w:rFonts w:ascii="Palatino Linotype" w:hAnsi="Palatino Linotype"/>
          <w:noProof/>
        </w:rPr>
        <w:t>, 1–22. https://doi.org/10.1371/journal.pone.0292877</w:t>
      </w:r>
    </w:p>
    <w:p w14:paraId="1F0FAFE3" w14:textId="77777777" w:rsidR="003C2461" w:rsidRPr="00C62ADA" w:rsidRDefault="00BC24B3" w:rsidP="009A121E">
      <w:pPr>
        <w:pStyle w:val="Bagian"/>
        <w:spacing w:before="0" w:after="0"/>
        <w:ind w:left="567" w:hanging="567"/>
        <w:contextualSpacing/>
        <w:rPr>
          <w:rFonts w:ascii="Palatino Linotype" w:hAnsi="Palatino Linotype" w:cs="Arial"/>
          <w:b w:val="0"/>
          <w:bCs/>
        </w:rPr>
      </w:pPr>
      <w:r w:rsidRPr="00C62ADA">
        <w:rPr>
          <w:rFonts w:ascii="Palatino Linotype" w:hAnsi="Palatino Linotype" w:cs="Arial"/>
          <w:b w:val="0"/>
          <w:bCs/>
        </w:rPr>
        <w:fldChar w:fldCharType="end"/>
      </w:r>
    </w:p>
    <w:p w14:paraId="37DB49F8" w14:textId="77777777" w:rsidR="003C2461" w:rsidRPr="00C62ADA" w:rsidRDefault="003C2461" w:rsidP="009A121E">
      <w:pPr>
        <w:ind w:left="567" w:hanging="567"/>
        <w:rPr>
          <w:rFonts w:ascii="Palatino Linotype" w:hAnsi="Palatino Linotype" w:cs="Arial"/>
          <w:b/>
          <w:lang w:val="sv-SE"/>
        </w:rPr>
      </w:pPr>
    </w:p>
    <w:sectPr w:rsidR="003C2461" w:rsidRPr="00C62ADA">
      <w:type w:val="continuous"/>
      <w:pgSz w:w="11920" w:h="16840"/>
      <w:pgMar w:top="1418" w:right="1418" w:bottom="1418" w:left="14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02C39" w14:textId="77777777" w:rsidR="00B35A15" w:rsidRDefault="00B35A15">
      <w:r>
        <w:separator/>
      </w:r>
    </w:p>
  </w:endnote>
  <w:endnote w:type="continuationSeparator" w:id="0">
    <w:p w14:paraId="63E279AA" w14:textId="77777777" w:rsidR="00B35A15" w:rsidRDefault="00B35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5989A" w14:textId="1D4610B5" w:rsidR="003C2461" w:rsidRDefault="00C62ADA" w:rsidP="00C62ADA">
    <w:pPr>
      <w:pStyle w:val="Footer"/>
      <w:rPr>
        <w:rFonts w:ascii="Palatino Linotype" w:hAnsi="Palatino Linotype"/>
      </w:rPr>
    </w:pPr>
    <w:proofErr w:type="spellStart"/>
    <w:r w:rsidRPr="00C62ADA">
      <w:rPr>
        <w:rFonts w:ascii="Palatino Linotype" w:hAnsi="Palatino Linotype"/>
      </w:rPr>
      <w:t>Disemenasi</w:t>
    </w:r>
    <w:proofErr w:type="spellEnd"/>
    <w:r w:rsidRPr="00C62ADA">
      <w:rPr>
        <w:rFonts w:ascii="Palatino Linotype" w:hAnsi="Palatino Linotype"/>
      </w:rPr>
      <w:t xml:space="preserve"> </w:t>
    </w:r>
    <w:proofErr w:type="spellStart"/>
    <w:r w:rsidRPr="00C62ADA">
      <w:rPr>
        <w:rFonts w:ascii="Palatino Linotype" w:hAnsi="Palatino Linotype"/>
      </w:rPr>
      <w:t>agens</w:t>
    </w:r>
    <w:proofErr w:type="spellEnd"/>
    <w:r w:rsidRPr="00C62ADA">
      <w:rPr>
        <w:rFonts w:ascii="Palatino Linotype" w:hAnsi="Palatino Linotype"/>
      </w:rPr>
      <w:t xml:space="preserve"> </w:t>
    </w:r>
    <w:proofErr w:type="spellStart"/>
    <w:r w:rsidRPr="00C62ADA">
      <w:rPr>
        <w:rFonts w:ascii="Palatino Linotype" w:hAnsi="Palatino Linotype"/>
      </w:rPr>
      <w:t>pengendali</w:t>
    </w:r>
    <w:proofErr w:type="spellEnd"/>
    <w:r w:rsidRPr="00C62ADA">
      <w:rPr>
        <w:rFonts w:ascii="Palatino Linotype" w:hAnsi="Palatino Linotype"/>
      </w:rPr>
      <w:t xml:space="preserve"> </w:t>
    </w:r>
    <w:proofErr w:type="spellStart"/>
    <w:r w:rsidRPr="00C62ADA">
      <w:rPr>
        <w:rFonts w:ascii="Palatino Linotype" w:hAnsi="Palatino Linotype"/>
      </w:rPr>
      <w:t>hayati</w:t>
    </w:r>
    <w:proofErr w:type="spellEnd"/>
    <w:r w:rsidRPr="00C62ADA">
      <w:rPr>
        <w:rFonts w:ascii="Palatino Linotype" w:hAnsi="Palatino Linotype"/>
      </w:rPr>
      <w:t xml:space="preserve"> </w:t>
    </w:r>
    <w:proofErr w:type="spellStart"/>
    <w:r w:rsidRPr="00C62ADA">
      <w:rPr>
        <w:rFonts w:ascii="Palatino Linotype" w:hAnsi="Palatino Linotype"/>
      </w:rPr>
      <w:t>melalui</w:t>
    </w:r>
    <w:proofErr w:type="spellEnd"/>
    <w:r w:rsidRPr="00C62ADA">
      <w:rPr>
        <w:rFonts w:ascii="Palatino Linotype" w:hAnsi="Palatino Linotype"/>
      </w:rPr>
      <w:t xml:space="preserve"> </w:t>
    </w:r>
    <w:proofErr w:type="spellStart"/>
    <w:r w:rsidRPr="00C62ADA">
      <w:rPr>
        <w:rFonts w:ascii="Palatino Linotype" w:hAnsi="Palatino Linotype"/>
      </w:rPr>
      <w:t>penguatan</w:t>
    </w:r>
    <w:proofErr w:type="spellEnd"/>
    <w:r w:rsidRPr="00C62ADA">
      <w:rPr>
        <w:rFonts w:ascii="Palatino Linotype" w:hAnsi="Palatino Linotype"/>
      </w:rPr>
      <w:t xml:space="preserve"> </w:t>
    </w:r>
    <w:proofErr w:type="spellStart"/>
    <w:r w:rsidRPr="00C62ADA">
      <w:rPr>
        <w:rFonts w:ascii="Palatino Linotype" w:hAnsi="Palatino Linotype"/>
      </w:rPr>
      <w:t>kelembagaan</w:t>
    </w:r>
    <w:proofErr w:type="spellEnd"/>
    <w:r w:rsidRPr="00C62ADA">
      <w:rPr>
        <w:rFonts w:ascii="Palatino Linotype" w:hAnsi="Palatino Linotype"/>
      </w:rPr>
      <w:t xml:space="preserve"> PPAH di </w:t>
    </w:r>
    <w:proofErr w:type="spellStart"/>
    <w:r w:rsidR="009A121E">
      <w:rPr>
        <w:rFonts w:ascii="Palatino Linotype" w:hAnsi="Palatino Linotype"/>
      </w:rPr>
      <w:t>d</w:t>
    </w:r>
    <w:r w:rsidRPr="00C62ADA">
      <w:rPr>
        <w:rFonts w:ascii="Palatino Linotype" w:hAnsi="Palatino Linotype"/>
      </w:rPr>
      <w:t>esa</w:t>
    </w:r>
    <w:proofErr w:type="spellEnd"/>
    <w:r w:rsidRPr="00C62ADA">
      <w:rPr>
        <w:rFonts w:ascii="Palatino Linotype" w:hAnsi="Palatino Linotype"/>
      </w:rPr>
      <w:t xml:space="preserve"> Purnama </w:t>
    </w:r>
    <w:proofErr w:type="spellStart"/>
    <w:r w:rsidR="009A121E">
      <w:rPr>
        <w:rFonts w:ascii="Palatino Linotype" w:hAnsi="Palatino Linotype"/>
      </w:rPr>
      <w:t>k</w:t>
    </w:r>
    <w:r w:rsidRPr="00C62ADA">
      <w:rPr>
        <w:rFonts w:ascii="Palatino Linotype" w:hAnsi="Palatino Linotype"/>
      </w:rPr>
      <w:t>abupaten</w:t>
    </w:r>
    <w:proofErr w:type="spellEnd"/>
    <w:r w:rsidRPr="00C62ADA">
      <w:rPr>
        <w:rFonts w:ascii="Palatino Linotype" w:hAnsi="Palatino Linotype"/>
      </w:rPr>
      <w:t xml:space="preserve"> </w:t>
    </w:r>
    <w:proofErr w:type="spellStart"/>
    <w:r w:rsidRPr="00C62ADA">
      <w:rPr>
        <w:rFonts w:ascii="Palatino Linotype" w:hAnsi="Palatino Linotype"/>
      </w:rPr>
      <w:t>Bondowoso</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DBB9C" w14:textId="471BE365" w:rsidR="00C62ADA" w:rsidRPr="00C62ADA" w:rsidRDefault="00C62ADA" w:rsidP="00C62ADA">
    <w:pPr>
      <w:pStyle w:val="Footer"/>
      <w:rPr>
        <w:rFonts w:ascii="Palatino Linotype" w:hAnsi="Palatino Linotype"/>
      </w:rPr>
    </w:pPr>
    <w:proofErr w:type="spellStart"/>
    <w:r w:rsidRPr="00C62ADA">
      <w:rPr>
        <w:rFonts w:ascii="Palatino Linotype" w:hAnsi="Palatino Linotype"/>
      </w:rPr>
      <w:t>Disemenasi</w:t>
    </w:r>
    <w:proofErr w:type="spellEnd"/>
    <w:r w:rsidRPr="00C62ADA">
      <w:rPr>
        <w:rFonts w:ascii="Palatino Linotype" w:hAnsi="Palatino Linotype"/>
      </w:rPr>
      <w:t xml:space="preserve"> </w:t>
    </w:r>
    <w:proofErr w:type="spellStart"/>
    <w:r w:rsidRPr="00C62ADA">
      <w:rPr>
        <w:rFonts w:ascii="Palatino Linotype" w:hAnsi="Palatino Linotype"/>
      </w:rPr>
      <w:t>agens</w:t>
    </w:r>
    <w:proofErr w:type="spellEnd"/>
    <w:r w:rsidRPr="00C62ADA">
      <w:rPr>
        <w:rFonts w:ascii="Palatino Linotype" w:hAnsi="Palatino Linotype"/>
      </w:rPr>
      <w:t xml:space="preserve"> </w:t>
    </w:r>
    <w:proofErr w:type="spellStart"/>
    <w:r w:rsidRPr="00C62ADA">
      <w:rPr>
        <w:rFonts w:ascii="Palatino Linotype" w:hAnsi="Palatino Linotype"/>
      </w:rPr>
      <w:t>pengendali</w:t>
    </w:r>
    <w:proofErr w:type="spellEnd"/>
    <w:r w:rsidRPr="00C62ADA">
      <w:rPr>
        <w:rFonts w:ascii="Palatino Linotype" w:hAnsi="Palatino Linotype"/>
      </w:rPr>
      <w:t xml:space="preserve"> </w:t>
    </w:r>
    <w:proofErr w:type="spellStart"/>
    <w:r w:rsidRPr="00C62ADA">
      <w:rPr>
        <w:rFonts w:ascii="Palatino Linotype" w:hAnsi="Palatino Linotype"/>
      </w:rPr>
      <w:t>hayati</w:t>
    </w:r>
    <w:proofErr w:type="spellEnd"/>
    <w:r w:rsidRPr="00C62ADA">
      <w:rPr>
        <w:rFonts w:ascii="Palatino Linotype" w:hAnsi="Palatino Linotype"/>
      </w:rPr>
      <w:t xml:space="preserve"> </w:t>
    </w:r>
    <w:proofErr w:type="spellStart"/>
    <w:r w:rsidRPr="00C62ADA">
      <w:rPr>
        <w:rFonts w:ascii="Palatino Linotype" w:hAnsi="Palatino Linotype"/>
      </w:rPr>
      <w:t>melalui</w:t>
    </w:r>
    <w:proofErr w:type="spellEnd"/>
    <w:r w:rsidRPr="00C62ADA">
      <w:rPr>
        <w:rFonts w:ascii="Palatino Linotype" w:hAnsi="Palatino Linotype"/>
      </w:rPr>
      <w:t xml:space="preserve"> </w:t>
    </w:r>
    <w:proofErr w:type="spellStart"/>
    <w:r w:rsidRPr="00C62ADA">
      <w:rPr>
        <w:rFonts w:ascii="Palatino Linotype" w:hAnsi="Palatino Linotype"/>
      </w:rPr>
      <w:t>penguatan</w:t>
    </w:r>
    <w:proofErr w:type="spellEnd"/>
    <w:r w:rsidRPr="00C62ADA">
      <w:rPr>
        <w:rFonts w:ascii="Palatino Linotype" w:hAnsi="Palatino Linotype"/>
      </w:rPr>
      <w:t xml:space="preserve"> </w:t>
    </w:r>
    <w:proofErr w:type="spellStart"/>
    <w:r w:rsidRPr="00C62ADA">
      <w:rPr>
        <w:rFonts w:ascii="Palatino Linotype" w:hAnsi="Palatino Linotype"/>
      </w:rPr>
      <w:t>kelembagaan</w:t>
    </w:r>
    <w:proofErr w:type="spellEnd"/>
    <w:r w:rsidRPr="00C62ADA">
      <w:rPr>
        <w:rFonts w:ascii="Palatino Linotype" w:hAnsi="Palatino Linotype"/>
      </w:rPr>
      <w:t xml:space="preserve"> PPAH di </w:t>
    </w:r>
    <w:proofErr w:type="spellStart"/>
    <w:r w:rsidR="009A121E">
      <w:rPr>
        <w:rFonts w:ascii="Palatino Linotype" w:hAnsi="Palatino Linotype"/>
      </w:rPr>
      <w:t>d</w:t>
    </w:r>
    <w:r>
      <w:rPr>
        <w:rFonts w:ascii="Palatino Linotype" w:hAnsi="Palatino Linotype"/>
      </w:rPr>
      <w:t>esa</w:t>
    </w:r>
    <w:proofErr w:type="spellEnd"/>
    <w:r>
      <w:rPr>
        <w:rFonts w:ascii="Palatino Linotype" w:hAnsi="Palatino Linotype"/>
      </w:rPr>
      <w:t xml:space="preserve"> Purnama </w:t>
    </w:r>
    <w:proofErr w:type="spellStart"/>
    <w:r w:rsidR="009A121E">
      <w:rPr>
        <w:rFonts w:ascii="Palatino Linotype" w:hAnsi="Palatino Linotype"/>
      </w:rPr>
      <w:t>k</w:t>
    </w:r>
    <w:r>
      <w:rPr>
        <w:rFonts w:ascii="Palatino Linotype" w:hAnsi="Palatino Linotype"/>
      </w:rPr>
      <w:t>abupaten</w:t>
    </w:r>
    <w:proofErr w:type="spellEnd"/>
    <w:r>
      <w:rPr>
        <w:rFonts w:ascii="Palatino Linotype" w:hAnsi="Palatino Linotype"/>
      </w:rPr>
      <w:t xml:space="preserve"> </w:t>
    </w:r>
    <w:proofErr w:type="spellStart"/>
    <w:r>
      <w:rPr>
        <w:rFonts w:ascii="Palatino Linotype" w:hAnsi="Palatino Linotype"/>
      </w:rPr>
      <w:t>Bondowoso</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0451701"/>
      <w:docPartObj>
        <w:docPartGallery w:val="Page Numbers (Bottom of Page)"/>
        <w:docPartUnique/>
      </w:docPartObj>
    </w:sdtPr>
    <w:sdtEndPr>
      <w:rPr>
        <w:rFonts w:ascii="Palatino Linotype" w:hAnsi="Palatino Linotype"/>
        <w:noProof/>
      </w:rPr>
    </w:sdtEndPr>
    <w:sdtContent>
      <w:p w14:paraId="7B0C08FF" w14:textId="490532BF" w:rsidR="00C62ADA" w:rsidRPr="009A121E" w:rsidRDefault="009A121E" w:rsidP="009A121E">
        <w:pPr>
          <w:pStyle w:val="Footer"/>
          <w:jc w:val="center"/>
          <w:rPr>
            <w:rFonts w:ascii="Palatino Linotype" w:hAnsi="Palatino Linotype"/>
          </w:rPr>
        </w:pPr>
        <w:r w:rsidRPr="009A121E">
          <w:rPr>
            <w:rFonts w:ascii="Palatino Linotype" w:hAnsi="Palatino Linotype"/>
          </w:rPr>
          <w:fldChar w:fldCharType="begin"/>
        </w:r>
        <w:r w:rsidRPr="009A121E">
          <w:rPr>
            <w:rFonts w:ascii="Palatino Linotype" w:hAnsi="Palatino Linotype"/>
          </w:rPr>
          <w:instrText xml:space="preserve"> PAGE   \* MERGEFORMAT </w:instrText>
        </w:r>
        <w:r w:rsidRPr="009A121E">
          <w:rPr>
            <w:rFonts w:ascii="Palatino Linotype" w:hAnsi="Palatino Linotype"/>
          </w:rPr>
          <w:fldChar w:fldCharType="separate"/>
        </w:r>
        <w:r w:rsidRPr="009A121E">
          <w:rPr>
            <w:rFonts w:ascii="Palatino Linotype" w:hAnsi="Palatino Linotype"/>
            <w:noProof/>
          </w:rPr>
          <w:t>2</w:t>
        </w:r>
        <w:r w:rsidRPr="009A121E">
          <w:rPr>
            <w:rFonts w:ascii="Palatino Linotype" w:hAnsi="Palatino Linotype"/>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BBCA5" w14:textId="77777777" w:rsidR="00B35A15" w:rsidRDefault="00B35A15">
      <w:r>
        <w:separator/>
      </w:r>
    </w:p>
  </w:footnote>
  <w:footnote w:type="continuationSeparator" w:id="0">
    <w:p w14:paraId="218D2978" w14:textId="77777777" w:rsidR="00B35A15" w:rsidRDefault="00B35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938BF" w14:textId="77777777" w:rsidR="00C62ADA" w:rsidRDefault="00C62ADA">
    <w:pPr>
      <w:pBdr>
        <w:top w:val="nil"/>
        <w:left w:val="nil"/>
        <w:bottom w:val="nil"/>
        <w:right w:val="nil"/>
        <w:between w:val="nil"/>
      </w:pBdr>
      <w:tabs>
        <w:tab w:val="left" w:pos="567"/>
      </w:tabs>
      <w:adjustRightInd/>
      <w:snapToGrid/>
      <w:jc w:val="left"/>
      <w:rPr>
        <w:rFonts w:ascii="Palatino Linotype" w:eastAsia="Times New Roman" w:hAnsi="Palatino Linotype"/>
        <w:color w:val="000000"/>
        <w:szCs w:val="20"/>
        <w:lang w:eastAsia="en-US"/>
      </w:rPr>
    </w:pPr>
    <w:proofErr w:type="spellStart"/>
    <w:r w:rsidRPr="00C62ADA">
      <w:rPr>
        <w:rFonts w:ascii="Palatino Linotype" w:eastAsia="Times New Roman" w:hAnsi="Palatino Linotype"/>
        <w:color w:val="000000"/>
        <w:szCs w:val="20"/>
        <w:lang w:eastAsia="en-US"/>
      </w:rPr>
      <w:t>Wagiyana</w:t>
    </w:r>
    <w:proofErr w:type="spellEnd"/>
    <w:r w:rsidRPr="00C62ADA">
      <w:rPr>
        <w:rFonts w:ascii="Palatino Linotype" w:eastAsia="Times New Roman" w:hAnsi="Palatino Linotype"/>
        <w:color w:val="000000"/>
        <w:szCs w:val="20"/>
        <w:lang w:eastAsia="en-US"/>
      </w:rPr>
      <w:t xml:space="preserve">, Suharto, </w:t>
    </w:r>
    <w:proofErr w:type="spellStart"/>
    <w:proofErr w:type="gramStart"/>
    <w:r w:rsidRPr="00C62ADA">
      <w:rPr>
        <w:rFonts w:ascii="Palatino Linotype" w:eastAsia="Times New Roman" w:hAnsi="Palatino Linotype"/>
        <w:color w:val="000000"/>
        <w:szCs w:val="20"/>
        <w:lang w:eastAsia="en-US"/>
      </w:rPr>
      <w:t>Hoesain</w:t>
    </w:r>
    <w:proofErr w:type="spellEnd"/>
    <w:r w:rsidRPr="00C62ADA">
      <w:rPr>
        <w:rFonts w:ascii="Palatino Linotype" w:eastAsia="Times New Roman" w:hAnsi="Palatino Linotype"/>
        <w:color w:val="000000"/>
        <w:szCs w:val="20"/>
        <w:lang w:eastAsia="en-US"/>
      </w:rPr>
      <w:t xml:space="preserve"> ,</w:t>
    </w:r>
    <w:proofErr w:type="gramEnd"/>
    <w:r w:rsidRPr="00C62ADA">
      <w:rPr>
        <w:rFonts w:ascii="Palatino Linotype" w:eastAsia="Times New Roman" w:hAnsi="Palatino Linotype"/>
        <w:color w:val="000000"/>
        <w:szCs w:val="20"/>
        <w:lang w:eastAsia="en-US"/>
      </w:rPr>
      <w:t xml:space="preserve"> </w:t>
    </w:r>
    <w:proofErr w:type="spellStart"/>
    <w:r w:rsidRPr="00C62ADA">
      <w:rPr>
        <w:rFonts w:ascii="Palatino Linotype" w:eastAsia="Times New Roman" w:hAnsi="Palatino Linotype"/>
        <w:color w:val="000000"/>
        <w:szCs w:val="20"/>
        <w:lang w:eastAsia="en-US"/>
      </w:rPr>
      <w:t>Hasjim</w:t>
    </w:r>
    <w:proofErr w:type="spellEnd"/>
    <w:r w:rsidRPr="00C62ADA">
      <w:rPr>
        <w:rFonts w:ascii="Palatino Linotype" w:eastAsia="Times New Roman" w:hAnsi="Palatino Linotype"/>
        <w:color w:val="000000"/>
        <w:szCs w:val="20"/>
        <w:lang w:eastAsia="en-US"/>
      </w:rPr>
      <w:t xml:space="preserve">, </w:t>
    </w:r>
    <w:proofErr w:type="spellStart"/>
    <w:r>
      <w:rPr>
        <w:rFonts w:ascii="Palatino Linotype" w:eastAsia="Times New Roman" w:hAnsi="Palatino Linotype"/>
        <w:color w:val="000000"/>
        <w:szCs w:val="20"/>
        <w:lang w:eastAsia="en-US"/>
      </w:rPr>
      <w:t>Masnilah</w:t>
    </w:r>
    <w:proofErr w:type="spellEnd"/>
    <w:r>
      <w:rPr>
        <w:rFonts w:ascii="Palatino Linotype" w:eastAsia="Times New Roman" w:hAnsi="Palatino Linotype"/>
        <w:color w:val="000000"/>
        <w:szCs w:val="20"/>
        <w:lang w:eastAsia="en-US"/>
      </w:rPr>
      <w:t xml:space="preserve">, </w:t>
    </w:r>
    <w:proofErr w:type="spellStart"/>
    <w:r>
      <w:rPr>
        <w:rFonts w:ascii="Palatino Linotype" w:eastAsia="Times New Roman" w:hAnsi="Palatino Linotype"/>
        <w:color w:val="000000"/>
        <w:szCs w:val="20"/>
        <w:lang w:eastAsia="en-US"/>
      </w:rPr>
      <w:t>Nurcahyanti</w:t>
    </w:r>
    <w:proofErr w:type="spellEnd"/>
    <w:r>
      <w:rPr>
        <w:rFonts w:ascii="Palatino Linotype" w:eastAsia="Times New Roman" w:hAnsi="Palatino Linotype"/>
        <w:color w:val="000000"/>
        <w:szCs w:val="20"/>
        <w:lang w:eastAsia="en-US"/>
      </w:rPr>
      <w:t xml:space="preserve"> ,Pradana, </w:t>
    </w:r>
  </w:p>
  <w:p w14:paraId="042466CF" w14:textId="477F1A2D" w:rsidR="003C2461" w:rsidRDefault="00C62ADA">
    <w:pPr>
      <w:pBdr>
        <w:top w:val="nil"/>
        <w:left w:val="nil"/>
        <w:bottom w:val="nil"/>
        <w:right w:val="nil"/>
        <w:between w:val="nil"/>
      </w:pBdr>
      <w:tabs>
        <w:tab w:val="left" w:pos="567"/>
      </w:tabs>
      <w:adjustRightInd/>
      <w:snapToGrid/>
      <w:jc w:val="left"/>
      <w:rPr>
        <w:rFonts w:ascii="Palatino Linotype" w:eastAsia="Times New Roman" w:hAnsi="Palatino Linotype"/>
        <w:color w:val="000000"/>
        <w:szCs w:val="20"/>
        <w:lang w:eastAsia="en-US"/>
      </w:rPr>
    </w:pPr>
    <w:proofErr w:type="spellStart"/>
    <w:r w:rsidRPr="00C62ADA">
      <w:rPr>
        <w:rFonts w:ascii="Palatino Linotype" w:eastAsia="Times New Roman" w:hAnsi="Palatino Linotype"/>
        <w:color w:val="000000"/>
        <w:szCs w:val="20"/>
        <w:lang w:eastAsia="en-US"/>
      </w:rPr>
      <w:t>Habriantono</w:t>
    </w:r>
    <w:proofErr w:type="spellEnd"/>
    <w:r w:rsidRPr="00C62ADA">
      <w:rPr>
        <w:rFonts w:ascii="Palatino Linotype" w:eastAsia="Times New Roman" w:hAnsi="Palatino Linotype"/>
        <w:color w:val="000000"/>
        <w:szCs w:val="20"/>
        <w:lang w:eastAsia="en-US"/>
      </w:rPr>
      <w:t xml:space="preserve">, </w:t>
    </w:r>
    <w:proofErr w:type="spellStart"/>
    <w:r w:rsidRPr="00C62ADA">
      <w:rPr>
        <w:rFonts w:ascii="Palatino Linotype" w:eastAsia="Times New Roman" w:hAnsi="Palatino Linotype"/>
        <w:color w:val="000000"/>
        <w:szCs w:val="20"/>
        <w:lang w:eastAsia="en-US"/>
      </w:rPr>
      <w:t>Alfarisy</w:t>
    </w:r>
    <w:proofErr w:type="spellEnd"/>
    <w:r w:rsidRPr="00C62ADA">
      <w:rPr>
        <w:rFonts w:ascii="Palatino Linotype" w:eastAsia="Times New Roman" w:hAnsi="Palatino Linotype"/>
        <w:color w:val="000000"/>
        <w:szCs w:val="20"/>
        <w:lang w:eastAsia="en-US"/>
      </w:rPr>
      <w:t xml:space="preserve">, </w:t>
    </w:r>
    <w:proofErr w:type="spellStart"/>
    <w:r w:rsidRPr="00C62ADA">
      <w:rPr>
        <w:rFonts w:ascii="Palatino Linotype" w:eastAsia="Times New Roman" w:hAnsi="Palatino Linotype"/>
        <w:color w:val="000000"/>
        <w:szCs w:val="20"/>
        <w:lang w:eastAsia="en-US"/>
      </w:rPr>
      <w:t>Tejasari</w:t>
    </w:r>
    <w:proofErr w:type="spellEnd"/>
    <w:r w:rsidRPr="00C62ADA">
      <w:rPr>
        <w:rFonts w:ascii="Palatino Linotype" w:eastAsia="Times New Roman" w:hAnsi="Palatino Linotype"/>
        <w:color w:val="000000"/>
        <w:szCs w:val="20"/>
        <w:lang w:eastAsia="en-US"/>
      </w:rPr>
      <w:t xml:space="preserve">, Merina, </w:t>
    </w:r>
    <w:proofErr w:type="gramStart"/>
    <w:r w:rsidRPr="00C62ADA">
      <w:rPr>
        <w:rFonts w:ascii="Palatino Linotype" w:eastAsia="Times New Roman" w:hAnsi="Palatino Linotype"/>
        <w:color w:val="000000"/>
        <w:szCs w:val="20"/>
        <w:lang w:eastAsia="en-US"/>
      </w:rPr>
      <w:t>Ramadhani ,</w:t>
    </w:r>
    <w:proofErr w:type="gramEnd"/>
    <w:r w:rsidRPr="00C62ADA">
      <w:rPr>
        <w:rFonts w:ascii="Palatino Linotype" w:eastAsia="Times New Roman" w:hAnsi="Palatino Linotype"/>
        <w:color w:val="000000"/>
        <w:szCs w:val="20"/>
        <w:lang w:eastAsia="en-US"/>
      </w:rPr>
      <w:t xml:space="preserve"> Putra</w:t>
    </w:r>
    <w:r w:rsidR="00BC24B3">
      <w:rPr>
        <w:rFonts w:ascii="Palatino Linotype" w:eastAsia="Times New Roman" w:hAnsi="Palatino Linotype"/>
        <w:color w:val="000000"/>
        <w:szCs w:val="20"/>
        <w:lang w:eastAsia="en-US"/>
      </w:rPr>
      <w:tab/>
    </w:r>
    <w:r w:rsidR="00BC24B3">
      <w:rPr>
        <w:rFonts w:ascii="Palatino Linotype" w:eastAsia="Times New Roman" w:hAnsi="Palatino Linotype"/>
        <w:color w:val="000000"/>
        <w:szCs w:val="20"/>
        <w:lang w:eastAsia="en-US"/>
      </w:rPr>
      <w:tab/>
    </w:r>
    <w:r w:rsidR="00BC24B3">
      <w:rPr>
        <w:rFonts w:ascii="Palatino Linotype" w:eastAsia="Times New Roman" w:hAnsi="Palatino Linotype"/>
        <w:color w:val="000000"/>
        <w:szCs w:val="20"/>
        <w:lang w:eastAsia="en-US"/>
      </w:rPr>
      <w:tab/>
      <w:t xml:space="preserve">                    </w:t>
    </w:r>
    <w:r>
      <w:rPr>
        <w:rFonts w:ascii="Palatino Linotype" w:eastAsia="Times New Roman" w:hAnsi="Palatino Linotype"/>
        <w:color w:val="000000"/>
        <w:szCs w:val="20"/>
        <w:lang w:eastAsia="en-US"/>
      </w:rPr>
      <w:t xml:space="preserve">     </w:t>
    </w:r>
    <w:r w:rsidR="00BC24B3">
      <w:rPr>
        <w:rFonts w:ascii="Palatino Linotype" w:eastAsia="Times New Roman" w:hAnsi="Palatino Linotype"/>
        <w:color w:val="000000"/>
        <w:szCs w:val="20"/>
        <w:lang w:eastAsia="en-US"/>
      </w:rPr>
      <w:t xml:space="preserve"> </w:t>
    </w:r>
    <w:r w:rsidR="00BC24B3">
      <w:rPr>
        <w:rFonts w:ascii="Palatino Linotype" w:eastAsia="Times New Roman" w:hAnsi="Palatino Linotype"/>
        <w:color w:val="000000"/>
        <w:szCs w:val="20"/>
        <w:lang w:eastAsia="en-US"/>
      </w:rPr>
      <w:fldChar w:fldCharType="begin"/>
    </w:r>
    <w:r w:rsidR="00BC24B3">
      <w:rPr>
        <w:rFonts w:ascii="Palatino Linotype" w:eastAsia="Times New Roman" w:hAnsi="Palatino Linotype"/>
        <w:color w:val="000000"/>
        <w:szCs w:val="20"/>
        <w:lang w:eastAsia="en-US"/>
      </w:rPr>
      <w:instrText>PAGE</w:instrText>
    </w:r>
    <w:r w:rsidR="00BC24B3">
      <w:rPr>
        <w:rFonts w:ascii="Palatino Linotype" w:eastAsia="Times New Roman" w:hAnsi="Palatino Linotype"/>
        <w:color w:val="000000"/>
        <w:szCs w:val="20"/>
        <w:lang w:eastAsia="en-US"/>
      </w:rPr>
      <w:fldChar w:fldCharType="separate"/>
    </w:r>
    <w:r>
      <w:rPr>
        <w:rFonts w:ascii="Palatino Linotype" w:eastAsia="Times New Roman" w:hAnsi="Palatino Linotype"/>
        <w:noProof/>
        <w:color w:val="000000"/>
        <w:szCs w:val="20"/>
        <w:lang w:eastAsia="en-US"/>
      </w:rPr>
      <w:t>1266</w:t>
    </w:r>
    <w:r w:rsidR="00BC24B3">
      <w:rPr>
        <w:rFonts w:ascii="Palatino Linotype" w:eastAsia="Times New Roman" w:hAnsi="Palatino Linotype"/>
        <w:color w:val="000000"/>
        <w:szCs w:val="20"/>
        <w:lang w:eastAsia="en-US"/>
      </w:rPr>
      <w:fldChar w:fldCharType="end"/>
    </w:r>
  </w:p>
  <w:p w14:paraId="0388B991" w14:textId="77777777" w:rsidR="003C2461" w:rsidRDefault="00BC24B3">
    <w:pPr>
      <w:pBdr>
        <w:top w:val="nil"/>
        <w:left w:val="nil"/>
        <w:bottom w:val="nil"/>
        <w:right w:val="nil"/>
        <w:between w:val="nil"/>
      </w:pBdr>
      <w:tabs>
        <w:tab w:val="left" w:pos="567"/>
      </w:tabs>
      <w:adjustRightInd/>
      <w:snapToGrid/>
      <w:jc w:val="left"/>
      <w:rPr>
        <w:rFonts w:ascii="Arial Narrow" w:eastAsia="Times New Roman" w:hAnsi="Arial Narrow"/>
        <w:color w:val="000000"/>
        <w:szCs w:val="20"/>
        <w:lang w:eastAsia="en-US"/>
      </w:rPr>
    </w:pPr>
    <w:r>
      <w:rPr>
        <w:rFonts w:cs="Arial"/>
        <w:noProof/>
        <w:lang w:eastAsia="en-US"/>
      </w:rPr>
      <mc:AlternateContent>
        <mc:Choice Requires="wps">
          <w:drawing>
            <wp:anchor distT="0" distB="0" distL="0" distR="0" simplePos="0" relativeHeight="4" behindDoc="0" locked="0" layoutInCell="1" allowOverlap="1" wp14:anchorId="0ACE7305" wp14:editId="2D1F4B61">
              <wp:simplePos x="0" y="0"/>
              <wp:positionH relativeFrom="margin">
                <wp:posOffset>0</wp:posOffset>
              </wp:positionH>
              <wp:positionV relativeFrom="paragraph">
                <wp:posOffset>118745</wp:posOffset>
              </wp:positionV>
              <wp:extent cx="5759450" cy="53975"/>
              <wp:effectExtent l="0" t="0" r="0" b="3175"/>
              <wp:wrapNone/>
              <wp:docPr id="409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53975"/>
                      </a:xfrm>
                      <a:prstGeom prst="rect">
                        <a:avLst/>
                      </a:prstGeom>
                      <a:gradFill flip="none" rotWithShape="1">
                        <a:gsLst>
                          <a:gs pos="0">
                            <a:srgbClr val="82D2FF"/>
                          </a:gs>
                          <a:gs pos="50000">
                            <a:srgbClr val="B4E1FF"/>
                          </a:gs>
                          <a:gs pos="100000">
                            <a:srgbClr val="DAEFFF"/>
                          </a:gs>
                        </a:gsLst>
                        <a:path path="circle">
                          <a:fillToRect l="50000" t="50000" r="50000" b="50000"/>
                        </a:path>
                        <a:tileRect/>
                      </a:gradFill>
                      <a:ln>
                        <a:noFill/>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2D7AA3FC" id="Rectangle 20" o:spid="_x0000_s1026" style="position:absolute;margin-left:0;margin-top:9.35pt;width:453.5pt;height:4.25pt;z-index: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" fillcolor="#82d2ff" stroked="f">
              <v:fill color2="#daefff" rotate="t" focusposition=".5,.5" focussize="" colors="0 #82d2ff;.5 #b4e1ff;1 #daefff" focus="100%" type="gradientRadial"/>
              <w10:wrap anchorx="margin"/>
            </v:rect>
          </w:pict>
        </mc:Fallback>
      </mc:AlternateContent>
    </w:r>
  </w:p>
  <w:p w14:paraId="2F43A327" w14:textId="77777777" w:rsidR="003C2461" w:rsidRDefault="003C2461">
    <w:pPr>
      <w:pStyle w:val="Header"/>
      <w:ind w:right="100"/>
      <w:jc w:val="right"/>
      <w:rPr>
        <w:sz w:val="12"/>
        <w:szCs w:val="10"/>
      </w:rPr>
    </w:pPr>
  </w:p>
  <w:p w14:paraId="50D6E0D7" w14:textId="77777777" w:rsidR="003C2461" w:rsidRDefault="003C2461">
    <w:pPr>
      <w:pStyle w:val="Header"/>
      <w:ind w:right="100"/>
      <w:jc w:val="right"/>
      <w:rPr>
        <w:sz w:val="12"/>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AE35C" w14:textId="7C92262A" w:rsidR="003C2461" w:rsidRDefault="00BC24B3">
    <w:pPr>
      <w:pStyle w:val="Header"/>
      <w:tabs>
        <w:tab w:val="clear" w:pos="4320"/>
        <w:tab w:val="clear" w:pos="8640"/>
      </w:tabs>
      <w:ind w:right="12"/>
      <w:rPr>
        <w:rFonts w:ascii="Palatino Linotype" w:eastAsia="Times New Roman" w:hAnsi="Palatino Linotype"/>
        <w:color w:val="000000"/>
        <w:szCs w:val="20"/>
      </w:rPr>
    </w:pPr>
    <w:proofErr w:type="gramStart"/>
    <w:r>
      <w:rPr>
        <w:rFonts w:ascii="Palatino Linotype" w:hAnsi="Palatino Linotype" w:cs="Arial"/>
        <w:iCs/>
        <w:sz w:val="18"/>
      </w:rPr>
      <w:t>ISSN :</w:t>
    </w:r>
    <w:proofErr w:type="gramEnd"/>
    <w:r>
      <w:rPr>
        <w:rFonts w:ascii="Palatino Linotype" w:hAnsi="Palatino Linotype" w:cs="Arial"/>
        <w:iCs/>
        <w:sz w:val="18"/>
      </w:rPr>
      <w:t xml:space="preserve"> 2614-5251 (</w:t>
    </w:r>
    <w:r>
      <w:rPr>
        <w:rFonts w:ascii="Palatino Linotype" w:hAnsi="Palatino Linotype" w:cs="Arial"/>
        <w:i/>
        <w:sz w:val="18"/>
      </w:rPr>
      <w:t>print</w:t>
    </w:r>
    <w:r>
      <w:rPr>
        <w:rFonts w:ascii="Palatino Linotype" w:hAnsi="Palatino Linotype" w:cs="Arial"/>
        <w:iCs/>
        <w:sz w:val="18"/>
      </w:rPr>
      <w:t>) | ISSN : 2614-526X (</w:t>
    </w:r>
    <w:proofErr w:type="spellStart"/>
    <w:r>
      <w:rPr>
        <w:rFonts w:ascii="Palatino Linotype" w:hAnsi="Palatino Linotype" w:cs="Arial"/>
        <w:iCs/>
        <w:sz w:val="18"/>
      </w:rPr>
      <w:t>elektronik</w:t>
    </w:r>
    <w:proofErr w:type="spellEnd"/>
    <w:r>
      <w:rPr>
        <w:rFonts w:ascii="Palatino Linotype" w:hAnsi="Palatino Linotype" w:cs="Arial"/>
        <w:iCs/>
        <w:sz w:val="18"/>
      </w:rPr>
      <w:t>)</w:t>
    </w:r>
    <w:r>
      <w:rPr>
        <w:rFonts w:ascii="Palatino Linotype" w:hAnsi="Palatino Linotype" w:cs="Arial"/>
        <w:iCs/>
        <w:sz w:val="18"/>
      </w:rPr>
      <w:tab/>
      <w:t xml:space="preserve">     </w:t>
    </w:r>
    <w:r>
      <w:rPr>
        <w:rFonts w:ascii="Palatino Linotype" w:hAnsi="Palatino Linotype" w:cs="Arial"/>
        <w:iCs/>
        <w:sz w:val="18"/>
      </w:rPr>
      <w:tab/>
    </w:r>
    <w:r>
      <w:rPr>
        <w:rFonts w:ascii="Palatino Linotype" w:hAnsi="Palatino Linotype" w:cs="Arial"/>
        <w:iCs/>
        <w:sz w:val="18"/>
      </w:rPr>
      <w:tab/>
    </w:r>
    <w:r>
      <w:rPr>
        <w:rFonts w:ascii="Palatino Linotype" w:hAnsi="Palatino Linotype" w:cs="Arial"/>
        <w:iCs/>
        <w:sz w:val="18"/>
      </w:rPr>
      <w:tab/>
    </w:r>
    <w:r>
      <w:rPr>
        <w:rFonts w:ascii="Palatino Linotype" w:hAnsi="Palatino Linotype" w:cs="Arial"/>
        <w:iCs/>
        <w:sz w:val="18"/>
      </w:rPr>
      <w:tab/>
    </w:r>
    <w:r w:rsidR="00C62ADA">
      <w:rPr>
        <w:rFonts w:ascii="Palatino Linotype" w:hAnsi="Palatino Linotype" w:cs="Arial"/>
        <w:iCs/>
        <w:sz w:val="18"/>
      </w:rPr>
      <w:t xml:space="preserve">              </w:t>
    </w:r>
    <w:r w:rsidR="009A121E">
      <w:rPr>
        <w:rFonts w:ascii="Palatino Linotype" w:hAnsi="Palatino Linotype" w:cs="Arial"/>
        <w:iCs/>
        <w:sz w:val="18"/>
      </w:rPr>
      <w:t xml:space="preserve">  </w:t>
    </w:r>
    <w:r>
      <w:rPr>
        <w:rFonts w:ascii="Palatino Linotype" w:eastAsia="Times New Roman" w:hAnsi="Palatino Linotype"/>
        <w:color w:val="000000"/>
        <w:szCs w:val="20"/>
      </w:rPr>
      <w:fldChar w:fldCharType="begin"/>
    </w:r>
    <w:r>
      <w:rPr>
        <w:rFonts w:ascii="Palatino Linotype" w:eastAsia="Times New Roman" w:hAnsi="Palatino Linotype"/>
        <w:color w:val="000000"/>
        <w:szCs w:val="20"/>
      </w:rPr>
      <w:instrText>PAGE</w:instrText>
    </w:r>
    <w:r>
      <w:rPr>
        <w:rFonts w:ascii="Palatino Linotype" w:eastAsia="Times New Roman" w:hAnsi="Palatino Linotype"/>
        <w:color w:val="000000"/>
        <w:szCs w:val="20"/>
      </w:rPr>
      <w:fldChar w:fldCharType="separate"/>
    </w:r>
    <w:r w:rsidR="00C62ADA">
      <w:rPr>
        <w:rFonts w:ascii="Palatino Linotype" w:eastAsia="Times New Roman" w:hAnsi="Palatino Linotype"/>
        <w:noProof/>
        <w:color w:val="000000"/>
        <w:szCs w:val="20"/>
      </w:rPr>
      <w:t>1271</w:t>
    </w:r>
    <w:r>
      <w:rPr>
        <w:rFonts w:ascii="Palatino Linotype" w:eastAsia="Times New Roman" w:hAnsi="Palatino Linotype"/>
        <w:color w:val="000000"/>
        <w:szCs w:val="20"/>
      </w:rPr>
      <w:fldChar w:fldCharType="end"/>
    </w:r>
  </w:p>
  <w:p w14:paraId="0D91328B" w14:textId="77777777" w:rsidR="003C2461" w:rsidRDefault="00BC24B3">
    <w:pPr>
      <w:pBdr>
        <w:top w:val="nil"/>
        <w:left w:val="nil"/>
        <w:bottom w:val="nil"/>
        <w:right w:val="nil"/>
        <w:between w:val="nil"/>
      </w:pBdr>
      <w:tabs>
        <w:tab w:val="center" w:pos="4680"/>
        <w:tab w:val="right" w:pos="9360"/>
      </w:tabs>
      <w:jc w:val="right"/>
      <w:rPr>
        <w:rFonts w:ascii="Arial Narrow" w:eastAsia="Times New Roman" w:hAnsi="Arial Narrow"/>
        <w:color w:val="000000"/>
        <w:szCs w:val="20"/>
      </w:rPr>
    </w:pPr>
    <w:r>
      <w:rPr>
        <w:rFonts w:cs="Arial"/>
        <w:noProof/>
        <w:lang w:eastAsia="en-US"/>
      </w:rPr>
      <mc:AlternateContent>
        <mc:Choice Requires="wps">
          <w:drawing>
            <wp:anchor distT="0" distB="0" distL="0" distR="0" simplePos="0" relativeHeight="251656192" behindDoc="0" locked="0" layoutInCell="1" allowOverlap="1" wp14:anchorId="249B836F" wp14:editId="7D0DFFD4">
              <wp:simplePos x="0" y="0"/>
              <wp:positionH relativeFrom="column">
                <wp:posOffset>0</wp:posOffset>
              </wp:positionH>
              <wp:positionV relativeFrom="paragraph">
                <wp:posOffset>100330</wp:posOffset>
              </wp:positionV>
              <wp:extent cx="5759450" cy="53975"/>
              <wp:effectExtent l="0" t="0" r="0" b="3175"/>
              <wp:wrapNone/>
              <wp:docPr id="409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53975"/>
                      </a:xfrm>
                      <a:prstGeom prst="rect">
                        <a:avLst/>
                      </a:prstGeom>
                      <a:gradFill flip="none" rotWithShape="1">
                        <a:gsLst>
                          <a:gs pos="0">
                            <a:srgbClr val="82D2FF"/>
                          </a:gs>
                          <a:gs pos="50000">
                            <a:srgbClr val="B4E1FF"/>
                          </a:gs>
                          <a:gs pos="100000">
                            <a:srgbClr val="DAEFFF"/>
                          </a:gs>
                        </a:gsLst>
                        <a:path path="circle">
                          <a:fillToRect l="50000" t="50000" r="50000" b="50000"/>
                        </a:path>
                        <a:tileRect/>
                      </a:gradFill>
                      <a:ln>
                        <a:noFill/>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2DD3BC0C" id="Rectangle 20" o:spid="_x0000_s1026" style="position:absolute;margin-left:0;margin-top:7.9pt;width:453.5pt;height:4.2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" fillcolor="#82d2ff" stroked="f">
              <v:fill color2="#daefff" rotate="t" focusposition=".5,.5" focussize="" colors="0 #82d2ff;.5 #b4e1ff;1 #daefff" focus="100%" type="gradientRadial"/>
            </v:rect>
          </w:pict>
        </mc:Fallback>
      </mc:AlternateContent>
    </w:r>
  </w:p>
  <w:p w14:paraId="164CA41D" w14:textId="77777777" w:rsidR="003C2461" w:rsidRDefault="003C2461">
    <w:pPr>
      <w:pStyle w:val="Header"/>
      <w:ind w:right="100"/>
      <w:jc w:val="right"/>
      <w:rPr>
        <w:sz w:val="12"/>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70C6E" w14:textId="77777777" w:rsidR="00C62ADA" w:rsidRPr="0068256D" w:rsidRDefault="00C62ADA" w:rsidP="00C62ADA">
    <w:pPr>
      <w:pStyle w:val="Header"/>
      <w:tabs>
        <w:tab w:val="clear" w:pos="4320"/>
        <w:tab w:val="clear" w:pos="8640"/>
      </w:tabs>
      <w:jc w:val="left"/>
      <w:rPr>
        <w:rFonts w:ascii="Palatino Linotype" w:hAnsi="Palatino Linotype" w:cs="Arial"/>
        <w:b/>
        <w:bCs/>
        <w:iCs/>
        <w:szCs w:val="28"/>
      </w:rPr>
    </w:pPr>
    <w:r w:rsidRPr="0068256D">
      <w:rPr>
        <w:rFonts w:ascii="Palatino Linotype" w:hAnsi="Palatino Linotype" w:cs="Arial"/>
        <w:b/>
        <w:bCs/>
        <w:iCs/>
        <w:szCs w:val="28"/>
      </w:rPr>
      <w:t xml:space="preserve">SELAPARANG: </w:t>
    </w:r>
    <w:proofErr w:type="spellStart"/>
    <w:r w:rsidRPr="0068256D">
      <w:rPr>
        <w:rFonts w:ascii="Palatino Linotype" w:hAnsi="Palatino Linotype" w:cs="Arial"/>
        <w:b/>
        <w:bCs/>
        <w:iCs/>
        <w:szCs w:val="28"/>
      </w:rPr>
      <w:t>Jurnal</w:t>
    </w:r>
    <w:proofErr w:type="spellEnd"/>
    <w:r w:rsidRPr="0068256D">
      <w:rPr>
        <w:rFonts w:ascii="Palatino Linotype" w:hAnsi="Palatino Linotype" w:cs="Arial"/>
        <w:b/>
        <w:bCs/>
        <w:iCs/>
        <w:szCs w:val="28"/>
      </w:rPr>
      <w:t xml:space="preserve"> </w:t>
    </w:r>
    <w:proofErr w:type="spellStart"/>
    <w:r w:rsidRPr="0068256D">
      <w:rPr>
        <w:rFonts w:ascii="Palatino Linotype" w:hAnsi="Palatino Linotype" w:cs="Arial"/>
        <w:b/>
        <w:bCs/>
        <w:iCs/>
        <w:szCs w:val="28"/>
      </w:rPr>
      <w:t>Pengabdian</w:t>
    </w:r>
    <w:proofErr w:type="spellEnd"/>
    <w:r w:rsidRPr="0068256D">
      <w:rPr>
        <w:rFonts w:ascii="Palatino Linotype" w:hAnsi="Palatino Linotype" w:cs="Arial"/>
        <w:b/>
        <w:bCs/>
        <w:iCs/>
        <w:szCs w:val="28"/>
      </w:rPr>
      <w:t xml:space="preserve"> Masyarakat </w:t>
    </w:r>
    <w:proofErr w:type="spellStart"/>
    <w:r w:rsidRPr="0068256D">
      <w:rPr>
        <w:rFonts w:ascii="Palatino Linotype" w:hAnsi="Palatino Linotype" w:cs="Arial"/>
        <w:b/>
        <w:bCs/>
        <w:iCs/>
        <w:szCs w:val="28"/>
      </w:rPr>
      <w:t>Berkemajuan</w:t>
    </w:r>
    <w:proofErr w:type="spellEnd"/>
    <w:r w:rsidRPr="0068256D">
      <w:rPr>
        <w:rFonts w:ascii="Palatino Linotype" w:hAnsi="Palatino Linotype" w:cs="Arial"/>
        <w:b/>
        <w:bCs/>
        <w:iCs/>
        <w:szCs w:val="28"/>
      </w:rPr>
      <w:tab/>
      <w:t xml:space="preserve">                    </w:t>
    </w:r>
    <w:r w:rsidRPr="0068256D">
      <w:rPr>
        <w:rFonts w:ascii="Palatino Linotype" w:hAnsi="Palatino Linotype" w:cs="Arial"/>
        <w:b/>
        <w:bCs/>
        <w:iCs/>
        <w:szCs w:val="28"/>
      </w:rPr>
      <w:tab/>
    </w:r>
    <w:r w:rsidRPr="0068256D">
      <w:rPr>
        <w:rFonts w:ascii="Palatino Linotype" w:hAnsi="Palatino Linotype" w:cs="Arial"/>
        <w:b/>
        <w:bCs/>
        <w:iCs/>
        <w:szCs w:val="28"/>
      </w:rPr>
      <w:tab/>
    </w:r>
    <w:r w:rsidRPr="0068256D">
      <w:rPr>
        <w:rFonts w:ascii="Palatino Linotype" w:hAnsi="Palatino Linotype" w:cs="Arial"/>
        <w:b/>
        <w:bCs/>
        <w:iCs/>
        <w:szCs w:val="28"/>
      </w:rPr>
      <w:tab/>
    </w:r>
  </w:p>
  <w:p w14:paraId="3834B34D" w14:textId="483146E3" w:rsidR="00C62ADA" w:rsidRPr="00F0423C" w:rsidRDefault="00C62ADA" w:rsidP="00C62ADA">
    <w:pPr>
      <w:pStyle w:val="Header"/>
      <w:jc w:val="left"/>
      <w:rPr>
        <w:rFonts w:ascii="Palatino Linotype" w:hAnsi="Palatino Linotype" w:cs="Arial"/>
        <w:iCs/>
        <w:sz w:val="18"/>
      </w:rPr>
    </w:pPr>
    <w:r w:rsidRPr="00F0423C">
      <w:rPr>
        <w:rFonts w:ascii="Palatino Linotype" w:hAnsi="Palatino Linotype" w:cs="Arial"/>
        <w:iCs/>
        <w:sz w:val="18"/>
      </w:rPr>
      <w:t xml:space="preserve">Volume </w:t>
    </w:r>
    <w:r>
      <w:rPr>
        <w:rFonts w:ascii="Palatino Linotype" w:hAnsi="Palatino Linotype" w:cs="Arial"/>
        <w:iCs/>
        <w:sz w:val="18"/>
      </w:rPr>
      <w:t xml:space="preserve">8, </w:t>
    </w:r>
    <w:proofErr w:type="spellStart"/>
    <w:r>
      <w:rPr>
        <w:rFonts w:ascii="Palatino Linotype" w:hAnsi="Palatino Linotype" w:cs="Arial"/>
        <w:iCs/>
        <w:sz w:val="18"/>
      </w:rPr>
      <w:t>Nomor</w:t>
    </w:r>
    <w:proofErr w:type="spellEnd"/>
    <w:r>
      <w:rPr>
        <w:rFonts w:ascii="Palatino Linotype" w:hAnsi="Palatino Linotype" w:cs="Arial"/>
        <w:iCs/>
        <w:sz w:val="18"/>
      </w:rPr>
      <w:t xml:space="preserve"> 2, Juni 2024, </w:t>
    </w:r>
    <w:proofErr w:type="spellStart"/>
    <w:r>
      <w:rPr>
        <w:rFonts w:ascii="Palatino Linotype" w:hAnsi="Palatino Linotype" w:cs="Arial"/>
        <w:iCs/>
        <w:sz w:val="18"/>
      </w:rPr>
      <w:t>hal</w:t>
    </w:r>
    <w:proofErr w:type="spellEnd"/>
    <w:r>
      <w:rPr>
        <w:rFonts w:ascii="Palatino Linotype" w:hAnsi="Palatino Linotype" w:cs="Arial"/>
        <w:iCs/>
        <w:sz w:val="18"/>
      </w:rPr>
      <w:t>. 126 – 127</w:t>
    </w:r>
    <w:r w:rsidR="009A121E">
      <w:rPr>
        <w:rFonts w:ascii="Palatino Linotype" w:hAnsi="Palatino Linotype" w:cs="Arial"/>
        <w:iCs/>
        <w:sz w:val="18"/>
      </w:rPr>
      <w:t>1</w:t>
    </w:r>
  </w:p>
  <w:p w14:paraId="58CF548F" w14:textId="77777777" w:rsidR="00C62ADA" w:rsidRPr="00F0423C" w:rsidRDefault="00C62ADA" w:rsidP="00C62ADA">
    <w:pPr>
      <w:pStyle w:val="Header"/>
      <w:jc w:val="left"/>
      <w:rPr>
        <w:rFonts w:ascii="Palatino Linotype" w:hAnsi="Palatino Linotype" w:cs="Arial"/>
        <w:iCs/>
        <w:sz w:val="18"/>
      </w:rPr>
    </w:pPr>
    <w:r w:rsidRPr="00F0423C">
      <w:rPr>
        <w:rFonts w:ascii="Palatino Linotype" w:hAnsi="Palatino Linotype" w:cs="Arial"/>
        <w:iCs/>
        <w:sz w:val="18"/>
      </w:rPr>
      <w:tab/>
      <w:t xml:space="preserve">                                                                                   </w:t>
    </w:r>
    <w:proofErr w:type="gramStart"/>
    <w:r w:rsidRPr="00F0423C">
      <w:rPr>
        <w:rFonts w:ascii="Palatino Linotype" w:hAnsi="Palatino Linotype" w:cs="Arial"/>
        <w:iCs/>
        <w:sz w:val="18"/>
      </w:rPr>
      <w:t>ISSN :</w:t>
    </w:r>
    <w:proofErr w:type="gramEnd"/>
    <w:r w:rsidRPr="00F0423C">
      <w:rPr>
        <w:rFonts w:ascii="Palatino Linotype" w:hAnsi="Palatino Linotype" w:cs="Arial"/>
        <w:iCs/>
        <w:sz w:val="18"/>
      </w:rPr>
      <w:t xml:space="preserve"> 2614-5251 (print) | ISSN : 2614-526X (</w:t>
    </w:r>
    <w:proofErr w:type="spellStart"/>
    <w:r w:rsidRPr="00F0423C">
      <w:rPr>
        <w:rFonts w:ascii="Palatino Linotype" w:hAnsi="Palatino Linotype" w:cs="Arial"/>
        <w:iCs/>
        <w:sz w:val="18"/>
      </w:rPr>
      <w:t>elektronik</w:t>
    </w:r>
    <w:proofErr w:type="spellEnd"/>
    <w:r w:rsidRPr="00F0423C">
      <w:rPr>
        <w:rFonts w:ascii="Palatino Linotype" w:hAnsi="Palatino Linotype" w:cs="Arial"/>
        <w:iCs/>
        <w:sz w:val="18"/>
      </w:rPr>
      <w:t>)</w:t>
    </w:r>
  </w:p>
  <w:p w14:paraId="11D832B2" w14:textId="5BEE4B76" w:rsidR="003C2461" w:rsidRPr="009A121E" w:rsidRDefault="00C62ADA" w:rsidP="009A121E">
    <w:pPr>
      <w:pStyle w:val="Header"/>
      <w:ind w:right="100"/>
      <w:jc w:val="right"/>
      <w:rPr>
        <w:sz w:val="12"/>
        <w:szCs w:val="10"/>
      </w:rPr>
    </w:pPr>
    <w:r>
      <w:rPr>
        <w:noProof/>
        <w:lang w:eastAsia="en-US"/>
      </w:rPr>
      <mc:AlternateContent>
        <mc:Choice Requires="wps">
          <w:drawing>
            <wp:anchor distT="0" distB="0" distL="114300" distR="114300" simplePos="0" relativeHeight="251662336" behindDoc="0" locked="0" layoutInCell="1" allowOverlap="1" wp14:anchorId="040A20AA" wp14:editId="1393C572">
              <wp:simplePos x="0" y="0"/>
              <wp:positionH relativeFrom="column">
                <wp:posOffset>0</wp:posOffset>
              </wp:positionH>
              <wp:positionV relativeFrom="paragraph">
                <wp:posOffset>-635</wp:posOffset>
              </wp:positionV>
              <wp:extent cx="5760085" cy="53975"/>
              <wp:effectExtent l="0" t="0" r="0" b="31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85" cy="539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93ED6F" id="Rectangle 1" o:spid="_x0000_s1026" style="position:absolute;margin-left:0;margin-top:-.05pt;width:453.55pt;height: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" fillcolor="#83d3ff" stroked="f">
              <v:fill color2="#dbf0ff" rotate="t" focusposition=".5,.5" focussize="" colors="0 #83d3ff;.5 #b5e2ff;1 #dbf0ff" focus="100%" type="gradientRadial"/>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3538F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3F225194"/>
    <w:lvl w:ilvl="0" w:tplc="F94EAADE">
      <w:start w:val="1"/>
      <w:numFmt w:val="decimal"/>
      <w:pStyle w:val="Referensi"/>
      <w:lvlText w:val="[%1]"/>
      <w:lvlJc w:val="right"/>
      <w:pPr>
        <w:tabs>
          <w:tab w:val="left" w:pos="454"/>
        </w:tabs>
        <w:ind w:left="454" w:hanging="170"/>
      </w:pPr>
      <w:rPr>
        <w:rFonts w:ascii="Arial" w:hAnsi="Arial" w:hint="default"/>
        <w:b w:val="0"/>
        <w:i w:val="0"/>
        <w:sz w:val="20"/>
        <w:szCs w:val="18"/>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2" w15:restartNumberingAfterBreak="0">
    <w:nsid w:val="16AE4564"/>
    <w:multiLevelType w:val="multilevel"/>
    <w:tmpl w:val="4162DD06"/>
    <w:styleLink w:val="Style3"/>
    <w:lvl w:ilvl="0">
      <w:start w:val="6"/>
      <w:numFmt w:val="decimal"/>
      <w:lvlText w:val="%1."/>
      <w:lvlJc w:val="left"/>
      <w:pPr>
        <w:ind w:left="360" w:hanging="360"/>
      </w:pPr>
      <w:rPr>
        <w:rFonts w:cs="Times New Roman" w:hint="default"/>
      </w:rPr>
    </w:lvl>
    <w:lvl w:ilvl="1">
      <w:start w:val="3"/>
      <w:numFmt w:val="decimal"/>
      <w:lvlText w:val="1.%2."/>
      <w:lvlJc w:val="left"/>
      <w:pPr>
        <w:ind w:left="792" w:hanging="432"/>
      </w:pPr>
      <w:rPr>
        <w:rFonts w:ascii="Times New Roman" w:hAnsi="Times New Roman" w:cs="Times New Roman" w:hint="default"/>
        <w:b/>
        <w:color w:val="auto"/>
        <w:sz w:val="24"/>
        <w:szCs w:val="24"/>
      </w:rPr>
    </w:lvl>
    <w:lvl w:ilvl="2">
      <w:start w:val="1"/>
      <w:numFmt w:val="decimal"/>
      <w:lvlText w:val="1.%2.%3."/>
      <w:lvlJc w:val="left"/>
      <w:pPr>
        <w:ind w:left="1224" w:hanging="504"/>
      </w:pPr>
      <w:rPr>
        <w:rFonts w:ascii="Times New Roman" w:hAnsi="Times New Roman" w:cs="Times New Roman" w:hint="default"/>
        <w:b/>
        <w:color w:val="auto"/>
        <w:sz w:val="24"/>
        <w:szCs w:val="24"/>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16cid:durableId="911893210">
    <w:abstractNumId w:val="1"/>
  </w:num>
  <w:num w:numId="2" w16cid:durableId="672682876">
    <w:abstractNumId w:val="2"/>
  </w:num>
  <w:num w:numId="3" w16cid:durableId="121316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2461"/>
    <w:rsid w:val="000962ED"/>
    <w:rsid w:val="000A053D"/>
    <w:rsid w:val="00112CC6"/>
    <w:rsid w:val="001C50B4"/>
    <w:rsid w:val="00260E96"/>
    <w:rsid w:val="00293B51"/>
    <w:rsid w:val="002E15FC"/>
    <w:rsid w:val="00325430"/>
    <w:rsid w:val="003C2461"/>
    <w:rsid w:val="003D4097"/>
    <w:rsid w:val="003F597C"/>
    <w:rsid w:val="00412D3F"/>
    <w:rsid w:val="004B67AE"/>
    <w:rsid w:val="00567B05"/>
    <w:rsid w:val="006234BC"/>
    <w:rsid w:val="00684B02"/>
    <w:rsid w:val="006E2A93"/>
    <w:rsid w:val="006F3C09"/>
    <w:rsid w:val="0071163E"/>
    <w:rsid w:val="00793947"/>
    <w:rsid w:val="00796522"/>
    <w:rsid w:val="0081154C"/>
    <w:rsid w:val="00855F6A"/>
    <w:rsid w:val="008D158E"/>
    <w:rsid w:val="009300E9"/>
    <w:rsid w:val="009A121E"/>
    <w:rsid w:val="009E0E17"/>
    <w:rsid w:val="00A1078A"/>
    <w:rsid w:val="00A20D2B"/>
    <w:rsid w:val="00A64FDE"/>
    <w:rsid w:val="00AB06B4"/>
    <w:rsid w:val="00AD3129"/>
    <w:rsid w:val="00B01C91"/>
    <w:rsid w:val="00B35A15"/>
    <w:rsid w:val="00BC24B3"/>
    <w:rsid w:val="00C62ADA"/>
    <w:rsid w:val="00CF740F"/>
    <w:rsid w:val="00D14780"/>
    <w:rsid w:val="00D7407E"/>
    <w:rsid w:val="00E265E5"/>
    <w:rsid w:val="00EC74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966C33"/>
  <w15:docId w15:val="{3DE06665-D861-45ED-9748-0781F0AC6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djustRightInd w:val="0"/>
      <w:snapToGrid w:val="0"/>
      <w:jc w:val="both"/>
    </w:pPr>
    <w:rPr>
      <w:rFonts w:ascii="Arial" w:hAnsi="Arial"/>
      <w:szCs w:val="24"/>
      <w:lang w:eastAsia="ja-JP"/>
    </w:rPr>
  </w:style>
  <w:style w:type="paragraph" w:styleId="Heading1">
    <w:name w:val="heading 1"/>
    <w:basedOn w:val="Normal"/>
    <w:next w:val="Normal"/>
    <w:link w:val="Heading1Char"/>
    <w:uiPriority w:val="9"/>
    <w:qFormat/>
    <w:pPr>
      <w:keepNext/>
      <w:spacing w:before="240" w:after="240"/>
      <w:contextualSpacing/>
      <w:jc w:val="center"/>
      <w:outlineLvl w:val="0"/>
    </w:pPr>
    <w:rPr>
      <w:rFonts w:cs="Arial"/>
      <w:b/>
      <w:bCs/>
      <w:kern w:val="32"/>
      <w:sz w:val="32"/>
      <w:szCs w:val="32"/>
    </w:rPr>
  </w:style>
  <w:style w:type="paragraph" w:styleId="Heading2">
    <w:name w:val="heading 2"/>
    <w:basedOn w:val="Normal"/>
    <w:next w:val="Normal"/>
    <w:link w:val="Heading2Char"/>
    <w:uiPriority w:val="9"/>
    <w:semiHidden/>
    <w:unhideWhenUsed/>
    <w:qFormat/>
    <w:pPr>
      <w:keepNext/>
      <w:spacing w:before="240" w:after="60"/>
      <w:outlineLvl w:val="1"/>
    </w:pPr>
    <w:rPr>
      <w:rFonts w:ascii="Cambria" w:eastAsia="Times New Roman" w:hAnsi="Cambria"/>
      <w:b/>
      <w:bCs/>
      <w:i/>
      <w:iCs/>
      <w:sz w:val="28"/>
      <w:szCs w:val="28"/>
    </w:rPr>
  </w:style>
  <w:style w:type="paragraph" w:styleId="Heading3">
    <w:name w:val="heading 3"/>
    <w:basedOn w:val="Normal"/>
    <w:link w:val="Heading3Char"/>
    <w:uiPriority w:val="9"/>
    <w:semiHidden/>
    <w:unhideWhenUsed/>
    <w:qFormat/>
    <w:pPr>
      <w:widowControl w:val="0"/>
      <w:adjustRightInd/>
      <w:snapToGrid/>
      <w:ind w:left="1309" w:hanging="360"/>
      <w:jc w:val="left"/>
      <w:outlineLvl w:val="2"/>
    </w:pPr>
    <w:rPr>
      <w:rFonts w:ascii="Times New Roman" w:eastAsia="Times New Roman" w:hAnsi="Times New Roman"/>
      <w:b/>
      <w:bCs/>
      <w:i/>
      <w:sz w:val="24"/>
      <w:lang w:eastAsia="en-US"/>
    </w:rPr>
  </w:style>
  <w:style w:type="paragraph" w:styleId="Heading4">
    <w:name w:val="heading 4"/>
    <w:basedOn w:val="Normal"/>
    <w:next w:val="Normal"/>
    <w:link w:val="Heading4Char"/>
    <w:uiPriority w:val="9"/>
    <w:semiHidden/>
    <w:unhideWhenUsed/>
    <w:qFormat/>
    <w:pPr>
      <w:keepNext/>
      <w:tabs>
        <w:tab w:val="left" w:pos="2880"/>
      </w:tabs>
      <w:adjustRightInd/>
      <w:snapToGrid/>
      <w:spacing w:before="240" w:after="60"/>
      <w:ind w:left="2880" w:hanging="720"/>
      <w:jc w:val="left"/>
      <w:outlineLvl w:val="3"/>
    </w:pPr>
    <w:rPr>
      <w:rFonts w:ascii="Calibri" w:eastAsia="Times New Roman" w:hAnsi="Calibri"/>
      <w:b/>
      <w:bCs/>
      <w:sz w:val="28"/>
      <w:szCs w:val="28"/>
      <w:lang w:eastAsia="en-US"/>
    </w:rPr>
  </w:style>
  <w:style w:type="paragraph" w:styleId="Heading5">
    <w:name w:val="heading 5"/>
    <w:basedOn w:val="Normal"/>
    <w:next w:val="Normal"/>
    <w:link w:val="Heading5Char"/>
    <w:uiPriority w:val="9"/>
    <w:semiHidden/>
    <w:unhideWhenUsed/>
    <w:qFormat/>
    <w:pPr>
      <w:tabs>
        <w:tab w:val="left" w:pos="3600"/>
      </w:tabs>
      <w:adjustRightInd/>
      <w:snapToGrid/>
      <w:spacing w:before="240" w:after="60"/>
      <w:ind w:left="3600" w:hanging="720"/>
      <w:jc w:val="left"/>
      <w:outlineLvl w:val="4"/>
    </w:pPr>
    <w:rPr>
      <w:rFonts w:ascii="Calibri" w:eastAsia="Times New Roman" w:hAnsi="Calibri"/>
      <w:b/>
      <w:bCs/>
      <w:i/>
      <w:iCs/>
      <w:sz w:val="26"/>
      <w:szCs w:val="26"/>
      <w:lang w:eastAsia="en-US"/>
    </w:rPr>
  </w:style>
  <w:style w:type="paragraph" w:styleId="Heading6">
    <w:name w:val="heading 6"/>
    <w:basedOn w:val="Normal"/>
    <w:next w:val="Normal"/>
    <w:link w:val="Heading6Char"/>
    <w:uiPriority w:val="9"/>
    <w:semiHidden/>
    <w:unhideWhenUsed/>
    <w:qFormat/>
    <w:pPr>
      <w:tabs>
        <w:tab w:val="left" w:pos="4320"/>
      </w:tabs>
      <w:adjustRightInd/>
      <w:snapToGrid/>
      <w:spacing w:before="240" w:after="60"/>
      <w:ind w:left="4320" w:hanging="720"/>
      <w:jc w:val="left"/>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qFormat/>
    <w:pPr>
      <w:tabs>
        <w:tab w:val="left" w:pos="5040"/>
      </w:tabs>
      <w:adjustRightInd/>
      <w:snapToGrid/>
      <w:spacing w:before="240" w:after="60"/>
      <w:ind w:left="5040" w:hanging="720"/>
      <w:jc w:val="left"/>
      <w:outlineLvl w:val="6"/>
    </w:pPr>
    <w:rPr>
      <w:rFonts w:ascii="Calibri" w:eastAsia="Times New Roman" w:hAnsi="Calibri"/>
      <w:sz w:val="24"/>
      <w:lang w:eastAsia="en-US"/>
    </w:rPr>
  </w:style>
  <w:style w:type="paragraph" w:styleId="Heading8">
    <w:name w:val="heading 8"/>
    <w:basedOn w:val="Normal"/>
    <w:next w:val="Normal"/>
    <w:link w:val="Heading8Char"/>
    <w:uiPriority w:val="9"/>
    <w:qFormat/>
    <w:pPr>
      <w:tabs>
        <w:tab w:val="left" w:pos="5760"/>
      </w:tabs>
      <w:adjustRightInd/>
      <w:snapToGrid/>
      <w:spacing w:before="240" w:after="60"/>
      <w:ind w:left="5760" w:hanging="720"/>
      <w:jc w:val="left"/>
      <w:outlineLvl w:val="7"/>
    </w:pPr>
    <w:rPr>
      <w:rFonts w:ascii="Calibri" w:eastAsia="Times New Roman" w:hAnsi="Calibri"/>
      <w:i/>
      <w:iCs/>
      <w:sz w:val="24"/>
      <w:lang w:eastAsia="en-US"/>
    </w:rPr>
  </w:style>
  <w:style w:type="paragraph" w:styleId="Heading9">
    <w:name w:val="heading 9"/>
    <w:basedOn w:val="Normal"/>
    <w:next w:val="Normal"/>
    <w:link w:val="Heading9Char"/>
    <w:uiPriority w:val="9"/>
    <w:qFormat/>
    <w:pPr>
      <w:tabs>
        <w:tab w:val="left" w:pos="6480"/>
      </w:tabs>
      <w:adjustRightInd/>
      <w:snapToGrid/>
      <w:spacing w:before="240" w:after="60"/>
      <w:ind w:left="6480" w:hanging="720"/>
      <w:jc w:val="left"/>
      <w:outlineLvl w:val="8"/>
    </w:pPr>
    <w:rPr>
      <w:rFonts w:ascii="Cambria" w:eastAsia="Times New Roman"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customStyle="1" w:styleId="Penulis">
    <w:name w:val="Penulis"/>
    <w:basedOn w:val="Normal"/>
    <w:pPr>
      <w:spacing w:before="120" w:after="120"/>
      <w:jc w:val="center"/>
    </w:pPr>
    <w:rPr>
      <w:sz w:val="22"/>
    </w:rPr>
  </w:style>
  <w:style w:type="paragraph" w:customStyle="1" w:styleId="Judul">
    <w:name w:val="Judul"/>
    <w:basedOn w:val="Heading1"/>
    <w:link w:val="JudulChar"/>
    <w:pPr>
      <w:spacing w:before="360"/>
    </w:pPr>
    <w:rPr>
      <w:sz w:val="28"/>
    </w:rPr>
  </w:style>
  <w:style w:type="character" w:customStyle="1" w:styleId="Heading1Char">
    <w:name w:val="Heading 1 Char"/>
    <w:link w:val="Heading1"/>
    <w:uiPriority w:val="9"/>
    <w:rPr>
      <w:rFonts w:ascii="Arial" w:eastAsia="MS Mincho" w:hAnsi="Arial" w:cs="Arial"/>
      <w:b/>
      <w:bCs/>
      <w:kern w:val="32"/>
      <w:sz w:val="32"/>
      <w:szCs w:val="32"/>
      <w:lang w:val="en-US" w:eastAsia="ja-JP" w:bidi="ar-SA"/>
    </w:rPr>
  </w:style>
  <w:style w:type="character" w:customStyle="1" w:styleId="JudulChar">
    <w:name w:val="Judul Char"/>
    <w:link w:val="Judul"/>
    <w:rPr>
      <w:rFonts w:ascii="Arial" w:eastAsia="MS Mincho" w:hAnsi="Arial" w:cs="Arial"/>
      <w:b/>
      <w:bCs/>
      <w:kern w:val="32"/>
      <w:sz w:val="28"/>
      <w:szCs w:val="32"/>
      <w:lang w:val="en-US" w:eastAsia="ja-JP" w:bidi="ar-SA"/>
    </w:rPr>
  </w:style>
  <w:style w:type="paragraph" w:customStyle="1" w:styleId="Abstrakisidankatakunci">
    <w:name w:val="Abstrak (isi dan kata kunci)"/>
    <w:basedOn w:val="Normal"/>
    <w:pPr>
      <w:spacing w:after="120"/>
    </w:pPr>
    <w:rPr>
      <w:i/>
      <w:lang w:val="sv-SE"/>
    </w:rPr>
  </w:style>
  <w:style w:type="paragraph" w:customStyle="1" w:styleId="Abstrakjudul">
    <w:name w:val="Abstrak (judul)"/>
    <w:basedOn w:val="Abstrakisidankatakunci"/>
    <w:pPr>
      <w:jc w:val="center"/>
    </w:pPr>
    <w:rPr>
      <w:iCs/>
      <w:szCs w:val="20"/>
    </w:rPr>
  </w:style>
  <w:style w:type="paragraph" w:customStyle="1" w:styleId="Tanggal">
    <w:name w:val="Tanggal"/>
    <w:basedOn w:val="Normal"/>
    <w:pPr>
      <w:spacing w:before="240" w:after="240"/>
      <w:jc w:val="center"/>
    </w:pPr>
    <w:rPr>
      <w:lang w:val="sv-SE"/>
    </w:rPr>
  </w:style>
  <w:style w:type="character" w:customStyle="1" w:styleId="Red">
    <w:name w:val="Red"/>
    <w:rPr>
      <w:color w:val="FF000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Bagian">
    <w:name w:val="Bagian"/>
    <w:basedOn w:val="Normal"/>
    <w:pPr>
      <w:spacing w:before="240" w:after="60"/>
    </w:pPr>
    <w:rPr>
      <w:b/>
      <w:lang w:val="sv-SE"/>
    </w:rPr>
  </w:style>
  <w:style w:type="paragraph" w:customStyle="1" w:styleId="Paragrafbaru">
    <w:name w:val="Paragraf baru"/>
    <w:basedOn w:val="Normal"/>
    <w:pPr>
      <w:spacing w:before="120" w:after="120"/>
      <w:ind w:firstLine="284"/>
    </w:pPr>
    <w:rPr>
      <w:szCs w:val="20"/>
    </w:rPr>
  </w:style>
  <w:style w:type="paragraph" w:customStyle="1" w:styleId="Parafgraf">
    <w:name w:val="Parafgraf"/>
    <w:basedOn w:val="Normal"/>
    <w:link w:val="ParafgrafChar"/>
    <w:pPr>
      <w:spacing w:before="240" w:after="120"/>
    </w:pPr>
    <w:rPr>
      <w:lang w:val="sv-SE"/>
    </w:rPr>
  </w:style>
  <w:style w:type="character" w:customStyle="1" w:styleId="ParafgrafChar">
    <w:name w:val="Parafgraf Char"/>
    <w:link w:val="Parafgraf"/>
    <w:rPr>
      <w:rFonts w:ascii="Arial" w:eastAsia="MS Mincho" w:hAnsi="Arial"/>
      <w:szCs w:val="24"/>
      <w:lang w:val="sv-SE" w:eastAsia="ja-JP" w:bidi="ar-SA"/>
    </w:rPr>
  </w:style>
  <w:style w:type="paragraph" w:customStyle="1" w:styleId="Persamaan">
    <w:name w:val="Persamaan"/>
    <w:basedOn w:val="Normal"/>
    <w:pPr>
      <w:tabs>
        <w:tab w:val="center" w:pos="2155"/>
        <w:tab w:val="right" w:pos="4309"/>
      </w:tabs>
      <w:spacing w:after="120"/>
    </w:pPr>
  </w:style>
  <w:style w:type="paragraph" w:customStyle="1" w:styleId="Kutipan">
    <w:name w:val="Kutipan"/>
    <w:basedOn w:val="Normal"/>
    <w:link w:val="KutipanChar"/>
    <w:pPr>
      <w:spacing w:after="120"/>
      <w:ind w:left="284" w:right="284"/>
    </w:pPr>
    <w:rPr>
      <w:i/>
      <w:lang w:val="sv-SE"/>
    </w:rPr>
  </w:style>
  <w:style w:type="character" w:customStyle="1" w:styleId="KutipanChar">
    <w:name w:val="Kutipan Char"/>
    <w:link w:val="Kutipan"/>
    <w:rPr>
      <w:rFonts w:ascii="Arial" w:eastAsia="MS Mincho" w:hAnsi="Arial"/>
      <w:i/>
      <w:szCs w:val="24"/>
      <w:lang w:val="sv-SE" w:eastAsia="ja-JP" w:bidi="ar-SA"/>
    </w:rPr>
  </w:style>
  <w:style w:type="paragraph" w:customStyle="1" w:styleId="Keterangan">
    <w:name w:val="Keterangan"/>
    <w:basedOn w:val="Paragrafbaru"/>
    <w:pPr>
      <w:ind w:firstLine="0"/>
    </w:pPr>
    <w:rPr>
      <w:lang w:val="pt-BR"/>
    </w:rPr>
  </w:style>
  <w:style w:type="paragraph" w:customStyle="1" w:styleId="Gambar">
    <w:name w:val="Gambar"/>
    <w:basedOn w:val="Normal"/>
    <w:pPr>
      <w:spacing w:before="120" w:after="120"/>
      <w:jc w:val="center"/>
    </w:pPr>
  </w:style>
  <w:style w:type="paragraph" w:customStyle="1" w:styleId="Referensi">
    <w:name w:val="Referensi"/>
    <w:basedOn w:val="Normal"/>
    <w:pPr>
      <w:numPr>
        <w:numId w:val="1"/>
      </w:numPr>
      <w:spacing w:before="120" w:after="240"/>
      <w:contextualSpacing/>
    </w:pPr>
    <w:rPr>
      <w:lang w:val="pt-BR"/>
    </w:rPr>
  </w:style>
  <w:style w:type="paragraph" w:customStyle="1" w:styleId="Afiliasi">
    <w:name w:val="Afiliasi"/>
    <w:basedOn w:val="Normal"/>
    <w:qFormat/>
    <w:pPr>
      <w:spacing w:after="240"/>
      <w:contextualSpacing/>
    </w:pPr>
    <w:rPr>
      <w:sz w:val="18"/>
    </w:rPr>
  </w:style>
  <w:style w:type="character" w:customStyle="1" w:styleId="HeaderChar">
    <w:name w:val="Header Char"/>
    <w:link w:val="Header"/>
    <w:uiPriority w:val="99"/>
    <w:rPr>
      <w:rFonts w:ascii="Arial" w:hAnsi="Arial"/>
      <w:szCs w:val="24"/>
      <w:lang w:eastAsia="ja-JP"/>
    </w:rPr>
  </w:style>
  <w:style w:type="character" w:customStyle="1" w:styleId="FooterChar">
    <w:name w:val="Footer Char"/>
    <w:link w:val="Footer"/>
    <w:uiPriority w:val="99"/>
    <w:rPr>
      <w:rFonts w:ascii="Arial" w:hAnsi="Arial"/>
      <w:szCs w:val="24"/>
      <w:lang w:eastAsia="ja-JP"/>
    </w:rPr>
  </w:style>
  <w:style w:type="paragraph" w:styleId="Title">
    <w:name w:val="Title"/>
    <w:basedOn w:val="Normal"/>
    <w:next w:val="Normal"/>
    <w:link w:val="TitleChar"/>
    <w:uiPriority w:val="10"/>
    <w:qFormat/>
    <w:pPr>
      <w:adjustRightInd/>
      <w:snapToGrid/>
      <w:spacing w:after="200" w:line="360" w:lineRule="auto"/>
      <w:ind w:firstLine="567"/>
      <w:jc w:val="center"/>
    </w:pPr>
    <w:rPr>
      <w:rFonts w:ascii="Times New Roman" w:eastAsia="Times New Roman" w:hAnsi="Times New Roman"/>
      <w:b/>
      <w:noProof/>
      <w:color w:val="000000"/>
      <w:sz w:val="28"/>
      <w:szCs w:val="28"/>
      <w:lang w:val="id-ID"/>
    </w:rPr>
  </w:style>
  <w:style w:type="character" w:customStyle="1" w:styleId="TitleChar">
    <w:name w:val="Title Char"/>
    <w:link w:val="Title"/>
    <w:uiPriority w:val="10"/>
    <w:rPr>
      <w:rFonts w:eastAsia="Times New Roman"/>
      <w:b/>
      <w:noProof/>
      <w:color w:val="000000"/>
      <w:sz w:val="28"/>
      <w:szCs w:val="28"/>
      <w:lang w:val="id-ID"/>
    </w:rPr>
  </w:style>
  <w:style w:type="paragraph" w:styleId="ListParagraph">
    <w:name w:val="List Paragraph"/>
    <w:basedOn w:val="Normal"/>
    <w:link w:val="ListParagraphChar"/>
    <w:uiPriority w:val="1"/>
    <w:qFormat/>
    <w:pPr>
      <w:adjustRightInd/>
      <w:snapToGrid/>
      <w:spacing w:after="200" w:line="360" w:lineRule="auto"/>
      <w:ind w:left="720" w:firstLine="567"/>
      <w:contextualSpacing/>
    </w:pPr>
    <w:rPr>
      <w:rFonts w:ascii="Times New Roman" w:eastAsia="Times New Roman" w:hAnsi="Times New Roman"/>
      <w:noProof/>
      <w:color w:val="000000"/>
      <w:sz w:val="24"/>
      <w:lang w:val="id-ID" w:eastAsia="en-US"/>
    </w:rPr>
  </w:style>
  <w:style w:type="character" w:styleId="Hyperlink">
    <w:name w:val="Hyperlink"/>
    <w:uiPriority w:val="99"/>
    <w:rPr>
      <w:color w:val="0000FF"/>
      <w:u w:val="single"/>
    </w:rPr>
  </w:style>
  <w:style w:type="character" w:customStyle="1" w:styleId="ListParagraphChar">
    <w:name w:val="List Paragraph Char"/>
    <w:link w:val="ListParagraph"/>
    <w:uiPriority w:val="34"/>
    <w:rPr>
      <w:rFonts w:eastAsia="Times New Roman"/>
      <w:noProof/>
      <w:color w:val="000000"/>
      <w:sz w:val="24"/>
      <w:szCs w:val="24"/>
      <w:lang w:val="id-ID"/>
    </w:rPr>
  </w:style>
  <w:style w:type="table" w:styleId="TableGrid">
    <w:name w:val="Table Grid"/>
    <w:basedOn w:val="TableNormal"/>
    <w:uiPriority w:val="59"/>
    <w:rPr>
      <w:rFonts w:ascii="Calibri" w:eastAsia="Times New Roman" w:hAnsi="Calibri"/>
      <w:sz w:val="22"/>
      <w:szCs w:val="22"/>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niestil">
    <w:name w:val="Style nie...stil"/>
    <w:basedOn w:val="Heading2"/>
    <w:link w:val="StyleniestilChar"/>
    <w:qFormat/>
    <w:pPr>
      <w:keepLines/>
      <w:adjustRightInd/>
      <w:snapToGrid/>
      <w:spacing w:before="200" w:after="0" w:line="480" w:lineRule="auto"/>
      <w:jc w:val="left"/>
    </w:pPr>
    <w:rPr>
      <w:rFonts w:ascii="Times New Roman" w:hAnsi="Times New Roman"/>
      <w:bCs w:val="0"/>
      <w:i w:val="0"/>
      <w:iCs w:val="0"/>
      <w:sz w:val="24"/>
      <w:szCs w:val="24"/>
      <w:lang w:val="id-ID" w:eastAsia="id-ID"/>
    </w:rPr>
  </w:style>
  <w:style w:type="character" w:customStyle="1" w:styleId="StyleniestilChar">
    <w:name w:val="Style nie...stil Char"/>
    <w:link w:val="Styleniestil"/>
    <w:rPr>
      <w:rFonts w:ascii="Times New Roman" w:eastAsia="Times New Roman" w:hAnsi="Times New Roman" w:cs="Times New Roman"/>
      <w:b/>
      <w:bCs/>
      <w:i/>
      <w:iCs/>
      <w:sz w:val="24"/>
      <w:szCs w:val="24"/>
      <w:lang w:val="id-ID" w:eastAsia="id-ID"/>
    </w:rPr>
  </w:style>
  <w:style w:type="numbering" w:customStyle="1" w:styleId="Style3">
    <w:name w:val="Style3"/>
    <w:pPr>
      <w:numPr>
        <w:numId w:val="2"/>
      </w:numPr>
    </w:pPr>
  </w:style>
  <w:style w:type="character" w:customStyle="1" w:styleId="Heading2Char">
    <w:name w:val="Heading 2 Char"/>
    <w:link w:val="Heading2"/>
    <w:uiPriority w:val="9"/>
    <w:rPr>
      <w:rFonts w:ascii="Cambria" w:eastAsia="Times New Roman" w:hAnsi="Cambria" w:cs="Times New Roman"/>
      <w:b/>
      <w:bCs/>
      <w:i/>
      <w:iCs/>
      <w:sz w:val="28"/>
      <w:szCs w:val="28"/>
      <w:lang w:eastAsia="ja-JP"/>
    </w:rPr>
  </w:style>
  <w:style w:type="paragraph" w:styleId="BodyTextIndent">
    <w:name w:val="Body Text Indent"/>
    <w:basedOn w:val="Normal"/>
    <w:link w:val="BodyTextIndentChar"/>
    <w:uiPriority w:val="99"/>
    <w:pPr>
      <w:adjustRightInd/>
      <w:snapToGrid/>
      <w:ind w:left="567" w:firstLine="935"/>
    </w:pPr>
    <w:rPr>
      <w:rFonts w:ascii="Calibri" w:eastAsia="Times New Roman" w:hAnsi="Calibri"/>
      <w:bCs/>
      <w:sz w:val="24"/>
      <w:lang w:val="id-ID" w:eastAsia="id-ID"/>
    </w:rPr>
  </w:style>
  <w:style w:type="character" w:customStyle="1" w:styleId="BodyTextIndentChar">
    <w:name w:val="Body Text Indent Char"/>
    <w:link w:val="BodyTextIndent"/>
    <w:uiPriority w:val="99"/>
    <w:rPr>
      <w:rFonts w:ascii="Calibri" w:eastAsia="Times New Roman" w:hAnsi="Calibri"/>
      <w:bCs/>
      <w:sz w:val="24"/>
      <w:szCs w:val="24"/>
      <w:lang w:val="id-ID" w:eastAsia="id-ID"/>
    </w:rPr>
  </w:style>
  <w:style w:type="paragraph" w:styleId="NormalWeb">
    <w:name w:val="Normal (Web)"/>
    <w:basedOn w:val="Normal"/>
    <w:uiPriority w:val="99"/>
    <w:pPr>
      <w:adjustRightInd/>
      <w:snapToGrid/>
      <w:spacing w:before="100" w:beforeAutospacing="1" w:after="100" w:afterAutospacing="1"/>
      <w:jc w:val="left"/>
    </w:pPr>
    <w:rPr>
      <w:rFonts w:ascii="Times New Roman" w:eastAsia="Times New Roman" w:hAnsi="Times New Roman"/>
      <w:sz w:val="24"/>
      <w:lang w:eastAsia="en-US"/>
    </w:rPr>
  </w:style>
  <w:style w:type="paragraph" w:customStyle="1" w:styleId="Default">
    <w:name w:val="Default"/>
    <w:pPr>
      <w:autoSpaceDE w:val="0"/>
      <w:autoSpaceDN w:val="0"/>
      <w:adjustRightInd w:val="0"/>
    </w:pPr>
    <w:rPr>
      <w:rFonts w:eastAsia="Calibri"/>
      <w:color w:val="000000"/>
      <w:sz w:val="24"/>
      <w:szCs w:val="24"/>
    </w:rPr>
  </w:style>
  <w:style w:type="paragraph" w:styleId="BodyText">
    <w:name w:val="Body Text"/>
    <w:basedOn w:val="Normal"/>
    <w:link w:val="BodyTextChar"/>
    <w:uiPriority w:val="1"/>
    <w:qFormat/>
    <w:pPr>
      <w:adjustRightInd/>
      <w:snapToGrid/>
      <w:spacing w:after="120"/>
      <w:jc w:val="left"/>
    </w:pPr>
    <w:rPr>
      <w:rFonts w:ascii="Garamond" w:eastAsia="Times New Roman" w:hAnsi="Garamond" w:cs="Garamond"/>
      <w:sz w:val="24"/>
      <w:lang w:eastAsia="en-US"/>
    </w:rPr>
  </w:style>
  <w:style w:type="character" w:customStyle="1" w:styleId="BodyTextChar">
    <w:name w:val="Body Text Char"/>
    <w:link w:val="BodyText"/>
    <w:uiPriority w:val="99"/>
    <w:rPr>
      <w:rFonts w:ascii="Garamond" w:eastAsia="Times New Roman" w:hAnsi="Garamond" w:cs="Garamond"/>
      <w:sz w:val="24"/>
      <w:szCs w:val="24"/>
      <w:lang w:val="en-US" w:eastAsia="en-US"/>
    </w:rPr>
  </w:style>
  <w:style w:type="paragraph" w:styleId="NoSpacing">
    <w:name w:val="No Spacing"/>
    <w:link w:val="NoSpacingChar"/>
    <w:uiPriority w:val="1"/>
    <w:qFormat/>
    <w:rPr>
      <w:rFonts w:ascii="Calibri" w:eastAsia="Calibri" w:hAnsi="Calibri"/>
      <w:sz w:val="22"/>
      <w:szCs w:val="22"/>
      <w:lang w:val="id-ID"/>
    </w:rPr>
  </w:style>
  <w:style w:type="character" w:customStyle="1" w:styleId="NoSpacingChar">
    <w:name w:val="No Spacing Char"/>
    <w:link w:val="NoSpacing"/>
    <w:uiPriority w:val="1"/>
    <w:rPr>
      <w:rFonts w:ascii="Calibri" w:eastAsia="Calibri" w:hAnsi="Calibri"/>
      <w:sz w:val="22"/>
      <w:szCs w:val="22"/>
      <w:lang w:eastAsia="en-US"/>
    </w:rPr>
  </w:style>
  <w:style w:type="character" w:customStyle="1" w:styleId="longtext">
    <w:name w:val="long_text"/>
  </w:style>
  <w:style w:type="character" w:customStyle="1" w:styleId="shorttext">
    <w:name w:val="short_text"/>
  </w:style>
  <w:style w:type="numbering" w:customStyle="1" w:styleId="NoList1">
    <w:name w:val="No List1"/>
    <w:next w:val="NoList"/>
    <w:uiPriority w:val="99"/>
  </w:style>
  <w:style w:type="table" w:customStyle="1" w:styleId="TableGrid1">
    <w:name w:val="Table Grid1"/>
    <w:basedOn w:val="TableNormal"/>
    <w:next w:val="TableGrid"/>
    <w:uiPriority w:val="59"/>
    <w:pPr>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pPr>
      <w:adjustRightInd/>
      <w:snapToGrid/>
      <w:jc w:val="left"/>
    </w:pPr>
    <w:rPr>
      <w:rFonts w:ascii="Tahoma" w:eastAsia="Times New Roman" w:hAnsi="Tahoma" w:cs="Tahoma"/>
      <w:sz w:val="16"/>
      <w:szCs w:val="16"/>
      <w:lang w:eastAsia="en-US"/>
    </w:rPr>
  </w:style>
  <w:style w:type="character" w:customStyle="1" w:styleId="BalloonTextChar">
    <w:name w:val="Balloon Text Char"/>
    <w:link w:val="BalloonText"/>
    <w:uiPriority w:val="99"/>
    <w:rPr>
      <w:rFonts w:ascii="Tahoma" w:eastAsia="Times New Roman" w:hAnsi="Tahoma" w:cs="Tahoma"/>
      <w:sz w:val="16"/>
      <w:szCs w:val="16"/>
      <w:lang w:val="en-US" w:eastAsia="en-US"/>
    </w:rPr>
  </w:style>
  <w:style w:type="paragraph" w:styleId="BodyTextIndent2">
    <w:name w:val="Body Text Indent 2"/>
    <w:basedOn w:val="Normal"/>
    <w:link w:val="BodyTextIndent2Char"/>
    <w:pPr>
      <w:adjustRightInd/>
      <w:snapToGrid/>
      <w:spacing w:after="120" w:line="480" w:lineRule="auto"/>
      <w:ind w:left="283"/>
      <w:jc w:val="left"/>
    </w:pPr>
    <w:rPr>
      <w:rFonts w:ascii="Calibri" w:eastAsia="Times New Roman" w:hAnsi="Calibri" w:cs="Arial"/>
      <w:sz w:val="22"/>
      <w:szCs w:val="22"/>
      <w:lang w:eastAsia="en-US"/>
    </w:rPr>
  </w:style>
  <w:style w:type="character" w:customStyle="1" w:styleId="BodyTextIndent2Char">
    <w:name w:val="Body Text Indent 2 Char"/>
    <w:link w:val="BodyTextIndent2"/>
    <w:rPr>
      <w:rFonts w:ascii="Calibri" w:eastAsia="Times New Roman" w:hAnsi="Calibri" w:cs="Arial"/>
      <w:sz w:val="22"/>
      <w:szCs w:val="22"/>
      <w:lang w:val="en-US" w:eastAsia="en-US"/>
    </w:rPr>
  </w:style>
  <w:style w:type="character" w:styleId="PlaceholderText">
    <w:name w:val="Placeholder Text"/>
    <w:uiPriority w:val="99"/>
    <w:rPr>
      <w:color w:val="808080"/>
    </w:rPr>
  </w:style>
  <w:style w:type="paragraph" w:customStyle="1" w:styleId="msonospacing0">
    <w:name w:val="msonospacing"/>
    <w:pPr>
      <w:jc w:val="both"/>
    </w:pPr>
    <w:rPr>
      <w:rFonts w:ascii="Calibri" w:eastAsia="Times New Roman" w:hAnsi="Calibri" w:cs="Calibri"/>
      <w:sz w:val="22"/>
      <w:szCs w:val="22"/>
    </w:rPr>
  </w:style>
  <w:style w:type="character" w:styleId="FollowedHyperlink">
    <w:name w:val="FollowedHyperlink"/>
    <w:uiPriority w:val="99"/>
    <w:rPr>
      <w:color w:val="800080"/>
      <w:u w:val="single"/>
    </w:rPr>
  </w:style>
  <w:style w:type="character" w:styleId="BookTitle">
    <w:name w:val="Book Title"/>
    <w:uiPriority w:val="33"/>
    <w:qFormat/>
    <w:rPr>
      <w:b/>
      <w:bCs/>
      <w:smallCaps/>
      <w:spacing w:val="5"/>
    </w:rPr>
  </w:style>
  <w:style w:type="numbering" w:customStyle="1" w:styleId="NoList2">
    <w:name w:val="No List2"/>
    <w:next w:val="NoList"/>
    <w:uiPriority w:val="99"/>
  </w:style>
  <w:style w:type="table" w:customStyle="1" w:styleId="TableGrid2">
    <w:name w:val="Table Grid2"/>
    <w:basedOn w:val="TableNormal"/>
    <w:next w:val="TableGrid"/>
    <w:uiPriority w:val="59"/>
    <w:pPr>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pPr>
      <w:adjustRightInd/>
      <w:snapToGrid/>
      <w:jc w:val="left"/>
    </w:pPr>
    <w:rPr>
      <w:rFonts w:ascii="Calibri" w:eastAsia="Calibri" w:hAnsi="Calibri"/>
      <w:szCs w:val="20"/>
      <w:lang w:eastAsia="en-US"/>
    </w:rPr>
  </w:style>
  <w:style w:type="character" w:customStyle="1" w:styleId="FootnoteTextChar">
    <w:name w:val="Footnote Text Char"/>
    <w:link w:val="FootnoteText"/>
    <w:uiPriority w:val="99"/>
    <w:rPr>
      <w:rFonts w:ascii="Calibri" w:eastAsia="Calibri" w:hAnsi="Calibri"/>
      <w:lang w:val="en-US" w:eastAsia="en-US"/>
    </w:rPr>
  </w:style>
  <w:style w:type="character" w:styleId="FootnoteReference">
    <w:name w:val="footnote reference"/>
    <w:uiPriority w:val="99"/>
    <w:rPr>
      <w:vertAlign w:val="superscript"/>
    </w:rPr>
  </w:style>
  <w:style w:type="paragraph" w:styleId="DocumentMap">
    <w:name w:val="Document Map"/>
    <w:basedOn w:val="Normal"/>
    <w:link w:val="DocumentMapChar"/>
    <w:uiPriority w:val="99"/>
    <w:pPr>
      <w:adjustRightInd/>
      <w:snapToGrid/>
      <w:jc w:val="left"/>
    </w:pPr>
    <w:rPr>
      <w:rFonts w:ascii="Tahoma" w:eastAsia="Calibri" w:hAnsi="Tahoma" w:cs="Tahoma"/>
      <w:sz w:val="16"/>
      <w:szCs w:val="16"/>
      <w:lang w:eastAsia="en-US"/>
    </w:rPr>
  </w:style>
  <w:style w:type="character" w:customStyle="1" w:styleId="DocumentMapChar">
    <w:name w:val="Document Map Char"/>
    <w:link w:val="DocumentMap"/>
    <w:uiPriority w:val="99"/>
    <w:rPr>
      <w:rFonts w:ascii="Tahoma" w:eastAsia="Calibri" w:hAnsi="Tahoma" w:cs="Tahoma"/>
      <w:sz w:val="16"/>
      <w:szCs w:val="16"/>
      <w:lang w:val="en-US" w:eastAsia="en-US"/>
    </w:rPr>
  </w:style>
  <w:style w:type="numbering" w:customStyle="1" w:styleId="NoList3">
    <w:name w:val="No List3"/>
    <w:next w:val="NoList"/>
    <w:uiPriority w:val="99"/>
  </w:style>
  <w:style w:type="table" w:customStyle="1" w:styleId="TableGrid3">
    <w:name w:val="Table Grid3"/>
    <w:basedOn w:val="TableNormal"/>
    <w:next w:val="TableGrid"/>
    <w:uiPriority w:val="59"/>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ullpost">
    <w:name w:val="fullpost"/>
  </w:style>
  <w:style w:type="table" w:styleId="LightShading">
    <w:name w:val="Light Shading"/>
    <w:basedOn w:val="TableNormal"/>
    <w:uiPriority w:val="60"/>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Pr>
      <w:rFonts w:eastAsia="Times New Roman"/>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customStyle="1" w:styleId="Heading3Char">
    <w:name w:val="Heading 3 Char"/>
    <w:link w:val="Heading3"/>
    <w:uiPriority w:val="9"/>
    <w:rPr>
      <w:rFonts w:eastAsia="Times New Roman"/>
      <w:b/>
      <w:bCs/>
      <w:i/>
      <w:sz w:val="24"/>
      <w:szCs w:val="24"/>
      <w:lang w:val="en-US" w:eastAsia="en-US"/>
    </w:rPr>
  </w:style>
  <w:style w:type="paragraph" w:styleId="TOC1">
    <w:name w:val="toc 1"/>
    <w:basedOn w:val="Normal"/>
    <w:uiPriority w:val="1"/>
    <w:qFormat/>
    <w:pPr>
      <w:widowControl w:val="0"/>
      <w:adjustRightInd/>
      <w:snapToGrid/>
      <w:spacing w:before="136"/>
      <w:ind w:left="588"/>
      <w:jc w:val="left"/>
    </w:pPr>
    <w:rPr>
      <w:rFonts w:ascii="Times New Roman" w:eastAsia="Times New Roman" w:hAnsi="Times New Roman"/>
      <w:b/>
      <w:bCs/>
      <w:sz w:val="24"/>
      <w:lang w:eastAsia="en-US"/>
    </w:rPr>
  </w:style>
  <w:style w:type="paragraph" w:styleId="TOC2">
    <w:name w:val="toc 2"/>
    <w:basedOn w:val="Normal"/>
    <w:uiPriority w:val="1"/>
    <w:qFormat/>
    <w:pPr>
      <w:widowControl w:val="0"/>
      <w:adjustRightInd/>
      <w:snapToGrid/>
      <w:spacing w:before="136"/>
      <w:ind w:left="1669" w:hanging="360"/>
      <w:jc w:val="left"/>
    </w:pPr>
    <w:rPr>
      <w:rFonts w:ascii="Times New Roman" w:eastAsia="Times New Roman" w:hAnsi="Times New Roman"/>
      <w:sz w:val="24"/>
      <w:lang w:eastAsia="en-US"/>
    </w:rPr>
  </w:style>
  <w:style w:type="paragraph" w:customStyle="1" w:styleId="TableParagraph">
    <w:name w:val="Table Paragraph"/>
    <w:basedOn w:val="Normal"/>
    <w:uiPriority w:val="1"/>
    <w:qFormat/>
    <w:pPr>
      <w:widowControl w:val="0"/>
      <w:adjustRightInd/>
      <w:snapToGrid/>
      <w:jc w:val="left"/>
    </w:pPr>
    <w:rPr>
      <w:rFonts w:ascii="Calibri" w:eastAsia="Calibri" w:hAnsi="Calibri"/>
      <w:sz w:val="22"/>
      <w:szCs w:val="22"/>
      <w:lang w:eastAsia="en-US"/>
    </w:rPr>
  </w:style>
  <w:style w:type="character" w:customStyle="1" w:styleId="Heading4Char">
    <w:name w:val="Heading 4 Char"/>
    <w:link w:val="Heading4"/>
    <w:uiPriority w:val="9"/>
    <w:rPr>
      <w:rFonts w:ascii="Calibri" w:eastAsia="Times New Roman" w:hAnsi="Calibri"/>
      <w:b/>
      <w:bCs/>
      <w:sz w:val="28"/>
      <w:szCs w:val="28"/>
      <w:lang w:val="en-US" w:eastAsia="en-US"/>
    </w:rPr>
  </w:style>
  <w:style w:type="character" w:customStyle="1" w:styleId="Heading5Char">
    <w:name w:val="Heading 5 Char"/>
    <w:link w:val="Heading5"/>
    <w:uiPriority w:val="9"/>
    <w:rPr>
      <w:rFonts w:ascii="Calibri" w:eastAsia="Times New Roman" w:hAnsi="Calibri"/>
      <w:b/>
      <w:bCs/>
      <w:i/>
      <w:iCs/>
      <w:sz w:val="26"/>
      <w:szCs w:val="26"/>
      <w:lang w:val="en-US" w:eastAsia="en-US"/>
    </w:rPr>
  </w:style>
  <w:style w:type="character" w:customStyle="1" w:styleId="Heading6Char">
    <w:name w:val="Heading 6 Char"/>
    <w:link w:val="Heading6"/>
    <w:rPr>
      <w:rFonts w:eastAsia="Times New Roman"/>
      <w:b/>
      <w:bCs/>
      <w:sz w:val="22"/>
      <w:szCs w:val="22"/>
      <w:lang w:val="en-US" w:eastAsia="en-US"/>
    </w:rPr>
  </w:style>
  <w:style w:type="character" w:customStyle="1" w:styleId="Heading7Char">
    <w:name w:val="Heading 7 Char"/>
    <w:link w:val="Heading7"/>
    <w:uiPriority w:val="9"/>
    <w:rPr>
      <w:rFonts w:ascii="Calibri" w:eastAsia="Times New Roman" w:hAnsi="Calibri"/>
      <w:sz w:val="24"/>
      <w:szCs w:val="24"/>
      <w:lang w:val="en-US" w:eastAsia="en-US"/>
    </w:rPr>
  </w:style>
  <w:style w:type="character" w:customStyle="1" w:styleId="Heading8Char">
    <w:name w:val="Heading 8 Char"/>
    <w:link w:val="Heading8"/>
    <w:uiPriority w:val="9"/>
    <w:rPr>
      <w:rFonts w:ascii="Calibri" w:eastAsia="Times New Roman" w:hAnsi="Calibri"/>
      <w:i/>
      <w:iCs/>
      <w:sz w:val="24"/>
      <w:szCs w:val="24"/>
      <w:lang w:val="en-US" w:eastAsia="en-US"/>
    </w:rPr>
  </w:style>
  <w:style w:type="character" w:customStyle="1" w:styleId="Heading9Char">
    <w:name w:val="Heading 9 Char"/>
    <w:link w:val="Heading9"/>
    <w:uiPriority w:val="9"/>
    <w:rPr>
      <w:rFonts w:ascii="Cambria" w:eastAsia="Times New Roman" w:hAnsi="Cambria"/>
      <w:sz w:val="22"/>
      <w:szCs w:val="22"/>
      <w:lang w:val="en-US" w:eastAsia="en-US"/>
    </w:rPr>
  </w:style>
  <w:style w:type="numbering" w:customStyle="1" w:styleId="NoList4">
    <w:name w:val="No List4"/>
    <w:next w:val="NoList"/>
    <w:uiPriority w:val="99"/>
  </w:style>
  <w:style w:type="character" w:customStyle="1" w:styleId="UnresolvedMention1">
    <w:name w:val="Unresolved Mention1"/>
    <w:basedOn w:val="DefaultParagraphFont"/>
    <w:uiPriority w:val="99"/>
    <w:rPr>
      <w:color w:val="605E5C"/>
      <w:shd w:val="clear" w:color="auto" w:fill="E1DFDD"/>
    </w:rPr>
  </w:style>
  <w:style w:type="paragraph" w:styleId="CommentText">
    <w:name w:val="annotation text"/>
    <w:basedOn w:val="Normal"/>
    <w:link w:val="CommentTextChar"/>
    <w:uiPriority w:val="99"/>
    <w:semiHidden/>
    <w:unhideWhenUsed/>
    <w:rPr>
      <w:szCs w:val="20"/>
    </w:rPr>
  </w:style>
  <w:style w:type="character" w:customStyle="1" w:styleId="CommentTextChar">
    <w:name w:val="Comment Text Char"/>
    <w:basedOn w:val="DefaultParagraphFont"/>
    <w:link w:val="CommentText"/>
    <w:uiPriority w:val="99"/>
    <w:semiHidden/>
    <w:rPr>
      <w:rFonts w:ascii="Arial" w:hAnsi="Arial"/>
      <w:lang w:eastAsia="ja-JP"/>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jpe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jpe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0BF355A6-F2E2-40EA-A70D-D1DCFA8828DD}">
  <ds:schemaRefs>
    <ds:schemaRef ds:uri="http://www.wps.cn/android/officeDocument/2013/mofficeCustomData"/>
  </ds:schemaRefs>
</ds:datastoreItem>
</file>

<file path=customXml/itemProps2.xml><?xml version="1.0" encoding="utf-8"?>
<ds:datastoreItem xmlns:ds="http://schemas.openxmlformats.org/officeDocument/2006/customXml" ds:itemID="{35374ABC-A366-410E-A189-8E1623CF9051}">
  <ds:schemaRefs>
    <ds:schemaRef ds:uri="http://www.wps.cn/android/officeDocument/2013/mofficeCustomData"/>
  </ds:schemaRefs>
</ds:datastoreItem>
</file>

<file path=customXml/itemProps3.xml><?xml version="1.0" encoding="utf-8"?>
<ds:datastoreItem xmlns:ds="http://schemas.openxmlformats.org/officeDocument/2006/customXml" ds:itemID="{1CC0BC5B-9AE2-43D8-B81E-B40CC0CD9C8E}">
  <ds:schemaRefs>
    <ds:schemaRef ds:uri="http://www.wps.cn/android/officeDocument/2013/mofficeCustomData"/>
  </ds:schemaRefs>
</ds:datastoreItem>
</file>

<file path=customXml/itemProps4.xml><?xml version="1.0" encoding="utf-8"?>
<ds:datastoreItem xmlns:ds="http://schemas.openxmlformats.org/officeDocument/2006/customXml" ds:itemID="{594DA989-3AAF-4B12-82E2-1EF66EA2B711}">
  <ds:schemaRefs>
    <ds:schemaRef ds:uri="http://schemas.openxmlformats.org/officeDocument/2006/bibliography"/>
  </ds:schemaRefs>
</ds:datastoreItem>
</file>

<file path=customXml/itemProps5.xml><?xml version="1.0" encoding="utf-8"?>
<ds:datastoreItem xmlns:ds="http://schemas.openxmlformats.org/officeDocument/2006/customXml" ds:itemID="{0860FE55-4820-4E09-8BF8-945E9555B01D}">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14055</Words>
  <Characters>80119</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
    </vt:vector>
  </TitlesOfParts>
  <Company>Rumah</Company>
  <LinksUpToDate>false</LinksUpToDate>
  <CharactersWithSpaces>93987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Ayah</dc:creator>
  <cp:lastModifiedBy>WINDOWS 10</cp:lastModifiedBy>
  <cp:revision>3</cp:revision>
  <cp:lastPrinted>2024-06-04T15:49:00Z</cp:lastPrinted>
  <dcterms:created xsi:type="dcterms:W3CDTF">2024-06-04T15:49:00Z</dcterms:created>
  <dcterms:modified xsi:type="dcterms:W3CDTF">2024-06-04T15:55:00Z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34d30d63-6e0c-384b-b71a-92bb28bcaf33</vt:lpwstr>
  </property>
  <property fmtid="{D5CDD505-2E9C-101B-9397-08002B2CF9AE}" pid="4" name="Mendeley Citation Style_1">
    <vt:lpwstr>http://www.zotero.org/styles/apa-6th-edition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http://www.zotero.org/styles/elsevier-harvard</vt:lpwstr>
  </property>
  <property fmtid="{D5CDD505-2E9C-101B-9397-08002B2CF9AE}" pid="20" name="Mendeley Recent Style Name 7_1">
    <vt:lpwstr>Elsevier - Harvard (with titles)</vt:lpwstr>
  </property>
  <property fmtid="{D5CDD505-2E9C-101B-9397-08002B2CF9AE}" pid="21" name="Mendeley Recent Style Id 8_1">
    <vt:lpwstr>http://www.zotero.org/styles/emerald-harvard</vt:lpwstr>
  </property>
  <property fmtid="{D5CDD505-2E9C-101B-9397-08002B2CF9AE}" pid="22" name="Mendeley Recent Style Name 8_1">
    <vt:lpwstr>Emerald - Harvard</vt:lpwstr>
  </property>
  <property fmtid="{D5CDD505-2E9C-101B-9397-08002B2CF9AE}" pid="23" name="Mendeley Recent Style Id 9_1">
    <vt:lpwstr>http://www.zotero.org/styles/institut-pertanian-bogor</vt:lpwstr>
  </property>
  <property fmtid="{D5CDD505-2E9C-101B-9397-08002B2CF9AE}" pid="24" name="Mendeley Recent Style Name 9_1">
    <vt:lpwstr>Institut Pertanian Bogor: Pedoman Penulisan Karya Ilmiah Edisi ke-4 (Indonesian)</vt:lpwstr>
  </property>
  <property fmtid="{D5CDD505-2E9C-101B-9397-08002B2CF9AE}" pid="25" name="ICV">
    <vt:lpwstr>b9401fbe0905437fbcbbf680234bda5c</vt:lpwstr>
  </property>
</Properties>
</file>