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4A5A1" w14:textId="3F25B026" w:rsidR="00142F8A" w:rsidRDefault="000247A3" w:rsidP="00F532EC">
      <w:pPr>
        <w:keepNext/>
        <w:pBdr>
          <w:top w:val="nil"/>
          <w:left w:val="nil"/>
          <w:bottom w:val="nil"/>
          <w:right w:val="nil"/>
          <w:between w:val="nil"/>
        </w:pBdr>
        <w:shd w:val="clear" w:color="auto" w:fill="FFFFFF" w:themeFill="background1"/>
        <w:rPr>
          <w:rFonts w:ascii="Palatino Linotype" w:eastAsia="Palatino Linotype" w:hAnsi="Palatino Linotype" w:cs="Palatino Linotype"/>
          <w:b/>
          <w:bCs/>
          <w:color w:val="000000"/>
          <w:sz w:val="26"/>
          <w:szCs w:val="26"/>
        </w:rPr>
      </w:pPr>
      <w:r w:rsidRPr="00F532EC">
        <w:rPr>
          <w:rFonts w:ascii="Palatino Linotype" w:eastAsia="Palatino Linotype" w:hAnsi="Palatino Linotype" w:cs="Palatino Linotype"/>
          <w:b/>
          <w:bCs/>
          <w:color w:val="000000"/>
          <w:sz w:val="26"/>
          <w:szCs w:val="26"/>
        </w:rPr>
        <w:t xml:space="preserve">Optimalisasi </w:t>
      </w:r>
      <w:r w:rsidR="00F532EC" w:rsidRPr="00F532EC">
        <w:rPr>
          <w:rFonts w:ascii="Palatino Linotype" w:eastAsia="Palatino Linotype" w:hAnsi="Palatino Linotype" w:cs="Palatino Linotype"/>
          <w:b/>
          <w:bCs/>
          <w:color w:val="000000"/>
          <w:sz w:val="26"/>
          <w:szCs w:val="26"/>
        </w:rPr>
        <w:t>usaha tani cabai di</w:t>
      </w:r>
      <w:r w:rsidRPr="00F532EC">
        <w:rPr>
          <w:rFonts w:ascii="Palatino Linotype" w:eastAsia="Palatino Linotype" w:hAnsi="Palatino Linotype" w:cs="Palatino Linotype"/>
          <w:b/>
          <w:bCs/>
          <w:color w:val="000000"/>
          <w:sz w:val="26"/>
          <w:szCs w:val="26"/>
        </w:rPr>
        <w:t xml:space="preserve"> Desa Tanjung Baru melalui </w:t>
      </w:r>
      <w:r w:rsidR="00F532EC" w:rsidRPr="00F532EC">
        <w:rPr>
          <w:rFonts w:ascii="Palatino Linotype" w:eastAsia="Palatino Linotype" w:hAnsi="Palatino Linotype" w:cs="Palatino Linotype"/>
          <w:b/>
          <w:bCs/>
          <w:color w:val="000000"/>
          <w:sz w:val="26"/>
          <w:szCs w:val="26"/>
        </w:rPr>
        <w:t xml:space="preserve">integrasi </w:t>
      </w:r>
      <w:r w:rsidRPr="00F532EC">
        <w:rPr>
          <w:rFonts w:ascii="Palatino Linotype" w:eastAsia="Palatino Linotype" w:hAnsi="Palatino Linotype" w:cs="Palatino Linotype"/>
          <w:b/>
          <w:bCs/>
          <w:color w:val="000000"/>
          <w:sz w:val="26"/>
          <w:szCs w:val="26"/>
        </w:rPr>
        <w:t xml:space="preserve">Biohayati PGPR dan </w:t>
      </w:r>
      <w:r w:rsidR="00024C69" w:rsidRPr="00F532EC">
        <w:rPr>
          <w:rFonts w:ascii="Palatino Linotype" w:eastAsia="Palatino Linotype" w:hAnsi="Palatino Linotype" w:cs="Palatino Linotype"/>
          <w:b/>
          <w:bCs/>
          <w:i/>
          <w:iCs/>
          <w:color w:val="000000"/>
          <w:sz w:val="26"/>
          <w:szCs w:val="26"/>
        </w:rPr>
        <w:t>Trichoderma</w:t>
      </w:r>
      <w:r w:rsidRPr="00F532EC">
        <w:rPr>
          <w:rFonts w:ascii="Palatino Linotype" w:eastAsia="Palatino Linotype" w:hAnsi="Palatino Linotype" w:cs="Palatino Linotype"/>
          <w:b/>
          <w:bCs/>
          <w:color w:val="000000"/>
          <w:sz w:val="26"/>
          <w:szCs w:val="26"/>
        </w:rPr>
        <w:t xml:space="preserve"> </w:t>
      </w:r>
      <w:r w:rsidR="00FF1701" w:rsidRPr="00F532EC">
        <w:rPr>
          <w:rFonts w:ascii="Palatino Linotype" w:eastAsia="Palatino Linotype" w:hAnsi="Palatino Linotype" w:cs="Palatino Linotype"/>
          <w:b/>
          <w:bCs/>
          <w:color w:val="000000"/>
          <w:sz w:val="26"/>
          <w:szCs w:val="26"/>
        </w:rPr>
        <w:t xml:space="preserve">sp. </w:t>
      </w:r>
      <w:r w:rsidRPr="00F532EC">
        <w:rPr>
          <w:rFonts w:ascii="Palatino Linotype" w:eastAsia="Palatino Linotype" w:hAnsi="Palatino Linotype" w:cs="Palatino Linotype"/>
          <w:b/>
          <w:bCs/>
          <w:color w:val="000000"/>
          <w:sz w:val="26"/>
          <w:szCs w:val="26"/>
        </w:rPr>
        <w:t xml:space="preserve">serta </w:t>
      </w:r>
      <w:r w:rsidR="00F532EC" w:rsidRPr="00F532EC">
        <w:rPr>
          <w:rFonts w:ascii="Palatino Linotype" w:eastAsia="Palatino Linotype" w:hAnsi="Palatino Linotype" w:cs="Palatino Linotype"/>
          <w:b/>
          <w:bCs/>
          <w:color w:val="000000"/>
          <w:sz w:val="26"/>
          <w:szCs w:val="26"/>
        </w:rPr>
        <w:t>diversifikasi produk olahan untuk mendukung ketahanan pangan</w:t>
      </w:r>
    </w:p>
    <w:p w14:paraId="70E699DC" w14:textId="77777777" w:rsidR="00F532EC" w:rsidRPr="00F532EC" w:rsidRDefault="00F532EC" w:rsidP="00F532EC">
      <w:pPr>
        <w:keepNext/>
        <w:pBdr>
          <w:top w:val="nil"/>
          <w:left w:val="nil"/>
          <w:bottom w:val="nil"/>
          <w:right w:val="nil"/>
          <w:between w:val="nil"/>
        </w:pBdr>
        <w:shd w:val="clear" w:color="auto" w:fill="FFFFFF" w:themeFill="background1"/>
        <w:rPr>
          <w:rFonts w:ascii="Palatino Linotype" w:eastAsia="Palatino Linotype" w:hAnsi="Palatino Linotype" w:cs="Palatino Linotype"/>
          <w:b/>
          <w:bCs/>
          <w:color w:val="000000"/>
          <w:sz w:val="26"/>
          <w:szCs w:val="26"/>
        </w:rPr>
      </w:pPr>
    </w:p>
    <w:p w14:paraId="5D8EDB82" w14:textId="46A2147C" w:rsidR="00F532EC" w:rsidRPr="00F532EC" w:rsidRDefault="00F532EC" w:rsidP="00F532EC">
      <w:pPr>
        <w:pBdr>
          <w:top w:val="nil"/>
          <w:left w:val="nil"/>
          <w:bottom w:val="nil"/>
          <w:right w:val="nil"/>
          <w:between w:val="nil"/>
        </w:pBdr>
        <w:shd w:val="clear" w:color="auto" w:fill="FFFFFF" w:themeFill="background1"/>
        <w:rPr>
          <w:rFonts w:ascii="Palatino Linotype" w:eastAsia="Palatino Linotype" w:hAnsi="Palatino Linotype" w:cs="Palatino Linotype"/>
          <w:b/>
          <w:bCs/>
        </w:rPr>
      </w:pPr>
      <w:r w:rsidRPr="00F532EC">
        <w:rPr>
          <w:rFonts w:ascii="Palatino Linotype" w:eastAsia="Palatino Linotype" w:hAnsi="Palatino Linotype" w:cs="Palatino Linotype"/>
          <w:b/>
          <w:bCs/>
          <w:color w:val="000000"/>
        </w:rPr>
        <w:t>Fitri Ramadhani</w:t>
      </w:r>
      <w:r w:rsidRPr="00F532EC">
        <w:rPr>
          <w:rFonts w:ascii="Palatino Linotype" w:eastAsia="Palatino Linotype" w:hAnsi="Palatino Linotype" w:cs="Palatino Linotype"/>
          <w:b/>
          <w:bCs/>
          <w:color w:val="000000"/>
          <w:vertAlign w:val="superscript"/>
        </w:rPr>
        <w:t>1</w:t>
      </w:r>
      <w:r w:rsidRPr="00F532EC">
        <w:rPr>
          <w:rFonts w:ascii="Palatino Linotype" w:eastAsia="Palatino Linotype" w:hAnsi="Palatino Linotype" w:cs="Palatino Linotype"/>
          <w:b/>
          <w:bCs/>
          <w:color w:val="000000"/>
        </w:rPr>
        <w:t>, Marlin Sefrila</w:t>
      </w:r>
      <w:r w:rsidRPr="00F532EC">
        <w:rPr>
          <w:rFonts w:ascii="Palatino Linotype" w:eastAsia="Palatino Linotype" w:hAnsi="Palatino Linotype" w:cs="Palatino Linotype"/>
          <w:b/>
          <w:bCs/>
          <w:color w:val="000000"/>
          <w:vertAlign w:val="superscript"/>
        </w:rPr>
        <w:t>2</w:t>
      </w:r>
      <w:r w:rsidRPr="00F532EC">
        <w:rPr>
          <w:rFonts w:ascii="Palatino Linotype" w:eastAsia="Palatino Linotype" w:hAnsi="Palatino Linotype" w:cs="Palatino Linotype"/>
          <w:b/>
          <w:bCs/>
          <w:color w:val="000000"/>
        </w:rPr>
        <w:t>, Fatria Resti Haryani</w:t>
      </w:r>
      <w:r w:rsidRPr="00F532EC">
        <w:rPr>
          <w:rFonts w:ascii="Palatino Linotype" w:eastAsia="Palatino Linotype" w:hAnsi="Palatino Linotype" w:cs="Palatino Linotype"/>
          <w:b/>
          <w:bCs/>
          <w:color w:val="000000"/>
          <w:vertAlign w:val="superscript"/>
        </w:rPr>
        <w:t>3</w:t>
      </w:r>
      <w:r w:rsidRPr="00F532EC">
        <w:rPr>
          <w:rFonts w:ascii="Palatino Linotype" w:eastAsia="Palatino Linotype" w:hAnsi="Palatino Linotype" w:cs="Palatino Linotype"/>
          <w:b/>
          <w:bCs/>
          <w:color w:val="000000"/>
        </w:rPr>
        <w:t>, M. Umar Harun</w:t>
      </w:r>
      <w:r w:rsidRPr="00F532EC">
        <w:rPr>
          <w:rFonts w:ascii="Palatino Linotype" w:eastAsia="Palatino Linotype" w:hAnsi="Palatino Linotype" w:cs="Palatino Linotype"/>
          <w:b/>
          <w:bCs/>
          <w:color w:val="000000"/>
          <w:vertAlign w:val="superscript"/>
        </w:rPr>
        <w:t>1</w:t>
      </w:r>
      <w:r w:rsidRPr="00F532EC">
        <w:rPr>
          <w:rFonts w:ascii="Palatino Linotype" w:eastAsia="Palatino Linotype" w:hAnsi="Palatino Linotype" w:cs="Palatino Linotype"/>
          <w:b/>
          <w:bCs/>
          <w:color w:val="000000"/>
        </w:rPr>
        <w:t>, Susilawati</w:t>
      </w:r>
      <w:r w:rsidRPr="00F532EC">
        <w:rPr>
          <w:rFonts w:ascii="Palatino Linotype" w:eastAsia="Palatino Linotype" w:hAnsi="Palatino Linotype" w:cs="Palatino Linotype"/>
          <w:b/>
          <w:bCs/>
          <w:color w:val="000000"/>
          <w:vertAlign w:val="superscript"/>
        </w:rPr>
        <w:t>1</w:t>
      </w:r>
      <w:r w:rsidRPr="00F532EC">
        <w:rPr>
          <w:rFonts w:ascii="Palatino Linotype" w:eastAsia="Palatino Linotype" w:hAnsi="Palatino Linotype" w:cs="Palatino Linotype"/>
          <w:b/>
          <w:bCs/>
          <w:color w:val="000000"/>
        </w:rPr>
        <w:t>, Risna Rusdan</w:t>
      </w:r>
      <w:r w:rsidRPr="00F532EC">
        <w:rPr>
          <w:rFonts w:ascii="Palatino Linotype" w:eastAsia="Palatino Linotype" w:hAnsi="Palatino Linotype" w:cs="Palatino Linotype"/>
          <w:b/>
          <w:bCs/>
          <w:color w:val="000000"/>
          <w:vertAlign w:val="superscript"/>
        </w:rPr>
        <w:t>1</w:t>
      </w:r>
      <w:r w:rsidRPr="00F532EC">
        <w:rPr>
          <w:rFonts w:ascii="Palatino Linotype" w:eastAsia="Palatino Linotype" w:hAnsi="Palatino Linotype" w:cs="Palatino Linotype"/>
          <w:b/>
          <w:bCs/>
          <w:color w:val="000000"/>
        </w:rPr>
        <w:t>, Shabilla Amartiya Sari</w:t>
      </w:r>
      <w:r w:rsidRPr="00F532EC">
        <w:rPr>
          <w:rFonts w:ascii="Palatino Linotype" w:eastAsia="Palatino Linotype" w:hAnsi="Palatino Linotype" w:cs="Palatino Linotype"/>
          <w:b/>
          <w:bCs/>
          <w:color w:val="000000"/>
          <w:vertAlign w:val="superscript"/>
        </w:rPr>
        <w:t>2</w:t>
      </w:r>
      <w:r w:rsidRPr="00F532EC">
        <w:rPr>
          <w:rFonts w:ascii="Palatino Linotype" w:eastAsia="Palatino Linotype" w:hAnsi="Palatino Linotype" w:cs="Palatino Linotype"/>
          <w:b/>
          <w:bCs/>
          <w:color w:val="000000"/>
        </w:rPr>
        <w:t>, Rofiqoh Purnama Ria</w:t>
      </w:r>
      <w:r w:rsidRPr="00F532EC">
        <w:rPr>
          <w:rFonts w:ascii="Palatino Linotype" w:eastAsia="Palatino Linotype" w:hAnsi="Palatino Linotype" w:cs="Palatino Linotype"/>
          <w:b/>
          <w:bCs/>
          <w:color w:val="000000"/>
          <w:vertAlign w:val="superscript"/>
        </w:rPr>
        <w:t>1</w:t>
      </w:r>
      <w:r w:rsidRPr="00F532EC">
        <w:rPr>
          <w:rFonts w:ascii="Palatino Linotype" w:eastAsia="Palatino Linotype" w:hAnsi="Palatino Linotype" w:cs="Palatino Linotype"/>
          <w:b/>
          <w:bCs/>
          <w:color w:val="000000"/>
        </w:rPr>
        <w:t>, Habibulloh</w:t>
      </w:r>
      <w:r w:rsidRPr="00F532EC">
        <w:rPr>
          <w:rFonts w:ascii="Palatino Linotype" w:eastAsia="Palatino Linotype" w:hAnsi="Palatino Linotype" w:cs="Palatino Linotype"/>
          <w:b/>
          <w:bCs/>
          <w:color w:val="000000"/>
          <w:vertAlign w:val="superscript"/>
        </w:rPr>
        <w:t>1</w:t>
      </w:r>
      <w:r w:rsidRPr="00F532EC">
        <w:rPr>
          <w:rFonts w:ascii="Palatino Linotype" w:eastAsia="Palatino Linotype" w:hAnsi="Palatino Linotype" w:cs="Palatino Linotype"/>
          <w:b/>
          <w:bCs/>
          <w:color w:val="000000"/>
        </w:rPr>
        <w:t>, Novian Dwisatria</w:t>
      </w:r>
      <w:r w:rsidRPr="00F532EC">
        <w:rPr>
          <w:rFonts w:ascii="Palatino Linotype" w:eastAsia="Palatino Linotype" w:hAnsi="Palatino Linotype" w:cs="Palatino Linotype"/>
          <w:b/>
          <w:bCs/>
          <w:color w:val="000000"/>
          <w:vertAlign w:val="superscript"/>
        </w:rPr>
        <w:t>4</w:t>
      </w:r>
    </w:p>
    <w:p w14:paraId="4C87F2D3" w14:textId="77777777" w:rsidR="00F532EC" w:rsidRPr="00F532EC" w:rsidRDefault="00F532EC" w:rsidP="00F532EC">
      <w:pPr>
        <w:pBdr>
          <w:top w:val="nil"/>
          <w:left w:val="nil"/>
          <w:bottom w:val="nil"/>
          <w:right w:val="nil"/>
          <w:between w:val="nil"/>
        </w:pBdr>
        <w:shd w:val="clear" w:color="auto" w:fill="FFFFFF" w:themeFill="background1"/>
        <w:jc w:val="left"/>
        <w:rPr>
          <w:rFonts w:ascii="Palatino Linotype" w:hAnsi="Palatino Linotype"/>
          <w:color w:val="000000"/>
          <w:sz w:val="22"/>
          <w:szCs w:val="22"/>
        </w:rPr>
      </w:pPr>
    </w:p>
    <w:p w14:paraId="167B7860" w14:textId="77777777" w:rsidR="00F532EC" w:rsidRPr="00F532EC" w:rsidRDefault="00F532EC" w:rsidP="00F532EC">
      <w:pPr>
        <w:pBdr>
          <w:top w:val="nil"/>
          <w:left w:val="nil"/>
          <w:bottom w:val="nil"/>
          <w:right w:val="nil"/>
          <w:between w:val="nil"/>
        </w:pBdr>
        <w:shd w:val="clear" w:color="auto" w:fill="FFFFFF" w:themeFill="background1"/>
        <w:rPr>
          <w:rFonts w:ascii="Palatino Linotype" w:eastAsia="Palatino Linotype" w:hAnsi="Palatino Linotype" w:cs="Palatino Linotype"/>
          <w:color w:val="000000"/>
          <w:sz w:val="16"/>
          <w:szCs w:val="16"/>
        </w:rPr>
      </w:pPr>
      <w:r w:rsidRPr="00F532EC">
        <w:rPr>
          <w:rFonts w:ascii="Palatino Linotype" w:eastAsia="Palatino Linotype" w:hAnsi="Palatino Linotype" w:cs="Palatino Linotype"/>
          <w:color w:val="000000"/>
          <w:sz w:val="16"/>
          <w:szCs w:val="16"/>
          <w:vertAlign w:val="superscript"/>
        </w:rPr>
        <w:t>1</w:t>
      </w:r>
      <w:bookmarkStart w:id="0" w:name="_Hlk237427987"/>
      <w:r w:rsidRPr="00F532EC">
        <w:rPr>
          <w:rFonts w:ascii="Palatino Linotype" w:eastAsia="Palatino Linotype" w:hAnsi="Palatino Linotype" w:cs="Palatino Linotype"/>
          <w:color w:val="000000"/>
          <w:sz w:val="16"/>
          <w:szCs w:val="16"/>
        </w:rPr>
        <w:t>Program Studi Agronomi, Fakultas Pertanian, Universitas Sriwijaya</w:t>
      </w:r>
    </w:p>
    <w:bookmarkEnd w:id="0"/>
    <w:p w14:paraId="19C5A7AF" w14:textId="77777777" w:rsidR="00F532EC" w:rsidRPr="00F532EC" w:rsidRDefault="00F532EC" w:rsidP="00F532EC">
      <w:pPr>
        <w:pBdr>
          <w:top w:val="nil"/>
          <w:left w:val="nil"/>
          <w:bottom w:val="nil"/>
          <w:right w:val="nil"/>
          <w:between w:val="nil"/>
        </w:pBdr>
        <w:shd w:val="clear" w:color="auto" w:fill="FFFFFF" w:themeFill="background1"/>
        <w:rPr>
          <w:rFonts w:ascii="Palatino Linotype" w:eastAsia="Palatino Linotype" w:hAnsi="Palatino Linotype" w:cs="Palatino Linotype"/>
          <w:color w:val="000000"/>
          <w:sz w:val="16"/>
          <w:szCs w:val="16"/>
        </w:rPr>
      </w:pPr>
      <w:r w:rsidRPr="00F532EC">
        <w:rPr>
          <w:rFonts w:ascii="Palatino Linotype" w:eastAsia="Palatino Linotype" w:hAnsi="Palatino Linotype" w:cs="Palatino Linotype"/>
          <w:color w:val="000000"/>
          <w:sz w:val="16"/>
          <w:szCs w:val="16"/>
          <w:vertAlign w:val="superscript"/>
        </w:rPr>
        <w:t>2</w:t>
      </w:r>
      <w:r w:rsidRPr="00F532EC">
        <w:rPr>
          <w:rFonts w:ascii="Palatino Linotype" w:eastAsia="Palatino Linotype" w:hAnsi="Palatino Linotype" w:cs="Palatino Linotype"/>
          <w:color w:val="000000"/>
          <w:sz w:val="16"/>
          <w:szCs w:val="16"/>
        </w:rPr>
        <w:t>Program Studi Agroekoteknologi, Fakultas Pertanian, Universitas Sriwijaya</w:t>
      </w:r>
    </w:p>
    <w:p w14:paraId="4EBEAFE0" w14:textId="77777777" w:rsidR="00F532EC" w:rsidRPr="00F532EC" w:rsidRDefault="00F532EC" w:rsidP="00F532EC">
      <w:pPr>
        <w:pBdr>
          <w:top w:val="nil"/>
          <w:left w:val="nil"/>
          <w:bottom w:val="nil"/>
          <w:right w:val="nil"/>
          <w:between w:val="nil"/>
        </w:pBdr>
        <w:shd w:val="clear" w:color="auto" w:fill="FFFFFF" w:themeFill="background1"/>
        <w:rPr>
          <w:rFonts w:ascii="Palatino Linotype" w:eastAsia="Palatino Linotype" w:hAnsi="Palatino Linotype" w:cs="Palatino Linotype"/>
          <w:color w:val="000000"/>
          <w:sz w:val="16"/>
          <w:szCs w:val="16"/>
        </w:rPr>
      </w:pPr>
      <w:r w:rsidRPr="00F532EC">
        <w:rPr>
          <w:rFonts w:ascii="Palatino Linotype" w:eastAsia="Palatino Linotype" w:hAnsi="Palatino Linotype" w:cs="Palatino Linotype"/>
          <w:color w:val="000000"/>
          <w:sz w:val="16"/>
          <w:szCs w:val="16"/>
          <w:vertAlign w:val="superscript"/>
        </w:rPr>
        <w:t>3</w:t>
      </w:r>
      <w:r w:rsidRPr="00F532EC">
        <w:rPr>
          <w:rFonts w:ascii="Palatino Linotype" w:eastAsia="Palatino Linotype" w:hAnsi="Palatino Linotype" w:cs="Palatino Linotype"/>
          <w:color w:val="000000"/>
          <w:sz w:val="16"/>
          <w:szCs w:val="16"/>
        </w:rPr>
        <w:t>Program Studi Teknik Pertanian, Fakultas Pertanian, Universitas Sriwijaya</w:t>
      </w:r>
    </w:p>
    <w:p w14:paraId="046E1346" w14:textId="77777777" w:rsidR="00F532EC" w:rsidRPr="00F532EC" w:rsidRDefault="00F532EC" w:rsidP="00F532EC">
      <w:pPr>
        <w:pBdr>
          <w:top w:val="nil"/>
          <w:left w:val="nil"/>
          <w:bottom w:val="nil"/>
          <w:right w:val="nil"/>
          <w:between w:val="nil"/>
        </w:pBdr>
        <w:shd w:val="clear" w:color="auto" w:fill="FFFFFF" w:themeFill="background1"/>
        <w:rPr>
          <w:rFonts w:ascii="Palatino Linotype" w:eastAsia="Palatino Linotype" w:hAnsi="Palatino Linotype" w:cs="Palatino Linotype"/>
          <w:color w:val="000000"/>
          <w:sz w:val="16"/>
          <w:szCs w:val="16"/>
        </w:rPr>
      </w:pPr>
      <w:r w:rsidRPr="00F532EC">
        <w:rPr>
          <w:rFonts w:ascii="Palatino Linotype" w:eastAsia="Palatino Linotype" w:hAnsi="Palatino Linotype" w:cs="Palatino Linotype"/>
          <w:color w:val="000000"/>
          <w:sz w:val="16"/>
          <w:szCs w:val="16"/>
          <w:vertAlign w:val="superscript"/>
        </w:rPr>
        <w:t>4</w:t>
      </w:r>
      <w:r w:rsidRPr="00F532EC">
        <w:rPr>
          <w:rFonts w:ascii="Palatino Linotype" w:eastAsia="Palatino Linotype" w:hAnsi="Palatino Linotype" w:cs="Palatino Linotype"/>
          <w:color w:val="000000"/>
          <w:sz w:val="16"/>
          <w:szCs w:val="16"/>
        </w:rPr>
        <w:t xml:space="preserve">Program Studi Teknologi Hasil Pertanian, Institut Teknologi Pagar Alam </w:t>
      </w:r>
    </w:p>
    <w:p w14:paraId="4E32FC55" w14:textId="77777777" w:rsidR="00F532EC" w:rsidRPr="00F532EC" w:rsidRDefault="00F532EC" w:rsidP="00F532EC">
      <w:pPr>
        <w:pBdr>
          <w:top w:val="nil"/>
          <w:left w:val="nil"/>
          <w:bottom w:val="nil"/>
          <w:right w:val="nil"/>
          <w:between w:val="nil"/>
        </w:pBdr>
        <w:shd w:val="clear" w:color="auto" w:fill="FFFFFF" w:themeFill="background1"/>
        <w:jc w:val="left"/>
        <w:rPr>
          <w:rFonts w:ascii="Palatino Linotype" w:hAnsi="Palatino Linotype"/>
          <w:color w:val="000000"/>
          <w:sz w:val="16"/>
          <w:szCs w:val="16"/>
        </w:rPr>
      </w:pPr>
    </w:p>
    <w:p w14:paraId="150733A8" w14:textId="77777777" w:rsidR="00F532EC" w:rsidRPr="00F532EC" w:rsidRDefault="00F532EC" w:rsidP="00F532EC">
      <w:pPr>
        <w:pBdr>
          <w:top w:val="nil"/>
          <w:left w:val="nil"/>
          <w:bottom w:val="nil"/>
          <w:right w:val="nil"/>
          <w:between w:val="nil"/>
        </w:pBdr>
        <w:shd w:val="clear" w:color="auto" w:fill="FFFFFF" w:themeFill="background1"/>
        <w:jc w:val="left"/>
        <w:rPr>
          <w:rFonts w:ascii="Palatino Linotype" w:eastAsia="Palatino Linotype" w:hAnsi="Palatino Linotype" w:cs="Palatino Linotype"/>
          <w:color w:val="000000"/>
          <w:sz w:val="16"/>
          <w:szCs w:val="16"/>
        </w:rPr>
      </w:pPr>
      <w:r w:rsidRPr="00F532EC">
        <w:rPr>
          <w:rFonts w:ascii="Palatino Linotype" w:eastAsia="Palatino Linotype" w:hAnsi="Palatino Linotype" w:cs="Palatino Linotype"/>
          <w:color w:val="000000"/>
          <w:sz w:val="16"/>
          <w:szCs w:val="16"/>
        </w:rPr>
        <w:t>Penulis korespondensi : Fitri Ramadhani</w:t>
      </w:r>
    </w:p>
    <w:p w14:paraId="5055614A" w14:textId="77777777" w:rsidR="00F532EC" w:rsidRPr="00F532EC" w:rsidRDefault="00F532EC" w:rsidP="00F532EC">
      <w:pPr>
        <w:pBdr>
          <w:top w:val="nil"/>
          <w:left w:val="nil"/>
          <w:bottom w:val="nil"/>
          <w:right w:val="nil"/>
          <w:between w:val="nil"/>
        </w:pBdr>
        <w:shd w:val="clear" w:color="auto" w:fill="FFFFFF" w:themeFill="background1"/>
        <w:jc w:val="left"/>
        <w:rPr>
          <w:rFonts w:ascii="Palatino Linotype" w:eastAsia="Palatino Linotype" w:hAnsi="Palatino Linotype" w:cs="Palatino Linotype"/>
          <w:color w:val="000000"/>
          <w:sz w:val="16"/>
          <w:szCs w:val="16"/>
        </w:rPr>
      </w:pPr>
      <w:r w:rsidRPr="00F532EC">
        <w:rPr>
          <w:rFonts w:ascii="Palatino Linotype" w:eastAsia="Palatino Linotype" w:hAnsi="Palatino Linotype" w:cs="Palatino Linotype"/>
          <w:color w:val="000000"/>
          <w:sz w:val="16"/>
          <w:szCs w:val="16"/>
        </w:rPr>
        <w:t>E-mail : fitriramadhani@fp.unsri.ac.id</w:t>
      </w:r>
    </w:p>
    <w:p w14:paraId="768222A1" w14:textId="77777777" w:rsidR="00F532EC" w:rsidRPr="00F532EC" w:rsidRDefault="00F532EC" w:rsidP="00F532EC">
      <w:pPr>
        <w:pBdr>
          <w:top w:val="nil"/>
          <w:left w:val="nil"/>
          <w:bottom w:val="nil"/>
          <w:right w:val="nil"/>
          <w:between w:val="nil"/>
        </w:pBdr>
        <w:shd w:val="clear" w:color="auto" w:fill="FFFFFF" w:themeFill="background1"/>
        <w:jc w:val="left"/>
        <w:rPr>
          <w:rFonts w:ascii="Palatino Linotype" w:hAnsi="Palatino Linotype"/>
          <w:b/>
          <w:bCs/>
          <w:color w:val="000000"/>
          <w:sz w:val="16"/>
          <w:szCs w:val="16"/>
        </w:rPr>
      </w:pPr>
    </w:p>
    <w:p w14:paraId="306BE896" w14:textId="63E69456" w:rsidR="00F532EC" w:rsidRPr="00800B4C" w:rsidRDefault="00F532EC" w:rsidP="00F532EC">
      <w:pPr>
        <w:adjustRightInd w:val="0"/>
        <w:snapToGrid w:val="0"/>
        <w:jc w:val="left"/>
        <w:rPr>
          <w:rFonts w:ascii="Palatino Linotype" w:eastAsia="Palatino Linotype" w:hAnsi="Palatino Linotype" w:cs="Palatino Linotype"/>
          <w:sz w:val="18"/>
          <w:szCs w:val="18"/>
          <w:lang w:val="sv-SE" w:eastAsia="ja-JP"/>
        </w:rPr>
      </w:pPr>
      <w:r w:rsidRPr="00800B4C">
        <w:rPr>
          <w:rFonts w:ascii="Palatino Linotype" w:eastAsia="Palatino Linotype" w:hAnsi="Palatino Linotype" w:cs="Palatino Linotype"/>
          <w:sz w:val="18"/>
          <w:szCs w:val="18"/>
          <w:lang w:val="sv-SE" w:eastAsia="ja-JP"/>
        </w:rPr>
        <w:t xml:space="preserve">Diterima: </w:t>
      </w:r>
      <w:r>
        <w:rPr>
          <w:rFonts w:ascii="Palatino Linotype" w:eastAsia="Palatino Linotype" w:hAnsi="Palatino Linotype" w:cs="Palatino Linotype"/>
          <w:sz w:val="18"/>
          <w:szCs w:val="18"/>
          <w:lang w:val="sv-SE" w:eastAsia="ja-JP"/>
        </w:rPr>
        <w:t>21 Agustus</w:t>
      </w:r>
      <w:r w:rsidRPr="00800B4C">
        <w:rPr>
          <w:rFonts w:ascii="Palatino Linotype" w:eastAsia="Palatino Linotype" w:hAnsi="Palatino Linotype" w:cs="Palatino Linotype"/>
          <w:sz w:val="18"/>
          <w:szCs w:val="18"/>
          <w:lang w:val="sv-SE" w:eastAsia="ja-JP"/>
        </w:rPr>
        <w:t xml:space="preserve"> 2026| Direvisi: 0</w:t>
      </w:r>
      <w:r>
        <w:rPr>
          <w:rFonts w:ascii="Palatino Linotype" w:eastAsia="Palatino Linotype" w:hAnsi="Palatino Linotype" w:cs="Palatino Linotype"/>
          <w:sz w:val="18"/>
          <w:szCs w:val="18"/>
          <w:lang w:val="sv-SE" w:eastAsia="ja-JP"/>
        </w:rPr>
        <w:t>4</w:t>
      </w:r>
      <w:r w:rsidRPr="00800B4C">
        <w:rPr>
          <w:rFonts w:ascii="Palatino Linotype" w:eastAsia="Palatino Linotype" w:hAnsi="Palatino Linotype" w:cs="Palatino Linotype"/>
          <w:sz w:val="18"/>
          <w:szCs w:val="18"/>
          <w:lang w:val="sv-SE" w:eastAsia="ja-JP"/>
        </w:rPr>
        <w:t xml:space="preserve"> Oktober 2026| Disetujui: 11 Oktober 2026 | Online: 2</w:t>
      </w:r>
      <w:r>
        <w:rPr>
          <w:rFonts w:ascii="Palatino Linotype" w:eastAsia="Palatino Linotype" w:hAnsi="Palatino Linotype" w:cs="Palatino Linotype"/>
          <w:sz w:val="18"/>
          <w:szCs w:val="18"/>
          <w:lang w:val="sv-SE" w:eastAsia="ja-JP"/>
        </w:rPr>
        <w:t>9</w:t>
      </w:r>
      <w:r w:rsidRPr="00800B4C">
        <w:rPr>
          <w:rFonts w:ascii="Palatino Linotype" w:eastAsia="Palatino Linotype" w:hAnsi="Palatino Linotype" w:cs="Palatino Linotype"/>
          <w:sz w:val="18"/>
          <w:szCs w:val="18"/>
          <w:lang w:val="sv-SE" w:eastAsia="ja-JP"/>
        </w:rPr>
        <w:t xml:space="preserve"> Oktober 2026 </w:t>
      </w:r>
      <w:sdt>
        <w:sdtPr>
          <w:rPr>
            <w:rFonts w:ascii="Palatino Linotype" w:hAnsi="Palatino Linotype"/>
            <w:sz w:val="18"/>
            <w:szCs w:val="18"/>
            <w:lang w:val="sv-SE" w:eastAsia="ja-JP"/>
          </w:rPr>
          <w:tag w:val="goog_rdk_7"/>
          <w:id w:val="772404932"/>
          <w:showingPlcHdr/>
        </w:sdtPr>
        <w:sdtEndPr>
          <w:rPr>
            <w:rFonts w:eastAsia="Palatino Linotype" w:cs="Palatino Linotype"/>
          </w:rPr>
        </w:sdtEndPr>
        <w:sdtContent>
          <w:r w:rsidRPr="00800B4C">
            <w:rPr>
              <w:rFonts w:ascii="Palatino Linotype" w:hAnsi="Palatino Linotype"/>
              <w:sz w:val="18"/>
              <w:szCs w:val="18"/>
              <w:lang w:val="sv-SE" w:eastAsia="ja-JP"/>
            </w:rPr>
            <w:t xml:space="preserve">     </w:t>
          </w:r>
        </w:sdtContent>
      </w:sdt>
    </w:p>
    <w:p w14:paraId="36C69BE2" w14:textId="77777777" w:rsidR="00F532EC" w:rsidRPr="00800B4C" w:rsidRDefault="00F532EC" w:rsidP="00F532EC">
      <w:pPr>
        <w:adjustRightInd w:val="0"/>
        <w:snapToGrid w:val="0"/>
        <w:jc w:val="left"/>
        <w:rPr>
          <w:rFonts w:ascii="Palatino Linotype" w:eastAsia="Palatino Linotype" w:hAnsi="Palatino Linotype" w:cs="Palatino Linotype"/>
          <w:sz w:val="18"/>
          <w:szCs w:val="18"/>
          <w:lang w:val="sv-SE" w:eastAsia="ja-JP"/>
        </w:rPr>
      </w:pPr>
      <w:r w:rsidRPr="00800B4C">
        <w:rPr>
          <w:rFonts w:ascii="Palatino Linotype" w:eastAsia="Palatino Linotype" w:hAnsi="Palatino Linotype" w:cs="Palatino Linotype"/>
          <w:sz w:val="18"/>
          <w:szCs w:val="18"/>
          <w:lang w:val="sv-SE" w:eastAsia="ja-JP"/>
        </w:rPr>
        <w:t>© Penulis 2026</w:t>
      </w:r>
    </w:p>
    <w:p w14:paraId="07F9B42D" w14:textId="77777777" w:rsidR="00142F8A" w:rsidRPr="00F532EC" w:rsidRDefault="00142F8A" w:rsidP="00F532EC">
      <w:pPr>
        <w:pBdr>
          <w:top w:val="nil"/>
          <w:left w:val="nil"/>
          <w:bottom w:val="nil"/>
          <w:right w:val="nil"/>
          <w:between w:val="nil"/>
        </w:pBdr>
        <w:shd w:val="clear" w:color="auto" w:fill="FFFFFF" w:themeFill="background1"/>
        <w:jc w:val="center"/>
        <w:rPr>
          <w:rFonts w:ascii="Palatino Linotype" w:hAnsi="Palatino Linotype"/>
          <w:b/>
          <w:bCs/>
          <w:color w:val="000000"/>
          <w:sz w:val="24"/>
          <w:szCs w:val="24"/>
        </w:rPr>
      </w:pPr>
    </w:p>
    <w:p w14:paraId="1181D96C" w14:textId="2328026C" w:rsidR="00142F8A" w:rsidRPr="00F532EC" w:rsidRDefault="00D53D4A" w:rsidP="00F532EC">
      <w:pPr>
        <w:pBdr>
          <w:top w:val="nil"/>
          <w:left w:val="nil"/>
          <w:bottom w:val="nil"/>
          <w:right w:val="nil"/>
          <w:between w:val="nil"/>
        </w:pBdr>
        <w:shd w:val="clear" w:color="auto" w:fill="FFFFFF" w:themeFill="background1"/>
        <w:rPr>
          <w:rFonts w:ascii="Palatino Linotype" w:eastAsia="Palatino Linotype" w:hAnsi="Palatino Linotype" w:cs="Palatino Linotype"/>
          <w:b/>
          <w:bCs/>
          <w:color w:val="000000"/>
        </w:rPr>
      </w:pPr>
      <w:r w:rsidRPr="00F532EC">
        <w:rPr>
          <w:rFonts w:ascii="Palatino Linotype" w:eastAsia="Palatino Linotype" w:hAnsi="Palatino Linotype" w:cs="Palatino Linotype"/>
          <w:b/>
          <w:bCs/>
          <w:color w:val="000000"/>
        </w:rPr>
        <w:t xml:space="preserve">Abstrak </w:t>
      </w:r>
      <w:sdt>
        <w:sdtPr>
          <w:rPr>
            <w:rFonts w:ascii="Palatino Linotype" w:hAnsi="Palatino Linotype"/>
          </w:rPr>
          <w:tag w:val="goog_rdk_2"/>
          <w:id w:val="-1766993722"/>
          <w:showingPlcHdr/>
        </w:sdtPr>
        <w:sdtContent>
          <w:r w:rsidR="00C81C76" w:rsidRPr="00F532EC">
            <w:rPr>
              <w:rFonts w:ascii="Palatino Linotype" w:hAnsi="Palatino Linotype"/>
            </w:rPr>
            <w:t xml:space="preserve">     </w:t>
          </w:r>
        </w:sdtContent>
      </w:sdt>
    </w:p>
    <w:p w14:paraId="44548CB5" w14:textId="3DFF58D8" w:rsidR="00C81C76" w:rsidRPr="00F532EC" w:rsidRDefault="004F0A36" w:rsidP="00F532EC">
      <w:p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 xml:space="preserve">Cabai merupakan salah satu komoditas hortikultura yang memiliki nilai ekonomi tinggi. </w:t>
      </w:r>
      <w:r w:rsidR="00C81C76" w:rsidRPr="00F532EC">
        <w:rPr>
          <w:rFonts w:ascii="Palatino Linotype" w:eastAsia="Palatino Linotype" w:hAnsi="Palatino Linotype" w:cs="Palatino Linotype"/>
        </w:rPr>
        <w:t xml:space="preserve">Namun, produktivitas dan keberlanjutan usaha tani cabai masih menghadapi berbagai kendala, terutama dalam pengelolaan organisme pengganggu tanaman, pemanfaatan teknologi budidaya ramah lingkungan, serta pengolahan hasil pertanian menjadi produk bernilai tambah. Kegiatan pengabdian kepada masyarakat ini bertujuan untuk meningkatkan pengetahuan, keterampilan, dan kemandirian petani dalam menerapkan teknologi budidaya cabai melalui pemanfaatan </w:t>
      </w:r>
      <w:r w:rsidR="0098045B" w:rsidRPr="00F532EC">
        <w:rPr>
          <w:rFonts w:ascii="Palatino Linotype" w:eastAsia="Palatino Linotype" w:hAnsi="Palatino Linotype" w:cs="Palatino Linotype"/>
        </w:rPr>
        <w:t>agens</w:t>
      </w:r>
      <w:r w:rsidR="00C81C76" w:rsidRPr="00F532EC">
        <w:rPr>
          <w:rFonts w:ascii="Palatino Linotype" w:eastAsia="Palatino Linotype" w:hAnsi="Palatino Linotype" w:cs="Palatino Linotype"/>
        </w:rPr>
        <w:t xml:space="preserve"> hayati </w:t>
      </w:r>
      <w:r w:rsidR="00024C69" w:rsidRPr="00F532EC">
        <w:rPr>
          <w:rFonts w:ascii="Palatino Linotype" w:eastAsia="Palatino Linotype" w:hAnsi="Palatino Linotype" w:cs="Palatino Linotype"/>
          <w:i/>
          <w:iCs/>
        </w:rPr>
        <w:t xml:space="preserve">Plant Growth Promoting Rhizobacteria </w:t>
      </w:r>
      <w:r w:rsidR="00C81C76" w:rsidRPr="00F532EC">
        <w:rPr>
          <w:rFonts w:ascii="Palatino Linotype" w:eastAsia="Palatino Linotype" w:hAnsi="Palatino Linotype" w:cs="Palatino Linotype"/>
        </w:rPr>
        <w:t xml:space="preserve">(PGPR) dan </w:t>
      </w:r>
      <w:r w:rsidR="00024C69" w:rsidRPr="00F532EC">
        <w:rPr>
          <w:rFonts w:ascii="Palatino Linotype" w:eastAsia="Palatino Linotype" w:hAnsi="Palatino Linotype" w:cs="Palatino Linotype"/>
          <w:i/>
          <w:iCs/>
        </w:rPr>
        <w:t>Trichoderma</w:t>
      </w:r>
      <w:r w:rsidR="00486A8A" w:rsidRPr="00F532EC">
        <w:rPr>
          <w:rFonts w:ascii="Palatino Linotype" w:eastAsia="Palatino Linotype" w:hAnsi="Palatino Linotype" w:cs="Palatino Linotype"/>
          <w:i/>
          <w:iCs/>
        </w:rPr>
        <w:t xml:space="preserve">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00C81C76" w:rsidRPr="00F532EC">
        <w:rPr>
          <w:rFonts w:ascii="Palatino Linotype" w:eastAsia="Palatino Linotype" w:hAnsi="Palatino Linotype" w:cs="Palatino Linotype"/>
        </w:rPr>
        <w:t>, serta meningkatkan nilai tambah hasil panen cabai</w:t>
      </w:r>
      <w:r w:rsidRPr="00F532EC">
        <w:rPr>
          <w:rFonts w:ascii="Palatino Linotype" w:eastAsia="Palatino Linotype" w:hAnsi="Palatino Linotype" w:cs="Palatino Linotype"/>
        </w:rPr>
        <w:t xml:space="preserve">. </w:t>
      </w:r>
      <w:r w:rsidR="00C81C76" w:rsidRPr="00F532EC">
        <w:rPr>
          <w:rFonts w:ascii="Palatino Linotype" w:eastAsia="Palatino Linotype" w:hAnsi="Palatino Linotype" w:cs="Palatino Linotype"/>
        </w:rPr>
        <w:t xml:space="preserve">Mitra sasaran kegiatan adalah kelompok tani Subur </w:t>
      </w:r>
      <w:r w:rsidR="009A2092" w:rsidRPr="00F532EC">
        <w:rPr>
          <w:rFonts w:ascii="Palatino Linotype" w:eastAsia="Palatino Linotype" w:hAnsi="Palatino Linotype" w:cs="Palatino Linotype"/>
        </w:rPr>
        <w:t>M</w:t>
      </w:r>
      <w:r w:rsidR="00C81C76" w:rsidRPr="00F532EC">
        <w:rPr>
          <w:rFonts w:ascii="Palatino Linotype" w:eastAsia="Palatino Linotype" w:hAnsi="Palatino Linotype" w:cs="Palatino Linotype"/>
        </w:rPr>
        <w:t>akmur di Desa Tanjung Baru dengan melibatkan 10 peserta</w:t>
      </w:r>
      <w:r w:rsidRPr="00F532EC">
        <w:rPr>
          <w:rFonts w:ascii="Palatino Linotype" w:eastAsia="Palatino Linotype" w:hAnsi="Palatino Linotype" w:cs="Palatino Linotype"/>
        </w:rPr>
        <w:t>.</w:t>
      </w:r>
      <w:r w:rsidR="00C81C76" w:rsidRPr="00F532EC">
        <w:rPr>
          <w:rFonts w:ascii="Palatino Linotype" w:eastAsia="Palatino Linotype" w:hAnsi="Palatino Linotype" w:cs="Palatino Linotype"/>
        </w:rPr>
        <w:t xml:space="preserve"> Metode pelaksanaan meliputi sosialisasi, penyuluhan, pelatihan, demonstrasi, praktik langsung, pendampingan, serta evaluasi kegiatan. Pelatihan mencakup pembuatan PGPR menggunakan teknologi fermentor, perbanyakan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00C81C76" w:rsidRPr="00F532EC">
        <w:rPr>
          <w:rFonts w:ascii="Palatino Linotype" w:eastAsia="Palatino Linotype" w:hAnsi="Palatino Linotype" w:cs="Palatino Linotype"/>
        </w:rPr>
        <w:t xml:space="preserve">, serta pengolahan cabai menjadi produk CAMBUK melalui tahapan sortasi, pencucian, pengeringan, penggilingan, dan pengemasan. Hasil kegiatan menunjukkan adanya peningkatan pengetahuan dan keterampilan mitra dalam memproduksi dan memanfaatkan </w:t>
      </w:r>
      <w:r w:rsidR="00024C69" w:rsidRPr="00F532EC">
        <w:rPr>
          <w:rFonts w:ascii="Palatino Linotype" w:eastAsia="Palatino Linotype" w:hAnsi="Palatino Linotype" w:cs="Palatino Linotype"/>
          <w:i/>
          <w:iCs/>
        </w:rPr>
        <w:t xml:space="preserve">Plant Growth Promoting Rhizobacteria </w:t>
      </w:r>
      <w:r w:rsidR="00C81C76" w:rsidRPr="00F532EC">
        <w:rPr>
          <w:rFonts w:ascii="Palatino Linotype" w:eastAsia="Palatino Linotype" w:hAnsi="Palatino Linotype" w:cs="Palatino Linotype"/>
        </w:rPr>
        <w:t xml:space="preserve">(PGPR) serta </w:t>
      </w:r>
      <w:r w:rsidR="00024C69" w:rsidRPr="00F532EC">
        <w:rPr>
          <w:rFonts w:ascii="Palatino Linotype" w:eastAsia="Palatino Linotype" w:hAnsi="Palatino Linotype" w:cs="Palatino Linotype"/>
          <w:i/>
          <w:iCs/>
        </w:rPr>
        <w:t>Trichoderma</w:t>
      </w:r>
      <w:r w:rsidR="00C81C76" w:rsidRPr="00F532EC">
        <w:rPr>
          <w:rFonts w:ascii="Palatino Linotype" w:eastAsia="Palatino Linotype" w:hAnsi="Palatino Linotype" w:cs="Palatino Linotype"/>
        </w:rPr>
        <w:t xml:space="preserve"> sebagai </w:t>
      </w:r>
      <w:r w:rsidR="0098045B" w:rsidRPr="00F532EC">
        <w:rPr>
          <w:rFonts w:ascii="Palatino Linotype" w:eastAsia="Palatino Linotype" w:hAnsi="Palatino Linotype" w:cs="Palatino Linotype"/>
        </w:rPr>
        <w:t>agens</w:t>
      </w:r>
      <w:r w:rsidR="00C81C76" w:rsidRPr="00F532EC">
        <w:rPr>
          <w:rFonts w:ascii="Palatino Linotype" w:eastAsia="Palatino Linotype" w:hAnsi="Palatino Linotype" w:cs="Palatino Linotype"/>
        </w:rPr>
        <w:t xml:space="preserve"> hayati</w:t>
      </w:r>
      <w:r w:rsidRPr="00F532EC">
        <w:rPr>
          <w:rFonts w:ascii="Palatino Linotype" w:eastAsia="Palatino Linotype" w:hAnsi="Palatino Linotype" w:cs="Palatino Linotype"/>
        </w:rPr>
        <w:t xml:space="preserve">. Berdasarkan hasil pre-test dan post-test, pengetahuan mitra mengenai produksi dan pemanfaatan PGPR serta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meningkat dari 55% menjadi 90%. Keterampilan mitra dalam memproduksi dan mengaplikasikan PGPR dan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meningkat dari 50% menjadi 85%. </w:t>
      </w:r>
      <w:bookmarkStart w:id="1" w:name="_Hlk237724856"/>
      <w:r w:rsidR="00C81C76" w:rsidRPr="00F532EC">
        <w:rPr>
          <w:rFonts w:ascii="Palatino Linotype" w:eastAsia="Palatino Linotype" w:hAnsi="Palatino Linotype" w:cs="Palatino Linotype"/>
        </w:rPr>
        <w:t xml:space="preserve">Selain itu, </w:t>
      </w:r>
      <w:r w:rsidR="00080B68" w:rsidRPr="00F532EC">
        <w:rPr>
          <w:rFonts w:ascii="Palatino Linotype" w:eastAsia="Palatino Linotype" w:hAnsi="Palatino Linotype" w:cs="Palatino Linotype"/>
        </w:rPr>
        <w:t xml:space="preserve">dari 40% menjadi </w:t>
      </w:r>
      <w:r w:rsidR="00217247" w:rsidRPr="00F532EC">
        <w:rPr>
          <w:rFonts w:ascii="Palatino Linotype" w:eastAsia="Palatino Linotype" w:hAnsi="Palatino Linotype" w:cs="Palatino Linotype"/>
        </w:rPr>
        <w:t>100% peserta telah</w:t>
      </w:r>
      <w:r w:rsidR="00C81C76" w:rsidRPr="00F532EC">
        <w:rPr>
          <w:rFonts w:ascii="Palatino Linotype" w:eastAsia="Palatino Linotype" w:hAnsi="Palatino Linotype" w:cs="Palatino Linotype"/>
        </w:rPr>
        <w:t xml:space="preserve"> mampu mengolah cabai menjadi produk cabai bubuk yang memiliki nilai tamba</w:t>
      </w:r>
      <w:r w:rsidRPr="00F532EC">
        <w:rPr>
          <w:rFonts w:ascii="Palatino Linotype" w:eastAsia="Palatino Linotype" w:hAnsi="Palatino Linotype" w:cs="Palatino Linotype"/>
        </w:rPr>
        <w:t>h</w:t>
      </w:r>
      <w:bookmarkEnd w:id="1"/>
      <w:r w:rsidR="00C81C76"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Kegiatan pengabdian ini berkontribusi terhadap penerapan budidaya cabai yang lebih ramah lingkungan, peningkatan efisiensi usaha tani, pemanfaatan sumber daya lokal, dan penguatan kemandirian ekonomi mitra.</w:t>
      </w:r>
      <w:r w:rsidR="00486A8A" w:rsidRPr="00F532EC">
        <w:rPr>
          <w:rFonts w:ascii="Palatino Linotype" w:eastAsia="Palatino Linotype" w:hAnsi="Palatino Linotype" w:cs="Palatino Linotype"/>
        </w:rPr>
        <w:t xml:space="preserve">  </w:t>
      </w:r>
    </w:p>
    <w:p w14:paraId="4443114B" w14:textId="77777777" w:rsidR="00142F8A" w:rsidRPr="00F532EC" w:rsidRDefault="00142F8A" w:rsidP="00F532EC">
      <w:pPr>
        <w:shd w:val="clear" w:color="auto" w:fill="FFFFFF" w:themeFill="background1"/>
        <w:rPr>
          <w:rFonts w:ascii="Palatino Linotype" w:eastAsia="Palatino Linotype" w:hAnsi="Palatino Linotype" w:cs="Palatino Linotype"/>
        </w:rPr>
      </w:pPr>
    </w:p>
    <w:p w14:paraId="5BFB4A74" w14:textId="739727C5" w:rsidR="00142F8A" w:rsidRPr="00F532EC" w:rsidRDefault="00D53D4A" w:rsidP="00F532EC">
      <w:pPr>
        <w:shd w:val="clear" w:color="auto" w:fill="FFFFFF" w:themeFill="background1"/>
        <w:rPr>
          <w:rFonts w:ascii="Palatino Linotype" w:eastAsia="Palatino Linotype" w:hAnsi="Palatino Linotype" w:cs="Palatino Linotype"/>
          <w:sz w:val="16"/>
          <w:szCs w:val="16"/>
        </w:rPr>
      </w:pPr>
      <w:r w:rsidRPr="00F532EC">
        <w:rPr>
          <w:rFonts w:ascii="Palatino Linotype" w:eastAsia="Palatino Linotype" w:hAnsi="Palatino Linotype" w:cs="Palatino Linotype"/>
          <w:b/>
          <w:bCs/>
        </w:rPr>
        <w:t>Kata kunci:</w:t>
      </w:r>
      <w:r w:rsidRPr="00F532EC">
        <w:rPr>
          <w:rFonts w:ascii="Palatino Linotype" w:eastAsia="Palatino Linotype" w:hAnsi="Palatino Linotype" w:cs="Palatino Linotype"/>
        </w:rPr>
        <w:t xml:space="preserve"> </w:t>
      </w:r>
      <w:r w:rsidR="0098045B" w:rsidRPr="00F532EC">
        <w:rPr>
          <w:rFonts w:ascii="Palatino Linotype" w:eastAsia="Palatino Linotype" w:hAnsi="Palatino Linotype" w:cs="Palatino Linotype"/>
        </w:rPr>
        <w:t>agens</w:t>
      </w:r>
      <w:r w:rsidR="00D96B5B" w:rsidRPr="00F532EC">
        <w:rPr>
          <w:rFonts w:ascii="Palatino Linotype" w:eastAsia="Palatino Linotype" w:hAnsi="Palatino Linotype" w:cs="Palatino Linotype"/>
        </w:rPr>
        <w:t xml:space="preserve"> hayati; diversifkasi pangan; pertanian terpadu; tanaman hortikultura</w:t>
      </w:r>
    </w:p>
    <w:p w14:paraId="526426AC" w14:textId="77777777" w:rsidR="00142F8A" w:rsidRPr="00F532EC" w:rsidRDefault="00142F8A" w:rsidP="00F532EC">
      <w:pPr>
        <w:shd w:val="clear" w:color="auto" w:fill="FFFFFF" w:themeFill="background1"/>
        <w:rPr>
          <w:rFonts w:ascii="Palatino Linotype" w:hAnsi="Palatino Linotype"/>
        </w:rPr>
      </w:pPr>
    </w:p>
    <w:p w14:paraId="672C68DA" w14:textId="54B9A28A" w:rsidR="00142F8A" w:rsidRPr="00F532EC" w:rsidRDefault="00D53D4A" w:rsidP="00F532EC">
      <w:pPr>
        <w:pBdr>
          <w:top w:val="nil"/>
          <w:left w:val="nil"/>
          <w:bottom w:val="nil"/>
          <w:right w:val="nil"/>
          <w:between w:val="nil"/>
        </w:pBdr>
        <w:shd w:val="clear" w:color="auto" w:fill="FFFFFF" w:themeFill="background1"/>
        <w:tabs>
          <w:tab w:val="center" w:pos="4819"/>
          <w:tab w:val="left" w:pos="5715"/>
        </w:tabs>
        <w:jc w:val="left"/>
        <w:rPr>
          <w:rFonts w:ascii="Palatino Linotype" w:eastAsia="Palatino Linotype" w:hAnsi="Palatino Linotype" w:cs="Palatino Linotype"/>
          <w:b/>
          <w:bCs/>
        </w:rPr>
      </w:pPr>
      <w:r w:rsidRPr="00F532EC">
        <w:rPr>
          <w:rFonts w:ascii="Palatino Linotype" w:eastAsia="Palatino Linotype" w:hAnsi="Palatino Linotype" w:cs="Palatino Linotype"/>
          <w:b/>
          <w:bCs/>
          <w:color w:val="000000"/>
        </w:rPr>
        <w:t xml:space="preserve">Abstract </w:t>
      </w:r>
      <w:sdt>
        <w:sdtPr>
          <w:rPr>
            <w:rFonts w:ascii="Palatino Linotype" w:hAnsi="Palatino Linotype"/>
          </w:rPr>
          <w:tag w:val="goog_rdk_3"/>
          <w:id w:val="1304388473"/>
          <w:showingPlcHdr/>
        </w:sdtPr>
        <w:sdtContent>
          <w:r w:rsidR="00956C4B" w:rsidRPr="00F532EC">
            <w:rPr>
              <w:rFonts w:ascii="Palatino Linotype" w:hAnsi="Palatino Linotype"/>
            </w:rPr>
            <w:t xml:space="preserve">     </w:t>
          </w:r>
        </w:sdtContent>
      </w:sdt>
    </w:p>
    <w:p w14:paraId="35BE7A19" w14:textId="42C7F00E" w:rsidR="00191C6D" w:rsidRPr="00F532EC" w:rsidRDefault="00191C6D" w:rsidP="00F532EC">
      <w:p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 xml:space="preserve">Chili is one of the horticultural commodities with high economic value. However, chili farming productivity and sustainability continue to face challenges, particularly in plant pest and disease management, the adoption of environmentally friendly cultivation technologies, and the processing of agricultural products into value-added products. This community service activity aimed to improve farmers’ knowledge, skills, and self-reliance in applying environmentally friendly chili cultivation technologies through the utilization of biological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ts, namely </w:t>
      </w:r>
      <w:r w:rsidRPr="00F532EC">
        <w:rPr>
          <w:rFonts w:ascii="Palatino Linotype" w:eastAsia="Palatino Linotype" w:hAnsi="Palatino Linotype" w:cs="Palatino Linotype"/>
          <w:i/>
          <w:iCs/>
        </w:rPr>
        <w:t>Plant Growth-Promoting Rhizobacteria</w:t>
      </w:r>
      <w:r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lastRenderedPageBreak/>
        <w:t xml:space="preserve">(PGPR) and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as well as to increase the added value of chili production. The activity involved 10 members of the Subur Makmur Farmers’ Group in Tanjung Baru Village. The implementation methods included socialization, training, demonstrations, hands-on practice, mentoring, and evaluation. The training covered PGPR production using fermenter technology,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propagation, and chili processing into CAMBUK chili powder through sorting, washing, drying, grinding, and packaging. The results demonstrated improvements in the partners’ knowledge and skills in producing and utilizing PGPR and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as biological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ts. Based on the pre-test and post-test results, knowledge increased from 55% to 90%, while practical skills in producing and applying PGPR and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increased from 50% to 85%. </w:t>
      </w:r>
      <w:r w:rsidR="00217247" w:rsidRPr="00F532EC">
        <w:rPr>
          <w:rFonts w:ascii="Palatino Linotype" w:eastAsia="Palatino Linotype" w:hAnsi="Palatino Linotype" w:cs="Palatino Linotype"/>
        </w:rPr>
        <w:t xml:space="preserve">Additionally, </w:t>
      </w:r>
      <w:r w:rsidR="00080B68" w:rsidRPr="00F532EC">
        <w:rPr>
          <w:rFonts w:ascii="Palatino Linotype" w:eastAsia="Palatino Linotype" w:hAnsi="Palatino Linotype" w:cs="Palatino Linotype"/>
        </w:rPr>
        <w:t xml:space="preserve">increased from 40% to </w:t>
      </w:r>
      <w:r w:rsidR="00217247" w:rsidRPr="00F532EC">
        <w:rPr>
          <w:rFonts w:ascii="Palatino Linotype" w:eastAsia="Palatino Linotype" w:hAnsi="Palatino Linotype" w:cs="Palatino Linotype"/>
        </w:rPr>
        <w:t xml:space="preserve">100% of the participants were able to process chili peppers into a value-added chili powder product. </w:t>
      </w:r>
      <w:r w:rsidRPr="00F532EC">
        <w:rPr>
          <w:rFonts w:ascii="Palatino Linotype" w:eastAsia="Palatino Linotype" w:hAnsi="Palatino Linotype" w:cs="Palatino Linotype"/>
        </w:rPr>
        <w:t>Overall, this community service activity contributed to the adoption of more environmentally friendly chili cultivation practices, improved farming efficiency, utilization of local resources, and strengthened the economic self-reliance of farmers.</w:t>
      </w:r>
      <w:r w:rsidR="00486A8A" w:rsidRPr="00F532EC">
        <w:rPr>
          <w:rFonts w:ascii="Palatino Linotype" w:eastAsia="Palatino Linotype" w:hAnsi="Palatino Linotype" w:cs="Palatino Linotype"/>
        </w:rPr>
        <w:t xml:space="preserve"> </w:t>
      </w:r>
    </w:p>
    <w:p w14:paraId="22034107" w14:textId="77777777" w:rsidR="00142F8A" w:rsidRPr="00F532EC" w:rsidRDefault="00142F8A" w:rsidP="00F532EC">
      <w:pPr>
        <w:shd w:val="clear" w:color="auto" w:fill="FFFFFF" w:themeFill="background1"/>
        <w:rPr>
          <w:rFonts w:ascii="Palatino Linotype" w:eastAsia="Palatino Linotype" w:hAnsi="Palatino Linotype" w:cs="Palatino Linotype"/>
        </w:rPr>
      </w:pPr>
    </w:p>
    <w:p w14:paraId="71E25C6B" w14:textId="6B5F9056" w:rsidR="00142F8A" w:rsidRPr="00F532EC" w:rsidRDefault="00D53D4A" w:rsidP="00F532EC">
      <w:p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b/>
          <w:bCs/>
        </w:rPr>
        <w:t xml:space="preserve">Keywords: </w:t>
      </w:r>
      <w:r w:rsidR="00181F03" w:rsidRPr="00F532EC">
        <w:rPr>
          <w:rFonts w:ascii="Palatino Linotype" w:eastAsia="Palatino Linotype" w:hAnsi="Palatino Linotype" w:cs="Palatino Linotype"/>
        </w:rPr>
        <w:t xml:space="preserve">food diversification; integrated farming; biological </w:t>
      </w:r>
      <w:r w:rsidR="0098045B" w:rsidRPr="00F532EC">
        <w:rPr>
          <w:rFonts w:ascii="Palatino Linotype" w:eastAsia="Palatino Linotype" w:hAnsi="Palatino Linotype" w:cs="Palatino Linotype"/>
        </w:rPr>
        <w:t>agens</w:t>
      </w:r>
      <w:r w:rsidR="00181F03" w:rsidRPr="00F532EC">
        <w:rPr>
          <w:rFonts w:ascii="Palatino Linotype" w:eastAsia="Palatino Linotype" w:hAnsi="Palatino Linotype" w:cs="Palatino Linotype"/>
        </w:rPr>
        <w:t>ts; horticultural crops</w:t>
      </w:r>
    </w:p>
    <w:p w14:paraId="14005B87" w14:textId="77777777" w:rsidR="00142F8A" w:rsidRPr="00F532EC" w:rsidRDefault="00D53D4A" w:rsidP="00F532EC">
      <w:pPr>
        <w:shd w:val="clear" w:color="auto" w:fill="FFFFFF" w:themeFill="background1"/>
        <w:ind w:left="1350" w:hanging="1350"/>
        <w:rPr>
          <w:rFonts w:ascii="Palatino Linotype" w:hAnsi="Palatino Linotype"/>
        </w:rPr>
      </w:pPr>
      <w:r w:rsidRPr="00F532EC">
        <w:rPr>
          <w:rFonts w:ascii="Palatino Linotype" w:hAnsi="Palatino Linotype"/>
          <w:noProof/>
        </w:rPr>
        <mc:AlternateContent>
          <mc:Choice Requires="wps">
            <w:drawing>
              <wp:anchor distT="0" distB="0" distL="114300" distR="114300" simplePos="0" relativeHeight="251658240" behindDoc="0" locked="0" layoutInCell="1" hidden="0" allowOverlap="1" wp14:anchorId="56824103" wp14:editId="5E05068D">
                <wp:simplePos x="0" y="0"/>
                <wp:positionH relativeFrom="column">
                  <wp:posOffset>-5713</wp:posOffset>
                </wp:positionH>
                <wp:positionV relativeFrom="paragraph">
                  <wp:posOffset>136525</wp:posOffset>
                </wp:positionV>
                <wp:extent cx="5760085" cy="19050"/>
                <wp:effectExtent l="0" t="0" r="0" b="0"/>
                <wp:wrapNone/>
                <wp:docPr id="2" name="Straight Arrow Connector 2"/>
                <wp:cNvGraphicFramePr/>
                <a:graphic xmlns:a="http://schemas.openxmlformats.org/drawingml/2006/main">
                  <a:graphicData uri="http://schemas.microsoft.com/office/word/2010/wordprocessingShape">
                    <wps:wsp>
                      <wps:cNvCnPr/>
                      <wps:spPr>
                        <a:xfrm>
                          <a:off x="2465958" y="3780000"/>
                          <a:ext cx="576008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w:pict>
              <v:shapetype w14:anchorId="14B6B135" id="_x0000_t32" coordsize="21600,21600" o:spt="32" o:oned="t" path="m,l21600,21600e" filled="f">
                <v:path arrowok="t" fillok="f" o:connecttype="none"/>
                <o:lock v:ext="edit" shapetype="t"/>
              </v:shapetype>
              <v:shape id="Straight Arrow Connector 2" o:spid="_x0000_s1026" type="#_x0000_t32" style="position:absolute;margin-left:-.45pt;margin-top:10.75pt;width:453.55pt;height: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" strokeweight="1.5pt"/>
            </w:pict>
          </mc:Fallback>
        </mc:AlternateContent>
      </w:r>
    </w:p>
    <w:p w14:paraId="6CC3F7D2" w14:textId="77777777" w:rsidR="00142F8A" w:rsidRPr="00F532EC" w:rsidRDefault="00142F8A" w:rsidP="00F532EC">
      <w:pPr>
        <w:shd w:val="clear" w:color="auto" w:fill="FFFFFF" w:themeFill="background1"/>
        <w:ind w:left="1350" w:hanging="1350"/>
        <w:rPr>
          <w:rFonts w:ascii="Palatino Linotype" w:hAnsi="Palatino Linotype"/>
        </w:rPr>
        <w:sectPr w:rsidR="00142F8A" w:rsidRPr="00F532EC" w:rsidSect="00F532EC">
          <w:headerReference w:type="even" r:id="rId9"/>
          <w:headerReference w:type="default" r:id="rId10"/>
          <w:footerReference w:type="even" r:id="rId11"/>
          <w:footerReference w:type="default" r:id="rId12"/>
          <w:headerReference w:type="first" r:id="rId13"/>
          <w:footerReference w:type="first" r:id="rId14"/>
          <w:pgSz w:w="11920" w:h="16840"/>
          <w:pgMar w:top="1418" w:right="1418" w:bottom="1418" w:left="1418" w:header="709" w:footer="709" w:gutter="0"/>
          <w:pgNumType w:start="4761"/>
          <w:cols w:space="720"/>
          <w:titlePg/>
        </w:sectPr>
      </w:pPr>
    </w:p>
    <w:p w14:paraId="5E443A1A" w14:textId="77777777" w:rsidR="00F532EC" w:rsidRDefault="00F532EC" w:rsidP="00F532EC">
      <w:pPr>
        <w:pBdr>
          <w:top w:val="nil"/>
          <w:left w:val="nil"/>
          <w:bottom w:val="nil"/>
          <w:right w:val="nil"/>
          <w:between w:val="nil"/>
        </w:pBdr>
        <w:shd w:val="clear" w:color="auto" w:fill="FFFFFF" w:themeFill="background1"/>
        <w:rPr>
          <w:rFonts w:ascii="Palatino Linotype" w:eastAsia="Palatino Linotype" w:hAnsi="Palatino Linotype" w:cs="Palatino Linotype"/>
          <w:b/>
          <w:bCs/>
          <w:color w:val="000000"/>
          <w:sz w:val="24"/>
          <w:szCs w:val="24"/>
        </w:rPr>
      </w:pPr>
    </w:p>
    <w:p w14:paraId="2A5C0AD9" w14:textId="1FD58B0D" w:rsidR="00C10DE3" w:rsidRPr="00F532EC" w:rsidRDefault="00D53D4A" w:rsidP="00F532EC">
      <w:pPr>
        <w:pBdr>
          <w:top w:val="nil"/>
          <w:left w:val="nil"/>
          <w:bottom w:val="nil"/>
          <w:right w:val="nil"/>
          <w:between w:val="nil"/>
        </w:pBdr>
        <w:shd w:val="clear" w:color="auto" w:fill="FFFFFF" w:themeFill="background1"/>
        <w:rPr>
          <w:rFonts w:ascii="Palatino Linotype" w:eastAsia="Palatino Linotype" w:hAnsi="Palatino Linotype" w:cs="Palatino Linotype"/>
          <w:sz w:val="24"/>
          <w:szCs w:val="24"/>
        </w:rPr>
      </w:pPr>
      <w:r w:rsidRPr="00F532EC">
        <w:rPr>
          <w:rFonts w:ascii="Palatino Linotype" w:eastAsia="Palatino Linotype" w:hAnsi="Palatino Linotype" w:cs="Palatino Linotype"/>
          <w:b/>
          <w:bCs/>
          <w:color w:val="000000"/>
          <w:sz w:val="24"/>
          <w:szCs w:val="24"/>
        </w:rPr>
        <w:t xml:space="preserve">PENDAHULUAN </w:t>
      </w:r>
      <w:sdt>
        <w:sdtPr>
          <w:rPr>
            <w:rFonts w:ascii="Palatino Linotype" w:hAnsi="Palatino Linotype"/>
            <w:sz w:val="24"/>
            <w:szCs w:val="24"/>
          </w:rPr>
          <w:tag w:val="goog_rdk_4"/>
          <w:id w:val="-164581445"/>
          <w:showingPlcHdr/>
        </w:sdtPr>
        <w:sdtContent>
          <w:r w:rsidR="00FE72C1" w:rsidRPr="00F532EC">
            <w:rPr>
              <w:rFonts w:ascii="Palatino Linotype" w:hAnsi="Palatino Linotype"/>
              <w:sz w:val="24"/>
              <w:szCs w:val="24"/>
            </w:rPr>
            <w:t xml:space="preserve">     </w:t>
          </w:r>
        </w:sdtContent>
      </w:sdt>
    </w:p>
    <w:p w14:paraId="74AAC588" w14:textId="0740B5D4" w:rsidR="00C10DE3" w:rsidRPr="00F532EC" w:rsidRDefault="00261FE3" w:rsidP="00F532EC">
      <w:pPr>
        <w:shd w:val="clear" w:color="auto" w:fill="FFFFFF" w:themeFill="background1"/>
        <w:tabs>
          <w:tab w:val="left" w:pos="5954"/>
        </w:tabs>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Desa Tanjung Baru, Kecamatan Indralaya Utara, Kabupaten Ogan Ilir, memiliki potensi dalam pengembangan usaha tani cabai. Salah satu kelompok yang aktif dalam kegiatan pertanian adalah Kelompok Tani Subur Makmur. </w:t>
      </w:r>
      <w:r w:rsidR="00C10DE3" w:rsidRPr="00F532EC">
        <w:rPr>
          <w:rFonts w:ascii="Palatino Linotype" w:eastAsia="Palatino Linotype" w:hAnsi="Palatino Linotype" w:cs="Palatino Linotype"/>
        </w:rPr>
        <w:t>Cabai merah (</w:t>
      </w:r>
      <w:r w:rsidR="00C10DE3" w:rsidRPr="00F532EC">
        <w:rPr>
          <w:rFonts w:ascii="Palatino Linotype" w:eastAsia="Palatino Linotype" w:hAnsi="Palatino Linotype" w:cs="Palatino Linotype"/>
          <w:i/>
          <w:iCs/>
        </w:rPr>
        <w:t>Capsicum annuum</w:t>
      </w:r>
      <w:r w:rsidR="00C10DE3" w:rsidRPr="00F532EC">
        <w:rPr>
          <w:rFonts w:ascii="Palatino Linotype" w:eastAsia="Palatino Linotype" w:hAnsi="Palatino Linotype" w:cs="Palatino Linotype"/>
        </w:rPr>
        <w:t xml:space="preserve"> L.) merupakan salah satu komoditas hortikultura yang memiliki nilai ekonomi tinggi dan banyak dibutuhkan masyarakat. Cabai digunakan sebagai bahan pangan rumah tangga maupun bahan baku berbagai produk olahan, sehingga memiliki peluang pengembangan usaha yang cukup besar. Tingginya kebutuhan terhadap cabai perlu diimbangi dengan peningkatan produktivitas dan kualitas hasil melalui penerapan teknologi budidaya yang tepat. Namun, usaha tani cabai di tingkat petani masih menghadapi berbagai kendala, antara lain serangan organisme pengganggu tanaman (OPT), penggunaan input produksi yang belum efisien, serta terbatasnya penerapan teknologi pengolahan hasil</w:t>
      </w:r>
      <w:r w:rsidR="00D809EA" w:rsidRPr="00F532EC">
        <w:rPr>
          <w:rFonts w:ascii="Palatino Linotype" w:eastAsia="Palatino Linotype" w:hAnsi="Palatino Linotype" w:cs="Palatino Linotype"/>
        </w:rPr>
        <w:t xml:space="preserve"> </w:t>
      </w:r>
      <w:r w:rsidR="00D809EA" w:rsidRPr="00F532EC">
        <w:rPr>
          <w:rFonts w:ascii="Palatino Linotype" w:eastAsia="Palatino Linotype" w:hAnsi="Palatino Linotype" w:cs="Palatino Linotype"/>
        </w:rPr>
        <w:fldChar w:fldCharType="begin" w:fldLock="1"/>
      </w:r>
      <w:r w:rsidR="00182185" w:rsidRPr="00F532EC">
        <w:rPr>
          <w:rFonts w:ascii="Palatino Linotype" w:eastAsia="Palatino Linotype" w:hAnsi="Palatino Linotype" w:cs="Palatino Linotype"/>
        </w:rPr>
        <w:instrText>ADDIN CSL_CITATION {"citationItems":[{"id":"ITEM-1","itemData":{"DOI":"10.3389/FMICB.2024.1479957/FULL","ISSN":"1664302X","abstract":"Damping-off disease in chili (Capsicum annum L.) cultivation is a significant global issue, severely affecting seeds, seedlings, and young plants, regardless of the location of cultivation, whether in greenhouses or open fields. Despite chili being a widely popular vegetable used in various cuisines globally, farmers face challenges in meeting the growing demand due to the extensive damage caused by this disease, ranging from 20 to 85%. The shelf life and quality of mature pods are also severely affected. Damping-off disease is mainly caused by soil-borne fungus from the Pythium species, with additional contributions from Phytophthora, Fusarium, and Rhizoctonia species. These pathogens’ adaptability to diverse environmental conditions and resistance to synthetic fungicides make controlling damping-off on a commercial scale challenging. However, integrated disease management has shown promising results as a remedial approach. In this review, we discuss the current state of chili diseases, the nature of the pathogens causing damping-off, the epidemiology of the disease, and various control mechanisms. In this review, we broadly discuss the current state of chili diseases, the nature of the pathogens causing damping-off, the epidemiology of the disease, and various control mechanisms. Furthermore, we highlight the importance and efficacy of integrated disease management techniques, along with future prospects in unexplored areas, such as host–pathogen interaction and sustainable disease control measures. The information in this review aims to assist chili growers in understanding the epidemiology and management of damping-off in chili cultivation.","author":[{"dropping-particle":"","family":"Delai","given":"Chen","non-dropping-particle":"","parse-names":false,"suffix":""},{"dropping-particle":"","family":"Muhae-Ud-Din","given":"Ghulam","non-dropping-particle":"","parse-names":false,"suffix":""},{"dropping-particle":"","family":"Abid","given":"Rimsha","non-dropping-particle":"","parse-names":false,"suffix":""},{"dropping-particle":"","family":"Tian","given":"Tian","non-dropping-particle":"","parse-names":false,"suffix":""},{"dropping-particle":"","family":"Liu","given":"Ruirui","non-dropping-particle":"","parse-names":false,"suffix":""},{"dropping-particle":"","family":"Xiong","given":"Yan","non-dropping-particle":"","parse-names":false,"suffix":""},{"dropping-particle":"","family":"Ma","given":"Shirong","non-dropping-particle":"","parse-names":false,"suffix":""},{"dropping-particle":"","family":"Ghorbani","given":"Abazar","non-dropping-particle":"","parse-names":false,"suffix":""}],"container-title":"Frontiers in Microbiology","id":"ITEM-1","issued":{"date-parts":[["2024","10","17"]]},"page":"1479957","publisher":"Frontiers Media SA","title":"A comprehensive review of integrated management strategies for damping-off disease in chili","type":"article-journal","volume":"15"},"uris":["http://www.mendeley.com/documents/?uuid=dd002d34-7168-3ccb-911a-6e4363471a43"]}],"mendeley":{"formattedCitation":"(Delai et al., 2024)","plainTextFormattedCitation":"(Delai et al., 2024)","previouslyFormattedCitation":"(Delai et al., 2024)"},"properties":{"noteIndex":0},"schema":"https://github.com/citation-style-language/schema/raw/master/csl-citation.json"}</w:instrText>
      </w:r>
      <w:r w:rsidR="00D809EA" w:rsidRPr="00F532EC">
        <w:rPr>
          <w:rFonts w:ascii="Palatino Linotype" w:eastAsia="Palatino Linotype" w:hAnsi="Palatino Linotype" w:cs="Palatino Linotype"/>
        </w:rPr>
        <w:fldChar w:fldCharType="separate"/>
      </w:r>
      <w:r w:rsidR="00D809EA" w:rsidRPr="00F532EC">
        <w:rPr>
          <w:rFonts w:ascii="Palatino Linotype" w:eastAsia="Palatino Linotype" w:hAnsi="Palatino Linotype" w:cs="Palatino Linotype"/>
          <w:noProof/>
        </w:rPr>
        <w:t>(Delai et al., 2024)</w:t>
      </w:r>
      <w:r w:rsidR="00D809EA" w:rsidRPr="00F532EC">
        <w:rPr>
          <w:rFonts w:ascii="Palatino Linotype" w:eastAsia="Palatino Linotype" w:hAnsi="Palatino Linotype" w:cs="Palatino Linotype"/>
        </w:rPr>
        <w:fldChar w:fldCharType="end"/>
      </w:r>
      <w:r w:rsidR="00182185" w:rsidRPr="00F532EC">
        <w:rPr>
          <w:rFonts w:ascii="Palatino Linotype" w:eastAsia="Palatino Linotype" w:hAnsi="Palatino Linotype" w:cs="Palatino Linotype"/>
        </w:rPr>
        <w:t xml:space="preserve">. </w:t>
      </w:r>
      <w:r w:rsidR="00C10DE3" w:rsidRPr="00F532EC">
        <w:rPr>
          <w:rFonts w:ascii="Palatino Linotype" w:eastAsia="Palatino Linotype" w:hAnsi="Palatino Linotype" w:cs="Palatino Linotype"/>
        </w:rPr>
        <w:t>Salah satu permasalahan penting dalam budidaya cabai adalah serangan penyakit tanaman yang disebabkan oleh patogen, terutama kelompok fungi</w:t>
      </w:r>
      <w:r w:rsidR="00BE04E5" w:rsidRPr="00F532EC">
        <w:rPr>
          <w:rFonts w:ascii="Palatino Linotype" w:eastAsia="Palatino Linotype" w:hAnsi="Palatino Linotype" w:cs="Palatino Linotype"/>
        </w:rPr>
        <w:t xml:space="preserve"> </w:t>
      </w:r>
      <w:r w:rsidR="00182185" w:rsidRPr="00F532EC">
        <w:rPr>
          <w:rFonts w:ascii="Palatino Linotype" w:eastAsia="Palatino Linotype" w:hAnsi="Palatino Linotype" w:cs="Palatino Linotype"/>
        </w:rPr>
        <w:fldChar w:fldCharType="begin" w:fldLock="1"/>
      </w:r>
      <w:r w:rsidR="006C078B" w:rsidRPr="00F532EC">
        <w:rPr>
          <w:rFonts w:ascii="Palatino Linotype" w:eastAsia="Palatino Linotype" w:hAnsi="Palatino Linotype" w:cs="Palatino Linotype"/>
        </w:rPr>
        <w:instrText>ADDIN CSL_CITATION {"citationItems":[{"id":"ITEM-1","itemData":{"DOI":"10.3390/MOLECULES28186735","ISSN":"1420-3049","PMID":"37764510","abstract":"Plants are constantly exposed to various phytopathogens such as fungi, Oomycetes, nematodes, bacteria, and viruses. These pathogens can significantly reduce the productivity of important crops worldwide, with annual crop yield losses ranging from 20% to 40% caused by various pathogenic diseases. While the use of chemical pesticides has been effective at controlling multiple diseases in major crops, excessive use of synthetic chemicals has detrimental effects on the environment and human health, which discourages pesticide application in the agriculture sector. As a result, researchers worldwide have shifted their focus towards alternative eco-friendly strategies to prevent plant diseases. Biocontrol of phytopathogens is a less toxic and safer method that reduces the severity of various crop diseases. A variety of biological control agents (BCAs) are available for use, but further research is needed to identify potential microbes and their natural products with a broad-spectrum antagonistic activity to control crop diseases. This review aims to highlight the importance of biocontrol strategies for managing crop diseases. Furthermore, the role of beneficial microbes in controlling plant diseases and the current status of their biocontrol mechanisms will be summarized. The review will also cover the challenges and the need for the future development of biocontrol methods to ensure efficient crop disease management for sustainable agriculture.","author":[{"dropping-particle":"","family":"Ayaz","given":"M ;","non-dropping-particle":"","parse-names":false,"suffix":""},{"dropping-particle":"","family":"Li","given":"C.-H ;","non-dropping-particle":"","parse-names":false,"suffix":""},{"dropping-particle":"","family":"Ali","given":"Q ;","non-dropping-particle":"","parse-names":false,"suffix":""},{"dropping-particle":"","family":"Zhao","given":"W ;","non-dropping-particle":"","parse-names":false,"suffix":""},{"dropping-particle":"","family":"Chi","given":"Y.-K ;","non-dropping-particle":"","parse-names":false,"suffix":""},{"dropping-particle":"","family":"Shafiq","given":"M ;","non-dropping-particle":"","parse-names":false,"suffix":""},{"dropping-particle":"","family":"Ali","given":"F ;","non-dropping-particle":"","parse-names":false,"suffix":""},{"dropping-particle":"","family":"Yu","given":"X.-Y ;","non-dropping-particle":"","parse-names":false,"suffix":""},{"dropping-particle":"","family":"Yu","given":"Q ;","non-dropping-particle":"","parse-names":false,"suffix":""},{"dropping-particle":"","family":"Zhao","given":"J.-T ;","non-dropping-particle":"","parse-names":false,"suffix":""},{"dropping-particle":"","family":"Bacterial","given":"Al","non-dropping-particle":"","parse-names":false,"suffix":""},{"dropping-particle":"","family":"Biocontrol","given":"Fungal","non-dropping-particle":"","parse-names":false,"suffix":""},{"dropping-particle":"","family":"Ayaz","given":"Muhammad","non-dropping-particle":"","parse-names":false,"suffix":""},{"dropping-particle":"","family":"Li","given":"Cai-Hong","non-dropping-particle":"","parse-names":false,"suffix":""},{"dropping-particle":"","family":"Ali","given":"Qurban","non-dropping-particle":"","parse-names":false,"suffix":""},{"dropping-particle":"","family":"Zhao","given":"Wei","non-dropping-particle":"","parse-names":false,"suffix":""},{"dropping-particle":"","family":"Chi","given":"Yuan-Kai","non-dropping-particle":"","parse-names":false,"suffix":""},{"dropping-particle":"","family":"Shafiq","given":"Muhammad","non-dropping-particle":"","parse-names":false,"suffix":""},{"dropping-particle":"","family":"Ali","given":"Farman","non-dropping-particle":"","parse-names":false,"suffix":""},{"dropping-particle":"","family":"Yu","given":"Xi-Yue","non-dropping-particle":"","parse-names":false,"suffix":""},{"dropping-particle":"","family":"Yu","given":"Qing","non-dropping-particle":"","parse-names":false,"suffix":""},{"dropping-particle":"","family":"Zhao","given":"Jing-Tian","non-dropping-particle":"","parse-names":false,"suffix":""},{"dropping-particle":"","family":"Yu","given":"Jing-Wen","non-dropping-particle":"","parse-names":false,"suffix":""},{"dropping-particle":"","family":"Qi","given":"Ren-De","non-dropping-particle":"","parse-names":false,"suffix":""},{"dropping-particle":"","family":"Huang","given":"Wen-Kun","non-dropping-particle":"","parse-names":false,"suffix":""}],"container-title":"Molecules 2023, Vol. 28, Page 6735","id":"ITEM-1","issue":"18","issued":{"date-parts":[["2023","9","21"]]},"page":"6735","publisher":"Multidisciplinary Digital Publishing Institute","title":"Bacterial and Fungal Biocontrol Agents for Plant Disease Protection: Journey from Lab to Field, Current Status, Challenges, and Global Perspectives","type":"article-journal","volume":"28"},"uris":["http://www.mendeley.com/documents/?uuid=f60e24da-cc1a-3244-a566-b075de1de01a"]}],"mendeley":{"formattedCitation":"(Ayaz et al., 2023)","plainTextFormattedCitation":"(Ayaz et al., 2023)","previouslyFormattedCitation":"(Ayaz et al., 2023)"},"properties":{"noteIndex":0},"schema":"https://github.com/citation-style-language/schema/raw/master/csl-citation.json"}</w:instrText>
      </w:r>
      <w:r w:rsidR="00182185" w:rsidRPr="00F532EC">
        <w:rPr>
          <w:rFonts w:ascii="Palatino Linotype" w:eastAsia="Palatino Linotype" w:hAnsi="Palatino Linotype" w:cs="Palatino Linotype"/>
        </w:rPr>
        <w:fldChar w:fldCharType="separate"/>
      </w:r>
      <w:r w:rsidR="00182185" w:rsidRPr="00F532EC">
        <w:rPr>
          <w:rFonts w:ascii="Palatino Linotype" w:eastAsia="Palatino Linotype" w:hAnsi="Palatino Linotype" w:cs="Palatino Linotype"/>
          <w:noProof/>
        </w:rPr>
        <w:t>(Ayaz et al., 2023)</w:t>
      </w:r>
      <w:r w:rsidR="00182185" w:rsidRPr="00F532EC">
        <w:rPr>
          <w:rFonts w:ascii="Palatino Linotype" w:eastAsia="Palatino Linotype" w:hAnsi="Palatino Linotype" w:cs="Palatino Linotype"/>
        </w:rPr>
        <w:fldChar w:fldCharType="end"/>
      </w:r>
      <w:r w:rsidR="00C10DE3" w:rsidRPr="00F532EC">
        <w:rPr>
          <w:rFonts w:ascii="Palatino Linotype" w:eastAsia="Palatino Linotype" w:hAnsi="Palatino Linotype" w:cs="Palatino Linotype"/>
        </w:rPr>
        <w:t xml:space="preserve">. </w:t>
      </w:r>
      <w:r w:rsidR="00BE04E5" w:rsidRPr="00F532EC">
        <w:rPr>
          <w:rFonts w:ascii="Palatino Linotype" w:eastAsia="Palatino Linotype" w:hAnsi="Palatino Linotype" w:cs="Palatino Linotype"/>
        </w:rPr>
        <w:t>Beberapa penyakit yang umum menyerang tanaman cabai antara lain antraknosa (</w:t>
      </w:r>
      <w:r w:rsidR="00BE04E5" w:rsidRPr="00F532EC">
        <w:rPr>
          <w:rFonts w:ascii="Palatino Linotype" w:eastAsia="Palatino Linotype" w:hAnsi="Palatino Linotype" w:cs="Palatino Linotype"/>
          <w:i/>
          <w:iCs/>
        </w:rPr>
        <w:t>Colletotrichum</w:t>
      </w:r>
      <w:r w:rsidR="00BE04E5" w:rsidRPr="00F532EC">
        <w:rPr>
          <w:rFonts w:ascii="Palatino Linotype" w:eastAsia="Palatino Linotype" w:hAnsi="Palatino Linotype" w:cs="Palatino Linotype"/>
        </w:rPr>
        <w:t xml:space="preserve"> spp.) dan  layu fusarium (</w:t>
      </w:r>
      <w:r w:rsidR="00BE04E5" w:rsidRPr="00F532EC">
        <w:rPr>
          <w:rFonts w:ascii="Palatino Linotype" w:eastAsia="Palatino Linotype" w:hAnsi="Palatino Linotype" w:cs="Palatino Linotype"/>
          <w:i/>
          <w:iCs/>
        </w:rPr>
        <w:t>Fusarium oxysporum</w:t>
      </w:r>
      <w:r w:rsidR="00BE04E5" w:rsidRPr="00F532EC">
        <w:rPr>
          <w:rFonts w:ascii="Palatino Linotype" w:eastAsia="Palatino Linotype" w:hAnsi="Palatino Linotype" w:cs="Palatino Linotype"/>
        </w:rPr>
        <w:t xml:space="preserve">) </w:t>
      </w:r>
      <w:r w:rsidR="006C078B" w:rsidRPr="00F532EC">
        <w:rPr>
          <w:rFonts w:ascii="Palatino Linotype" w:eastAsia="Palatino Linotype" w:hAnsi="Palatino Linotype" w:cs="Palatino Linotype"/>
        </w:rPr>
        <w:fldChar w:fldCharType="begin" w:fldLock="1"/>
      </w:r>
      <w:r w:rsidR="00DD048C" w:rsidRPr="00F532EC">
        <w:rPr>
          <w:rFonts w:ascii="Palatino Linotype" w:eastAsia="Palatino Linotype" w:hAnsi="Palatino Linotype" w:cs="Palatino Linotype"/>
        </w:rPr>
        <w:instrText>ADDIN CSL_CITATION {"citationItems":[{"id":"ITEM-1","itemData":{"URL":"https://www.ejournal.warmadewa.ac.id/index.php/agriwar/article/view/14200/7146","accessed":{"date-parts":[["2026","9","8"]]},"id":"ITEM-1","issued":{"date-parts":[["0"]]},"title":"View of Biopesticides to Control Anthracnose Disease in Chili Pepper (Capsicum annuum L.): A Review","type":"webpage"},"uris":["http://www.mendeley.com/documents/?uuid=3f560eab-0436-3470-98dd-6ca3cccfb2e1"]}],"mendeley":{"formattedCitation":"(&lt;i&gt;View of Biopesticides to Control Anthracnose Disease in Chili Pepper (Capsicum Annuum L.): A Review&lt;/i&gt;, n.d.)","manualFormatting":"(Dewi et al., 2025).","plainTextFormattedCitation":"(View of Biopesticides to Control Anthracnose Disease in Chili Pepper (Capsicum Annuum L.): A Review, n.d.)","previouslyFormattedCitation":"(&lt;i&gt;View of Biopesticides to Control Anthracnose Disease in Chili Pepper (Capsicum Annuum L.): A Review&lt;/i&gt;, n.d.)"},"properties":{"noteIndex":0},"schema":"https://github.com/citation-style-language/schema/raw/master/csl-citation.json"}</w:instrText>
      </w:r>
      <w:r w:rsidR="006C078B" w:rsidRPr="00F532EC">
        <w:rPr>
          <w:rFonts w:ascii="Palatino Linotype" w:eastAsia="Palatino Linotype" w:hAnsi="Palatino Linotype" w:cs="Palatino Linotype"/>
        </w:rPr>
        <w:fldChar w:fldCharType="separate"/>
      </w:r>
      <w:r w:rsidR="006C078B" w:rsidRPr="00F532EC">
        <w:rPr>
          <w:rFonts w:ascii="Palatino Linotype" w:eastAsia="Palatino Linotype" w:hAnsi="Palatino Linotype" w:cs="Palatino Linotype"/>
          <w:noProof/>
        </w:rPr>
        <w:t>(</w:t>
      </w:r>
      <w:r w:rsidR="00CB182A" w:rsidRPr="00F532EC">
        <w:rPr>
          <w:rFonts w:ascii="Palatino Linotype" w:eastAsia="Palatino Linotype" w:hAnsi="Palatino Linotype" w:cs="Palatino Linotype"/>
          <w:iCs/>
          <w:noProof/>
        </w:rPr>
        <w:t>Dewi et al., 2025</w:t>
      </w:r>
      <w:r w:rsidR="00CB182A" w:rsidRPr="00F532EC">
        <w:rPr>
          <w:rFonts w:ascii="Palatino Linotype" w:eastAsia="Palatino Linotype" w:hAnsi="Palatino Linotype" w:cs="Palatino Linotype"/>
          <w:i/>
          <w:noProof/>
        </w:rPr>
        <w:t>).</w:t>
      </w:r>
      <w:r w:rsidR="006C078B" w:rsidRPr="00F532EC">
        <w:rPr>
          <w:rFonts w:ascii="Palatino Linotype" w:eastAsia="Palatino Linotype" w:hAnsi="Palatino Linotype" w:cs="Palatino Linotype"/>
        </w:rPr>
        <w:fldChar w:fldCharType="end"/>
      </w:r>
      <w:r w:rsidR="00BE04E5" w:rsidRPr="00F532EC">
        <w:rPr>
          <w:rFonts w:ascii="Palatino Linotype" w:eastAsia="Palatino Linotype" w:hAnsi="Palatino Linotype" w:cs="Palatino Linotype"/>
        </w:rPr>
        <w:t xml:space="preserve"> </w:t>
      </w:r>
      <w:r w:rsidR="00C10DE3" w:rsidRPr="00F532EC">
        <w:rPr>
          <w:rFonts w:ascii="Palatino Linotype" w:eastAsia="Palatino Linotype" w:hAnsi="Palatino Linotype" w:cs="Palatino Linotype"/>
        </w:rPr>
        <w:t>Serangan penyakit dapat menghambat pertumbuhan tanaman, menurunkan kualitas buah, dan menyebabkan kehilangan hasil. Kondisi tersebut sering mendorong petani mengandalkan pestisida kimia untuk mengendalikan penyakit. Penggunaan pestisida yang tidak tepat dan berlebihan dapat meningkatkan biaya produksi serta berpotensi menimbulkan dampak negatif terhadap</w:t>
      </w:r>
      <w:r w:rsidRPr="00F532EC">
        <w:rPr>
          <w:rFonts w:ascii="Palatino Linotype" w:eastAsia="Palatino Linotype" w:hAnsi="Palatino Linotype" w:cs="Palatino Linotype"/>
        </w:rPr>
        <w:t xml:space="preserve"> l</w:t>
      </w:r>
      <w:r w:rsidR="00C10DE3" w:rsidRPr="00F532EC">
        <w:rPr>
          <w:rFonts w:ascii="Palatino Linotype" w:eastAsia="Palatino Linotype" w:hAnsi="Palatino Linotype" w:cs="Palatino Linotype"/>
        </w:rPr>
        <w:t>in</w:t>
      </w:r>
      <w:r w:rsidR="00D471E3" w:rsidRPr="00F532EC">
        <w:rPr>
          <w:rFonts w:ascii="Palatino Linotype" w:eastAsia="Palatino Linotype" w:hAnsi="Palatino Linotype" w:cs="Palatino Linotype"/>
        </w:rPr>
        <w:t>g</w:t>
      </w:r>
      <w:r w:rsidR="00C10DE3" w:rsidRPr="00F532EC">
        <w:rPr>
          <w:rFonts w:ascii="Palatino Linotype" w:eastAsia="Palatino Linotype" w:hAnsi="Palatino Linotype" w:cs="Palatino Linotype"/>
        </w:rPr>
        <w:t>kungan</w:t>
      </w:r>
      <w:r w:rsidR="00D471E3" w:rsidRPr="00F532EC">
        <w:rPr>
          <w:rFonts w:ascii="Palatino Linotype" w:eastAsia="Palatino Linotype" w:hAnsi="Palatino Linotype" w:cs="Palatino Linotype"/>
        </w:rPr>
        <w:t xml:space="preserve"> (</w:t>
      </w:r>
      <w:r w:rsidR="00DD048C" w:rsidRPr="00F532EC">
        <w:rPr>
          <w:rFonts w:ascii="Palatino Linotype" w:eastAsia="Palatino Linotype" w:hAnsi="Palatino Linotype" w:cs="Palatino Linotype"/>
        </w:rPr>
        <w:fldChar w:fldCharType="begin" w:fldLock="1"/>
      </w:r>
      <w:r w:rsidR="00D3658F" w:rsidRPr="00F532EC">
        <w:rPr>
          <w:rFonts w:ascii="Palatino Linotype" w:eastAsia="Palatino Linotype" w:hAnsi="Palatino Linotype" w:cs="Palatino Linotype"/>
        </w:rPr>
        <w:instrText>ADDIN CSL_CITATION {"citationItems":[{"id":"ITEM-1","itemData":{"DOI":"10.3390/TOXICS11120983","ISSN":"2305-6304","abstract":"The environmental pollution that occurs in direct response to the widespread use of man-made/conventional pesticides results from many chemicals that require a long period of time, often decades, to degrade. The synthetic nature of pesticides also harms animals, beneficial insects, microorganisms, and plants, as well as humans. Fortunately, however, there are many natural pesticides, the so-called biopesticides, that are also effective against pests and more importantly, do not interfere with the well-being of ecosystems. Consequently, most biopesticides are safer for use around people and pets than man-made pesticides because, for example, they can be easily washed away from fruits and vegetables. The natural habitat is a rich resource with a wide selection of plants, many of which are also used to treat diseases in humans, animals, and plants. Out of concern for public health, environmental safety, and the stringent regulation of pesticide residues in agricultural commodities, the use of biopesticides is becoming increasingly important, but questions regarding potential pest resistance to these products may arise, just as is the case with conventional pesticides. Therefore, the performance and potential role of biopesticides in the management of plant pests should be prioritized due to their sustainability and importance to human and environmental welfare. In this review, we propose to highlight a scenario in which we discuss in detail the main constraints posed by the use of pesticides compared to biopesticides, starting with issues regarding their definition and continuing on to issues related to their toxicity and their impact on the environment and human health.","author":[{"dropping-particle":"","family":"Daraban","given":"Gabriel Mihăiță","non-dropping-particle":"","parse-names":false,"suffix":""},{"dropping-particle":"","family":"Hlihor","given":"Raluca Maria","non-dropping-particle":"","parse-names":false,"suffix":""},{"dropping-particle":"","family":"Suteu","given":"Daniela","non-dropping-particle":"","parse-names":false,"suffix":""}],"container-title":"Toxics 2023, Vol. 11, Page 983","id":"ITEM-1","issue":"12","issued":{"date-parts":[["2023","12","4"]]},"page":"983","publisher":"Multidisciplinary Digital Publishing Institute","title":"Pesticides vs. Biopesticides: From Pest Management to Toxicity and Impacts on the Environment and Human Health","type":"article-journal","volume":"11"},"uris":["http://www.mendeley.com/documents/?uuid=11bfc559-4980-33e6-b473-fa8cd8770a83"]}],"mendeley":{"formattedCitation":"(Daraban et al., 2023)","plainTextFormattedCitation":"(Daraban et al., 2023)","previouslyFormattedCitation":"(Daraban et al., 2023)"},"properties":{"noteIndex":0},"schema":"https://github.com/citation-style-language/schema/raw/master/csl-citation.json"}</w:instrText>
      </w:r>
      <w:r w:rsidR="00DD048C" w:rsidRPr="00F532EC">
        <w:rPr>
          <w:rFonts w:ascii="Palatino Linotype" w:eastAsia="Palatino Linotype" w:hAnsi="Palatino Linotype" w:cs="Palatino Linotype"/>
        </w:rPr>
        <w:fldChar w:fldCharType="separate"/>
      </w:r>
      <w:r w:rsidR="00DD048C" w:rsidRPr="00F532EC">
        <w:rPr>
          <w:rFonts w:ascii="Palatino Linotype" w:eastAsia="Palatino Linotype" w:hAnsi="Palatino Linotype" w:cs="Palatino Linotype"/>
          <w:noProof/>
        </w:rPr>
        <w:t>(Daraban et al., 2023)</w:t>
      </w:r>
      <w:r w:rsidR="00DD048C" w:rsidRPr="00F532EC">
        <w:rPr>
          <w:rFonts w:ascii="Palatino Linotype" w:eastAsia="Palatino Linotype" w:hAnsi="Palatino Linotype" w:cs="Palatino Linotype"/>
        </w:rPr>
        <w:fldChar w:fldCharType="end"/>
      </w:r>
      <w:r w:rsidR="00DD048C" w:rsidRPr="00F532EC">
        <w:rPr>
          <w:rFonts w:ascii="Palatino Linotype" w:eastAsia="Palatino Linotype" w:hAnsi="Palatino Linotype" w:cs="Palatino Linotype"/>
        </w:rPr>
        <w:t>.</w:t>
      </w:r>
      <w:r w:rsidR="00C10DE3" w:rsidRPr="00F532EC">
        <w:rPr>
          <w:rFonts w:ascii="Palatino Linotype" w:eastAsia="Palatino Linotype" w:hAnsi="Palatino Linotype" w:cs="Palatino Linotype"/>
        </w:rPr>
        <w:t xml:space="preserve"> Oleh karena itu, diperlukan teknologi pengendalian yang lebih ramah lingkungan melalui pemanfaatan </w:t>
      </w:r>
      <w:r w:rsidR="0098045B" w:rsidRPr="00F532EC">
        <w:rPr>
          <w:rFonts w:ascii="Palatino Linotype" w:eastAsia="Palatino Linotype" w:hAnsi="Palatino Linotype" w:cs="Palatino Linotype"/>
        </w:rPr>
        <w:t>agens</w:t>
      </w:r>
      <w:r w:rsidR="00C10DE3" w:rsidRPr="00F532EC">
        <w:rPr>
          <w:rFonts w:ascii="Palatino Linotype" w:eastAsia="Palatino Linotype" w:hAnsi="Palatino Linotype" w:cs="Palatino Linotype"/>
        </w:rPr>
        <w:t xml:space="preserve"> hayati dan penerapan pengelolaan tanaman secara terpadu.</w:t>
      </w:r>
    </w:p>
    <w:p w14:paraId="307DFC6D" w14:textId="588C47CD" w:rsidR="00C10DE3" w:rsidRPr="00F532EC" w:rsidRDefault="00261FE3"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Pemanfaatan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seperti </w:t>
      </w:r>
      <w:r w:rsidRPr="00F532EC">
        <w:rPr>
          <w:rFonts w:ascii="Palatino Linotype" w:eastAsia="Palatino Linotype" w:hAnsi="Palatino Linotype" w:cs="Palatino Linotype"/>
          <w:i/>
          <w:iCs/>
        </w:rPr>
        <w:t>Plant Growth-Promoting Rhizobacteria</w:t>
      </w:r>
      <w:r w:rsidRPr="00F532EC">
        <w:rPr>
          <w:rFonts w:ascii="Palatino Linotype" w:eastAsia="Palatino Linotype" w:hAnsi="Palatino Linotype" w:cs="Palatino Linotype"/>
        </w:rPr>
        <w:t xml:space="preserve"> (PGPR) dan </w:t>
      </w:r>
      <w:r w:rsidRPr="00F532EC">
        <w:rPr>
          <w:rFonts w:ascii="Palatino Linotype" w:eastAsia="Palatino Linotype" w:hAnsi="Palatino Linotype" w:cs="Palatino Linotype"/>
          <w:i/>
          <w:iCs/>
        </w:rPr>
        <w:t>Trichoderma</w:t>
      </w:r>
      <w:r w:rsidRPr="00F532EC">
        <w:rPr>
          <w:rFonts w:ascii="Palatino Linotype" w:eastAsia="Palatino Linotype" w:hAnsi="Palatino Linotype" w:cs="Palatino Linotype"/>
        </w:rPr>
        <w:t xml:space="preserve"> sp. menjadi salah satu alternatif yang potensial karena mampu mendukung pertumbuhan tanaman sekaligus menekan perkembangan patogen penyebab penyakit</w:t>
      </w:r>
      <w:r w:rsidR="0001353E" w:rsidRPr="00F532EC">
        <w:rPr>
          <w:rFonts w:ascii="Palatino Linotype" w:eastAsia="Palatino Linotype" w:hAnsi="Palatino Linotype" w:cs="Palatino Linotype"/>
        </w:rPr>
        <w:t xml:space="preserve"> </w:t>
      </w:r>
      <w:r w:rsidR="00D3658F" w:rsidRPr="00F532EC">
        <w:rPr>
          <w:rFonts w:ascii="Palatino Linotype" w:eastAsia="Palatino Linotype" w:hAnsi="Palatino Linotype" w:cs="Palatino Linotype"/>
        </w:rPr>
        <w:fldChar w:fldCharType="begin" w:fldLock="1"/>
      </w:r>
      <w:r w:rsidR="00034833" w:rsidRPr="00F532EC">
        <w:rPr>
          <w:rFonts w:ascii="Palatino Linotype" w:eastAsia="Palatino Linotype" w:hAnsi="Palatino Linotype" w:cs="Palatino Linotype"/>
        </w:rPr>
        <w:instrText>ADDIN CSL_CITATION {"citationItems":[{"id":"ITEM-1","itemData":{"DOI":"10.3389/FPLS.2022.923880/FULL","ISSN":"1664462X","abstract":"Plant diseases and pests are risk factors that threaten global food security. Excessive chemical pesticide applications are commonly used to reduce the effects of plant diseases caused by bacterial and fungal pathogens. A major concern, as we strive toward more sustainable agriculture, is to increase crop yields for the increasing population. Microbial biological control agents (MBCAs) have proved their efficacy to be a green strategy to manage plant diseases, stimulate plant growth and performance, and increase yield. Besides their role in growth enhancement, plant growth-promoting rhizobacteria/fungi (PGPR/PGPF) could suppress plant diseases by producing inhibitory chemicals and inducing immune responses in plants against phytopathogens. As biofertilizers and biopesticides, PGPR and PGPF are considered as feasible, attractive economic approach for sustainable agriculture; thus, resulting in a “win-win” situation. Several PGPR and PGPF strains have been identified as effective BCAs under environmentally controlled conditions. In general, any MBCA must overcome certain challenges before it can be registered or widely utilized to control diseases/pests. Successful MBCAs offer a practical solution to improve greenhouse crop performance with reduced fertilizer inputs and chemical pesticide applications. This current review aims to fill the gap in the current knowledge of plant growth-promoting microorganisms (PGPM), provide attention about the scientific basis for policy development, and recommend further research related to the applications of PGPM used for commercial purposes.","author":[{"dropping-particle":"","family":"El-Saadony","given":"Mohamed T.","non-dropping-particle":"","parse-names":false,"suffix":""},{"dropping-particle":"","family":"Saad","given":"Ahmed M.","non-dropping-particle":"","parse-names":false,"suffix":""},{"dropping-particle":"","family":"Soliman","given":"Soliman M.","non-dropping-particle":"","parse-names":false,"suffix":""},{"dropping-particle":"","family":"Salem","given":"Heba M.","non-dropping-particle":"","parse-names":false,"suffix":""},{"dropping-particle":"","family":"Ahmed","given":"Alshaymaa I.","non-dropping-particle":"","parse-names":false,"suffix":""},{"dropping-particle":"","family":"Mahmood","given":"Mohsin","non-dropping-particle":"","parse-names":false,"suffix":""},{"dropping-particle":"","family":"El-Tahan","given":"Amira M.","non-dropping-particle":"","parse-names":false,"suffix":""},{"dropping-particle":"","family":"Ebrahim","given":"Alia A.M.","non-dropping-particle":"","parse-names":false,"suffix":""},{"dropping-particle":"","family":"Abd El-Mageed","given":"Taia A.","non-dropping-particle":"","parse-names":false,"suffix":""},{"dropping-particle":"","family":"Negm","given":"Shaimaa H.","non-dropping-particle":"","parse-names":false,"suffix":""},{"dropping-particle":"","family":"Selim","given":"Samy","non-dropping-particle":"","parse-names":false,"suffix":""},{"dropping-particle":"","family":"Babalghith","given":"Ahmad O.","non-dropping-particle":"","parse-names":false,"suffix":""},{"dropping-particle":"","family":"Elrys","given":"Ahmed S.","non-dropping-particle":"","parse-names":false,"suffix":""},{"dropping-particle":"","family":"El-Tarabily","given":"Khaled A.","non-dropping-particle":"","parse-names":false,"suffix":""},{"dropping-particle":"","family":"AbuQamar","given":"Synan F.","non-dropping-particle":"","parse-names":false,"suffix":""}],"container-title":"Frontiers in Plant Science","id":"ITEM-1","issued":{"date-parts":[["2022","10","6"]]},"page":"923880","publisher":"Frontiers Media S.A.","title":"Plant growth-promoting microorganisms as biocontrol agents of plant diseases: Mechanisms, challenges and future perspectives","type":"article-journal","volume":"13"},"uris":["http://www.mendeley.com/documents/?uuid=c2abf61a-4a31-32d3-be89-397b137ff9b4"]}],"mendeley":{"formattedCitation":"(El-Saadony et al., 2022)","plainTextFormattedCitation":"(El-Saadony et al., 2022)","previouslyFormattedCitation":"(El-Saadony et al., 2022)"},"properties":{"noteIndex":0},"schema":"https://github.com/citation-style-language/schema/raw/master/csl-citation.json"}</w:instrText>
      </w:r>
      <w:r w:rsidR="00D3658F" w:rsidRPr="00F532EC">
        <w:rPr>
          <w:rFonts w:ascii="Palatino Linotype" w:eastAsia="Palatino Linotype" w:hAnsi="Palatino Linotype" w:cs="Palatino Linotype"/>
        </w:rPr>
        <w:fldChar w:fldCharType="separate"/>
      </w:r>
      <w:r w:rsidR="00D3658F" w:rsidRPr="00F532EC">
        <w:rPr>
          <w:rFonts w:ascii="Palatino Linotype" w:eastAsia="Palatino Linotype" w:hAnsi="Palatino Linotype" w:cs="Palatino Linotype"/>
          <w:noProof/>
        </w:rPr>
        <w:t>(El-Saadony et al., 2022)</w:t>
      </w:r>
      <w:r w:rsidR="00D3658F" w:rsidRPr="00F532EC">
        <w:rPr>
          <w:rFonts w:ascii="Palatino Linotype" w:eastAsia="Palatino Linotype" w:hAnsi="Palatino Linotype" w:cs="Palatino Linotype"/>
        </w:rPr>
        <w:fldChar w:fldCharType="end"/>
      </w:r>
      <w:r w:rsidR="00D3658F" w:rsidRPr="00F532EC">
        <w:rPr>
          <w:rFonts w:ascii="Palatino Linotype" w:eastAsia="Palatino Linotype" w:hAnsi="Palatino Linotype" w:cs="Palatino Linotype"/>
        </w:rPr>
        <w:t xml:space="preserve">. </w:t>
      </w:r>
      <w:r w:rsidR="0001353E" w:rsidRPr="00F532EC">
        <w:rPr>
          <w:rFonts w:ascii="Palatino Linotype" w:eastAsia="Palatino Linotype" w:hAnsi="Palatino Linotype" w:cs="Palatino Linotype"/>
        </w:rPr>
        <w:t xml:space="preserve">Meskipun memiliki pengalaman dalam budidaya, kemampuan petani dalam memanfaatkan teknologi </w:t>
      </w:r>
      <w:r w:rsidR="0098045B" w:rsidRPr="00F532EC">
        <w:rPr>
          <w:rFonts w:ascii="Palatino Linotype" w:eastAsia="Palatino Linotype" w:hAnsi="Palatino Linotype" w:cs="Palatino Linotype"/>
        </w:rPr>
        <w:t>agens</w:t>
      </w:r>
      <w:r w:rsidR="0001353E" w:rsidRPr="00F532EC">
        <w:rPr>
          <w:rFonts w:ascii="Palatino Linotype" w:eastAsia="Palatino Linotype" w:hAnsi="Palatino Linotype" w:cs="Palatino Linotype"/>
        </w:rPr>
        <w:t xml:space="preserve"> hayati untuk mendukung pertumbuhan tanaman dan mengendalikan penyakit masih terbatas</w:t>
      </w:r>
      <w:r w:rsidR="00C10DE3" w:rsidRPr="00F532EC">
        <w:rPr>
          <w:rFonts w:ascii="Palatino Linotype" w:eastAsia="Palatino Linotype" w:hAnsi="Palatino Linotype" w:cs="Palatino Linotype"/>
        </w:rPr>
        <w:t xml:space="preserve"> Pemanfaatan mikroorganisme seperti </w:t>
      </w:r>
      <w:r w:rsidR="00024C69" w:rsidRPr="00F532EC">
        <w:rPr>
          <w:rFonts w:ascii="Palatino Linotype" w:eastAsia="Palatino Linotype" w:hAnsi="Palatino Linotype" w:cs="Palatino Linotype"/>
          <w:i/>
          <w:iCs/>
        </w:rPr>
        <w:t xml:space="preserve">Plant Growth Promoting Rhizobacteria </w:t>
      </w:r>
      <w:r w:rsidR="00C10DE3" w:rsidRPr="00F532EC">
        <w:rPr>
          <w:rFonts w:ascii="Palatino Linotype" w:eastAsia="Palatino Linotype" w:hAnsi="Palatino Linotype" w:cs="Palatino Linotype"/>
        </w:rPr>
        <w:t xml:space="preserve">(PGPR) dan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00C10DE3" w:rsidRPr="00F532EC">
        <w:rPr>
          <w:rFonts w:ascii="Palatino Linotype" w:eastAsia="Palatino Linotype" w:hAnsi="Palatino Linotype" w:cs="Palatino Linotype"/>
        </w:rPr>
        <w:t>belum dilakukan secara optimal sebagai bagian dari pengelolaan usaha tani. Kondisi tersebut menunjukkan perlunya peningkatan pengetahuan dan keterampilan petani melalui teknologi yang mudah diterapkan dan sesuai dengan kondisi lokal.</w:t>
      </w:r>
    </w:p>
    <w:p w14:paraId="3FC3051F" w14:textId="5B2C630D" w:rsidR="00C10DE3" w:rsidRPr="00F532EC" w:rsidRDefault="00C10DE3"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PGPR memiliki potensi dalam mendukung pertumbuhan tanaman melalui peningkatan ketersediaan unsur hara, produksi senyawa pemacu pertumbuhan, dan aktivitas yang dapat membantu tanaman menghadapi tekanan biotik</w:t>
      </w:r>
      <w:r w:rsidR="0045022F" w:rsidRPr="00F532EC">
        <w:rPr>
          <w:rFonts w:ascii="Palatino Linotype" w:eastAsia="Palatino Linotype" w:hAnsi="Palatino Linotype" w:cs="Palatino Linotype"/>
        </w:rPr>
        <w:t xml:space="preserve"> </w:t>
      </w:r>
      <w:r w:rsidR="00034833" w:rsidRPr="00F532EC">
        <w:rPr>
          <w:rFonts w:ascii="Palatino Linotype" w:eastAsia="Palatino Linotype" w:hAnsi="Palatino Linotype" w:cs="Palatino Linotype"/>
        </w:rPr>
        <w:fldChar w:fldCharType="begin" w:fldLock="1"/>
      </w:r>
      <w:r w:rsidR="00435E09" w:rsidRPr="00F532EC">
        <w:rPr>
          <w:rFonts w:ascii="Palatino Linotype" w:eastAsia="Palatino Linotype" w:hAnsi="Palatino Linotype" w:cs="Palatino Linotype"/>
        </w:rPr>
        <w:instrText>ADDIN CSL_CITATION {"citationItems":[{"id":"ITEM-1","itemData":{"DOI":"10.36050/1J17J464","ISSN":"2828-1225","abstract":"Biaya produksi yang tinggi menjadi salah satu kendala dalam produksi pertanian. Salah satu solusi yang dapat dikembangakan guna menekan biaya produksi untuk meningkatkan hasil produksi pertanian yaitu dengan memanfaatkan bahan baku lokal berupa akar bambu untuk pembuatan PGPR. PGPR (Plant Growth Promoting Rhizobacter) merupakan kumpulan mikroba perakaran sebagai pemacu pertumbuhan tanaman. Tujauan dari kegiatan pengabdian kepada masyarakat ini adalah memanfaatkan bahan baku lokal akar bambu sebagai bahan pembuatan PGPR serta meningkatkan pengetahuan dan mengembangkan keterampilan masyarakat dalam membuat PGPR. Sasaran kegiatan pengabdian ini adalah kelompok petani Rimba Mundu Kabupaten Lahat Sumatera Selatan. Kegiatan pengabdian kepada masyarakat ini dilaksanakan melaui tiga tahap yaitu penyuluhan, pelatihan dan pendampingan. Adapun hasil dari pengabdian kepada masyarakat bahwasannya pengetahuan serta keterampilan kelompok petani dalam mengolah akar bambu menjadi PGPR meningkat, dari sebelumnya kelompok petani yang tidak mengetahui dan cara mengolah akar bambu untuk PGPR sebagai alternatif pemacu pertumbuhan tanaman. Melalui kegiatan pengabdian kepada masyarakat ini menjadi satu langkah yang dapat memberi nilai terhadap akar bambu yang dapat menjadi trobosan untuk meningkatkan produksi pertanian.&amp;nbsp;","author":[{"dropping-particle":"","family":"Ramadhani","given":"Fitri","non-dropping-particle":"","parse-names":false,"suffix":""}],"container-title":"NGABDIMAS","id":"ITEM-1","issue":"01 Juni","issued":{"date-parts":[["2023"]]},"page":"75-79","title":"PELATIHAN PEMBUATAN PGPR (PLANT GROWTH PROMOTING RHIZOBACTERIA) BERBAHAN DASAR AKAR BAMBU","type":"article-journal","volume":"6"},"uris":["http://www.mendeley.com/documents/?uuid=cf23d6a8-8213-3acc-ae63-67c5fc210751"]}],"mendeley":{"formattedCitation":"(Ramadhani, 2023)","plainTextFormattedCitation":"(Ramadhani, 2023)","previouslyFormattedCitation":"(Ramadhani, 2023)"},"properties":{"noteIndex":0},"schema":"https://github.com/citation-style-language/schema/raw/master/csl-citation.json"}</w:instrText>
      </w:r>
      <w:r w:rsidR="00034833" w:rsidRPr="00F532EC">
        <w:rPr>
          <w:rFonts w:ascii="Palatino Linotype" w:eastAsia="Palatino Linotype" w:hAnsi="Palatino Linotype" w:cs="Palatino Linotype"/>
        </w:rPr>
        <w:fldChar w:fldCharType="separate"/>
      </w:r>
      <w:r w:rsidR="00034833" w:rsidRPr="00F532EC">
        <w:rPr>
          <w:rFonts w:ascii="Palatino Linotype" w:eastAsia="Palatino Linotype" w:hAnsi="Palatino Linotype" w:cs="Palatino Linotype"/>
          <w:noProof/>
        </w:rPr>
        <w:t>(Ramadhani, 2023)</w:t>
      </w:r>
      <w:r w:rsidR="00034833" w:rsidRPr="00F532EC">
        <w:rPr>
          <w:rFonts w:ascii="Palatino Linotype" w:eastAsia="Palatino Linotype" w:hAnsi="Palatino Linotype" w:cs="Palatino Linotype"/>
        </w:rPr>
        <w:fldChar w:fldCharType="end"/>
      </w:r>
      <w:r w:rsidR="00034833"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Sementara itu,</w:t>
      </w:r>
      <w:r w:rsidR="005E006F" w:rsidRPr="00F532EC">
        <w:rPr>
          <w:rFonts w:ascii="Palatino Linotype" w:eastAsia="Palatino Linotype" w:hAnsi="Palatino Linotype" w:cs="Palatino Linotype"/>
        </w:rPr>
        <w:t xml:space="preserve">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merupakan salah satu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yang dapat dimanfaatkan untuk menekan perkembangan patogen tanaman melalui mekanisme antagonisme</w:t>
      </w:r>
      <w:r w:rsidR="0045022F" w:rsidRPr="00F532EC">
        <w:rPr>
          <w:rFonts w:ascii="Palatino Linotype" w:eastAsia="Palatino Linotype" w:hAnsi="Palatino Linotype" w:cs="Palatino Linotype"/>
        </w:rPr>
        <w:t xml:space="preserve"> </w:t>
      </w:r>
      <w:r w:rsidR="00435E09" w:rsidRPr="00F532EC">
        <w:rPr>
          <w:rFonts w:ascii="Palatino Linotype" w:eastAsia="Palatino Linotype" w:hAnsi="Palatino Linotype" w:cs="Palatino Linotype"/>
        </w:rPr>
        <w:fldChar w:fldCharType="begin" w:fldLock="1"/>
      </w:r>
      <w:r w:rsidR="002C4474" w:rsidRPr="00F532EC">
        <w:rPr>
          <w:rFonts w:ascii="Palatino Linotype" w:eastAsia="Palatino Linotype" w:hAnsi="Palatino Linotype" w:cs="Palatino Linotype"/>
        </w:rPr>
        <w:instrText>ADDIN CSL_CITATION {"citationItems":[{"id":"ITEM-1","itemData":{"DOI":"10.3389/FMICB.2023.1160551/FULL","ISSN":"1664302X","abstract":"Trichoderma is mainly used to control soil-borne diseases as well as some leaf and panicle diseases of various plants. Trichoderma can not only prevent diseases but also promotes plant growth, improves nutrient utilization efficiency, enhances plant resistance, and improves agrochemical pollution environment. Trichoderma spp. also behaves as a safe, low-cost, effective, eco-friendly biocontrol agent for different crop species. In this study, we introduced the biological control mechanism of Trichoderma in plant fungal and nematode disease, including competition, antibiosis, antagonism, and mycoparasitism, as well as the mechanism of promoting plant growth and inducing plant systemic resistance between Trichoderma and plants, and expounded on the application and control effects of Trichoderma in the control of various plant fungal and nematode diseases. From an applicative point of view, establishing a diversified application technology for Trichoderma is an important development direction for its role in the sustainable development of agriculture.","author":[{"dropping-particle":"","family":"Yao","given":"Xin","non-dropping-particle":"","parse-names":false,"suffix":""},{"dropping-particle":"","family":"Guo","given":"Hailin","non-dropping-particle":"","parse-names":false,"suffix":""},{"dropping-particle":"","family":"Zhang","given":"Kaixuan","non-dropping-particle":"","parse-names":false,"suffix":""},{"dropping-particle":"","family":"Zhao","given":"Mengyu","non-dropping-particle":"","parse-names":false,"suffix":""},{"dropping-particle":"","family":"Ruan","given":"Jingjun","non-dropping-particle":"","parse-names":false,"suffix":""},{"dropping-particle":"","family":"Chen","given":"Jie","non-dropping-particle":"","parse-names":false,"suffix":""}],"container-title":"Frontiers in Microbiology","id":"ITEM-1","issued":{"date-parts":[["2023","5","3"]]},"page":"1160551","publisher":"Frontiers Media S.A.","title":"Trichoderma and its role in biological control of plant fungal and nematode disease","type":"article-journal","volume":"14"},"uris":["http://www.mendeley.com/documents/?uuid=6ca0cdb6-7208-3ab6-af9f-0b64bd8cbd4d"]}],"mendeley":{"formattedCitation":"(Yao et al., 2023)","plainTextFormattedCitation":"(Yao et al., 2023)","previouslyFormattedCitation":"(Yao et al., 2023)"},"properties":{"noteIndex":0},"schema":"https://github.com/citation-style-language/schema/raw/master/csl-citation.json"}</w:instrText>
      </w:r>
      <w:r w:rsidR="00435E09" w:rsidRPr="00F532EC">
        <w:rPr>
          <w:rFonts w:ascii="Palatino Linotype" w:eastAsia="Palatino Linotype" w:hAnsi="Palatino Linotype" w:cs="Palatino Linotype"/>
        </w:rPr>
        <w:fldChar w:fldCharType="separate"/>
      </w:r>
      <w:r w:rsidR="00435E09" w:rsidRPr="00F532EC">
        <w:rPr>
          <w:rFonts w:ascii="Palatino Linotype" w:eastAsia="Palatino Linotype" w:hAnsi="Palatino Linotype" w:cs="Palatino Linotype"/>
          <w:noProof/>
        </w:rPr>
        <w:t>(Yao et al., 2023)</w:t>
      </w:r>
      <w:r w:rsidR="00435E09" w:rsidRPr="00F532EC">
        <w:rPr>
          <w:rFonts w:ascii="Palatino Linotype" w:eastAsia="Palatino Linotype" w:hAnsi="Palatino Linotype" w:cs="Palatino Linotype"/>
        </w:rPr>
        <w:fldChar w:fldCharType="end"/>
      </w:r>
      <w:r w:rsidR="00435E09"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Pemanfaatan kedua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tersebut dapat </w:t>
      </w:r>
      <w:r w:rsidRPr="00F532EC">
        <w:rPr>
          <w:rFonts w:ascii="Palatino Linotype" w:eastAsia="Palatino Linotype" w:hAnsi="Palatino Linotype" w:cs="Palatino Linotype"/>
        </w:rPr>
        <w:lastRenderedPageBreak/>
        <w:t>menjadi alternatif dalam mendukung budidaya cabai yang lebih ramah lingkungan dan mengurangi ketergantungan terhadap penggunaan input kimia. Namun, keberhasilan penerapan teknologi tersebut sangat bergantung pada pemahaman dan keterampilan petani dalam proses pembuatan, aplikasi, serta pengelolaannya.</w:t>
      </w:r>
      <w:r w:rsidR="005E006F"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Permasalahan lain yang dihadapi petani adalah pemanfaatan hasil panen yang masih didominasi oleh pemasaran cabai dalam bentuk segar. Cabai segar memiliki daya simpan yang relatif terbatas sehingga mudah mengalami penurunan mutu, terutama ketika terjadi kelebihan produksi atau harga pasar mengalami penurunan</w:t>
      </w:r>
      <w:r w:rsidR="00DD6B56" w:rsidRPr="00F532EC">
        <w:rPr>
          <w:rFonts w:ascii="Palatino Linotype" w:eastAsia="Palatino Linotype" w:hAnsi="Palatino Linotype" w:cs="Palatino Linotype"/>
        </w:rPr>
        <w:t xml:space="preserve"> </w:t>
      </w:r>
      <w:r w:rsidR="0080152A" w:rsidRPr="00F532EC">
        <w:rPr>
          <w:rFonts w:ascii="Palatino Linotype" w:eastAsia="Palatino Linotype" w:hAnsi="Palatino Linotype" w:cs="Palatino Linotype"/>
        </w:rPr>
        <w:fldChar w:fldCharType="begin" w:fldLock="1"/>
      </w:r>
      <w:r w:rsidR="000609BC" w:rsidRPr="00F532EC">
        <w:rPr>
          <w:rFonts w:ascii="Palatino Linotype" w:eastAsia="Palatino Linotype" w:hAnsi="Palatino Linotype" w:cs="Palatino Linotype"/>
        </w:rPr>
        <w:instrText>ADDIN CSL_CITATION {"citationItems":[{"id":"ITEM-1","itemData":{"DOI":"10.12928/JAFOST.V6I4.12906","ISSN":"2746-5519","abstract":"Curly red chili has high nutritional content, which includes capsaicinoids, vitamin C, carotenoids, and antioxidant compounds. However, their high moisture content renders them perishable. During peak harvest seasons, prices for chili significantly decrease, while they tend to rise in colder months. Inefficient postharvest technologies contribute to substantial waste due to damage. Effective postharvest processing, such as drying, mitigates these challenges by reducing moisture content and extending shelf life. Various drying methods, including food dehydration, oven, vacuum frying, and freeze drying, have distinct advantages and disadvantages. Comparative studies have been conducted on these methods specifically for curly red chili. This study contributes to evaluating the effects of different drying methods on the color, moisture content, vitamin C content, and capsaicin concentration of curly red chili (Capsicum annuum L.) in order to determine the most effective method for preserving its nutritional and physicochemical qualities. The results indicate that the drying method significantly influences the physicochemical properties of curly red chili. Among the methods tested, freeze-drying emerged as the most effective, based on the color of 66.69 ± 2.25, moisture content of 3.81%, and vitamin C of 94.34 mg/100g. The optimal treatment yielded a spiciness level of 16504.71 SHU with a capsaicinoid content of 1100.32 mcg/g. Further research is needed to explore how moisture content affects capsaicin levels in curly red chili.","author":[{"dropping-particle":"","family":"Kesuma","given":"Birgitta Allison","non-dropping-particle":"","parse-names":false,"suffix":""},{"dropping-particle":"","family":"Pratiwi","given":"Ika Yohanna","non-dropping-particle":"","parse-names":false,"suffix":""},{"dropping-particle":"","family":"Somawiharja","given":"Yohannes","non-dropping-particle":"","parse-names":false,"suffix":""}],"container-title":"Journal of Agri-Food Science and Technology","id":"ITEM-1","issue":"4","issued":{"date-parts":[["2025","12","6"]]},"page":"209-218","title":"The Effect of Drying Methods on the Physicochemical Characteristics of Curly Red Chili (Capsicum annuum L.)","type":"article-journal","volume":"6"},"uris":["http://www.mendeley.com/documents/?uuid=e9ba9502-f80b-35bf-99a4-d249c5e78d2e"]}],"mendeley":{"formattedCitation":"(Kesuma et al., 2025)","plainTextFormattedCitation":"(Kesuma et al., 2025)","previouslyFormattedCitation":"(Kesuma et al., 2025)"},"properties":{"noteIndex":0},"schema":"https://github.com/citation-style-language/schema/raw/master/csl-citation.json"}</w:instrText>
      </w:r>
      <w:r w:rsidR="0080152A" w:rsidRPr="00F532EC">
        <w:rPr>
          <w:rFonts w:ascii="Palatino Linotype" w:eastAsia="Palatino Linotype" w:hAnsi="Palatino Linotype" w:cs="Palatino Linotype"/>
        </w:rPr>
        <w:fldChar w:fldCharType="separate"/>
      </w:r>
      <w:r w:rsidR="0080152A" w:rsidRPr="00F532EC">
        <w:rPr>
          <w:rFonts w:ascii="Palatino Linotype" w:eastAsia="Palatino Linotype" w:hAnsi="Palatino Linotype" w:cs="Palatino Linotype"/>
          <w:noProof/>
        </w:rPr>
        <w:t>(Kesuma et al., 2025)</w:t>
      </w:r>
      <w:r w:rsidR="0080152A" w:rsidRPr="00F532EC">
        <w:rPr>
          <w:rFonts w:ascii="Palatino Linotype" w:eastAsia="Palatino Linotype" w:hAnsi="Palatino Linotype" w:cs="Palatino Linotype"/>
        </w:rPr>
        <w:fldChar w:fldCharType="end"/>
      </w:r>
      <w:r w:rsidRPr="00F532EC">
        <w:rPr>
          <w:rFonts w:ascii="Palatino Linotype" w:eastAsia="Palatino Linotype" w:hAnsi="Palatino Linotype" w:cs="Palatino Linotype"/>
        </w:rPr>
        <w:t>. Kondisi tersebut dapat menyebabkan kerugian bagi petani dan membatasi peluang peningkatan pendapatan. Oleh karena itu, diperlukan strategi diversifikasi produk melalui pengolahan hasil yang sederhana, mudah diterapkan, dan memiliki peluang pasar.</w:t>
      </w:r>
    </w:p>
    <w:p w14:paraId="4BF6AB12" w14:textId="56A8A41E" w:rsidR="00C10DE3" w:rsidRPr="00F532EC" w:rsidRDefault="00C10DE3"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Pengola</w:t>
      </w:r>
      <w:r w:rsidR="005E006F" w:rsidRPr="00F532EC">
        <w:rPr>
          <w:rFonts w:ascii="Palatino Linotype" w:eastAsia="Palatino Linotype" w:hAnsi="Palatino Linotype" w:cs="Palatino Linotype"/>
        </w:rPr>
        <w:t>ha</w:t>
      </w:r>
      <w:r w:rsidRPr="00F532EC">
        <w:rPr>
          <w:rFonts w:ascii="Palatino Linotype" w:eastAsia="Palatino Linotype" w:hAnsi="Palatino Linotype" w:cs="Palatino Linotype"/>
        </w:rPr>
        <w:t>n cabai menjadi bubuk merupakan salah satu alternatif yang dapat diterapkan untuk meningkatkan daya simpan dan nilai tambah hasil pertanian. Produk cabai bubuk dapat digunakan sebagai bahan tambahan pangan dan memiliki peluang untuk dikembangkan sebagai produk unggulan kelompok tani. Pengembangan produk olahan juga dapat mengurangi ketergantungan petani terhadap pemasaran cabai segar serta membuka peluang usaha baru berbasis sumber daya lokal. Agar inovasi tersebut memberikan manfaat yang optimal, diperlukan integrasi antara peningkatan produktivitas pada tahap budidaya dan peningkatan nilai tambah pada tahap pascapanen.</w:t>
      </w:r>
    </w:p>
    <w:p w14:paraId="4A0E0787" w14:textId="429699C6" w:rsidR="00142F8A" w:rsidRPr="00F532EC" w:rsidRDefault="00C10DE3"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Berdasarkan kondisi tersebut, dikembangkan inovasi </w:t>
      </w:r>
      <w:r w:rsidR="005E006F" w:rsidRPr="00F532EC">
        <w:rPr>
          <w:rFonts w:ascii="Palatino Linotype" w:eastAsia="Palatino Linotype" w:hAnsi="Palatino Linotype" w:cs="Palatino Linotype"/>
        </w:rPr>
        <w:t xml:space="preserve"> B</w:t>
      </w:r>
      <w:r w:rsidRPr="00F532EC">
        <w:rPr>
          <w:rFonts w:ascii="Palatino Linotype" w:eastAsia="Palatino Linotype" w:hAnsi="Palatino Linotype" w:cs="Palatino Linotype"/>
        </w:rPr>
        <w:t>H-CAMBUK</w:t>
      </w:r>
      <w:r w:rsidR="00DA35BD" w:rsidRPr="00F532EC">
        <w:rPr>
          <w:rFonts w:ascii="Palatino Linotype" w:eastAsia="Palatino Linotype" w:hAnsi="Palatino Linotype" w:cs="Palatino Linotype"/>
        </w:rPr>
        <w:t xml:space="preserve"> (Biohayati Cabe Merah Bubuk)</w:t>
      </w:r>
      <w:r w:rsidR="005E006F"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sebagai pendekatan terpadu dalam optimalisasi usaha tani cabai. BH-CAMBUK mengintegrasikan pemanfaatan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khususnya </w:t>
      </w:r>
      <w:r w:rsidR="00024C69" w:rsidRPr="00F532EC">
        <w:rPr>
          <w:rFonts w:ascii="Palatino Linotype" w:eastAsia="Palatino Linotype" w:hAnsi="Palatino Linotype" w:cs="Palatino Linotype"/>
          <w:i/>
          <w:iCs/>
        </w:rPr>
        <w:t xml:space="preserve">Plant Growth Promoting Rhizobacteria </w:t>
      </w:r>
      <w:r w:rsidR="005E006F" w:rsidRPr="00F532EC">
        <w:rPr>
          <w:rFonts w:ascii="Palatino Linotype" w:eastAsia="Palatino Linotype" w:hAnsi="Palatino Linotype" w:cs="Palatino Linotype"/>
        </w:rPr>
        <w:t xml:space="preserve">(PGPR) </w:t>
      </w:r>
      <w:r w:rsidRPr="00F532EC">
        <w:rPr>
          <w:rFonts w:ascii="Palatino Linotype" w:eastAsia="Palatino Linotype" w:hAnsi="Palatino Linotype" w:cs="Palatino Linotype"/>
        </w:rPr>
        <w:t xml:space="preserve">dan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w:t>
      </w:r>
      <w:r w:rsidRPr="00F532EC">
        <w:rPr>
          <w:rFonts w:ascii="Palatino Linotype" w:eastAsia="Palatino Linotype" w:hAnsi="Palatino Linotype" w:cs="Palatino Linotype"/>
        </w:rPr>
        <w:t>, dalam mendukung pengelolaan tanaman dengan teknologi pengolahan hasil menjadi CAMBUK (Cabe Merah Bubuk). Integrasi ini d</w:t>
      </w:r>
      <w:r w:rsidR="00F51F9A" w:rsidRPr="00F532EC">
        <w:rPr>
          <w:rFonts w:ascii="Palatino Linotype" w:eastAsia="Palatino Linotype" w:hAnsi="Palatino Linotype" w:cs="Palatino Linotype"/>
        </w:rPr>
        <w:t xml:space="preserve">ibuat </w:t>
      </w:r>
      <w:r w:rsidRPr="00F532EC">
        <w:rPr>
          <w:rFonts w:ascii="Palatino Linotype" w:eastAsia="Palatino Linotype" w:hAnsi="Palatino Linotype" w:cs="Palatino Linotype"/>
        </w:rPr>
        <w:t xml:space="preserve"> untuk menjawab dua permasalahan utama mitra, yaitu peningkatan kemampuan dalam pengelolaan budidaya dan penyakit tanaman serta peningkatan nilai tambah hasil panen.</w:t>
      </w:r>
      <w:r w:rsidR="00F51F9A" w:rsidRPr="00F532EC">
        <w:rPr>
          <w:rFonts w:ascii="Palatino Linotype" w:eastAsia="Palatino Linotype" w:hAnsi="Palatino Linotype" w:cs="Palatino Linotype"/>
        </w:rPr>
        <w:t xml:space="preserve"> Tujuan dari kegiatan pengabdian ini untuk meningkatkan pengetahuan dan keterampilan petani, mendukung pengelolaan tanaman yang lebih ramah lingkungan, mengurangi risiko kehilangan hasil, serta meningkatkan nilai ekonomi komoditas cabai. </w:t>
      </w:r>
      <w:r w:rsidRPr="00F532EC">
        <w:rPr>
          <w:rFonts w:ascii="Palatino Linotype" w:eastAsia="Palatino Linotype" w:hAnsi="Palatino Linotype" w:cs="Palatino Linotype"/>
        </w:rPr>
        <w:t xml:space="preserve"> </w:t>
      </w:r>
      <w:r w:rsidR="00486A8A" w:rsidRPr="00F532EC">
        <w:rPr>
          <w:rFonts w:ascii="Palatino Linotype" w:eastAsia="Palatino Linotype" w:hAnsi="Palatino Linotype" w:cs="Palatino Linotype"/>
        </w:rPr>
        <w:t xml:space="preserve"> </w:t>
      </w:r>
    </w:p>
    <w:p w14:paraId="1743AF2C" w14:textId="77777777" w:rsidR="00142F8A" w:rsidRPr="00F532EC" w:rsidRDefault="00142F8A" w:rsidP="00F532EC">
      <w:pPr>
        <w:shd w:val="clear" w:color="auto" w:fill="FFFFFF" w:themeFill="background1"/>
        <w:ind w:firstLine="567"/>
        <w:rPr>
          <w:rFonts w:ascii="Palatino Linotype" w:hAnsi="Palatino Linotype"/>
        </w:rPr>
      </w:pPr>
    </w:p>
    <w:p w14:paraId="1AA3D865" w14:textId="1D95F5ED" w:rsidR="00142F8A" w:rsidRPr="00F532EC" w:rsidRDefault="00E6333B" w:rsidP="00F532EC">
      <w:pPr>
        <w:pBdr>
          <w:top w:val="nil"/>
          <w:left w:val="nil"/>
          <w:bottom w:val="nil"/>
          <w:right w:val="nil"/>
          <w:between w:val="nil"/>
        </w:pBdr>
        <w:shd w:val="clear" w:color="auto" w:fill="FFFFFF" w:themeFill="background1"/>
        <w:rPr>
          <w:rFonts w:ascii="Palatino Linotype" w:eastAsia="Palatino Linotype" w:hAnsi="Palatino Linotype" w:cs="Palatino Linotype"/>
          <w:b/>
          <w:bCs/>
          <w:color w:val="000000"/>
          <w:sz w:val="24"/>
          <w:szCs w:val="24"/>
        </w:rPr>
      </w:pPr>
      <w:r w:rsidRPr="00F532EC">
        <w:rPr>
          <w:rFonts w:ascii="Palatino Linotype" w:eastAsia="Palatino Linotype" w:hAnsi="Palatino Linotype" w:cs="Palatino Linotype"/>
          <w:b/>
          <w:bCs/>
          <w:color w:val="000000"/>
          <w:sz w:val="24"/>
          <w:szCs w:val="24"/>
        </w:rPr>
        <w:t>M</w:t>
      </w:r>
      <w:r w:rsidR="00BB1C4D" w:rsidRPr="00F532EC">
        <w:rPr>
          <w:rFonts w:ascii="Palatino Linotype" w:eastAsia="Palatino Linotype" w:hAnsi="Palatino Linotype" w:cs="Palatino Linotype"/>
          <w:b/>
          <w:bCs/>
          <w:color w:val="000000"/>
          <w:sz w:val="24"/>
          <w:szCs w:val="24"/>
        </w:rPr>
        <w:t>ETODE</w:t>
      </w:r>
    </w:p>
    <w:p w14:paraId="57CD2099" w14:textId="16B8277D" w:rsidR="007B6036" w:rsidRPr="00F532EC" w:rsidRDefault="007B6036"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Kegiatan pengabdian kepada masyarakat ini dilaksanakan oleh tim pengabdian pada </w:t>
      </w:r>
      <w:r w:rsidR="00DA35BD" w:rsidRPr="00F532EC">
        <w:rPr>
          <w:rFonts w:ascii="Palatino Linotype" w:eastAsia="Palatino Linotype" w:hAnsi="Palatino Linotype" w:cs="Palatino Linotype"/>
        </w:rPr>
        <w:t xml:space="preserve">satu </w:t>
      </w:r>
      <w:r w:rsidRPr="00F532EC">
        <w:rPr>
          <w:rFonts w:ascii="Palatino Linotype" w:eastAsia="Palatino Linotype" w:hAnsi="Palatino Linotype" w:cs="Palatino Linotype"/>
        </w:rPr>
        <w:t>Kelompok Tani Subur Makmur yang berlokasi di Desa Tanjung Baru, Kecamatan Indralaya Utara, Kabupaten Ogan Ilir, Sumatera Selatan. Desa Tanjung Baru merupakan salah satu wilayah yang memiliki potensi pengembangan komoditas cabai, dengan sebagian masyarakat menjadikan usaha tani cabai sebagai salah satu sumber pendapatan. Kegiatan pengabdian dilaksanakan selama empat bulan, yaitu mulai Juli hingga Oktober 2026, dengan melibatkan anggota kelompok tani sebagai mitra sasaran.</w:t>
      </w:r>
    </w:p>
    <w:p w14:paraId="43D98F2B" w14:textId="24C284C7" w:rsidR="008221FB" w:rsidRPr="00F532EC" w:rsidRDefault="008221FB"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Pengabdian kepada masyarakat dilaksanakan melalui beberapa tahapan yang saling terintegrasi untuk menyelesaikan permasalahan mitra sesuai kebutuhan dan skala prioritas. Partisipasi mitra menjadi bagian penting sejak perencanaan, pelaksanaan, hingga evaluasi. Kegiatan meliputi sosialisasi, pelatihan, penerapan teknologi, pendampingan dan evaluasi, serta keberlanjutan program</w:t>
      </w:r>
      <w:r w:rsidR="001238AE" w:rsidRPr="00F532EC">
        <w:rPr>
          <w:rFonts w:ascii="Palatino Linotype" w:eastAsia="Palatino Linotype" w:hAnsi="Palatino Linotype" w:cs="Palatino Linotype"/>
        </w:rPr>
        <w:t>.</w:t>
      </w:r>
    </w:p>
    <w:p w14:paraId="68327E12" w14:textId="77777777" w:rsidR="00F532EC" w:rsidRDefault="00F532EC" w:rsidP="00F532EC">
      <w:pPr>
        <w:shd w:val="clear" w:color="auto" w:fill="FFFFFF" w:themeFill="background1"/>
        <w:rPr>
          <w:rFonts w:ascii="Palatino Linotype" w:eastAsia="Palatino Linotype" w:hAnsi="Palatino Linotype" w:cs="Palatino Linotype"/>
          <w:b/>
          <w:bCs/>
        </w:rPr>
      </w:pPr>
    </w:p>
    <w:p w14:paraId="6644C867" w14:textId="7DBD74B0" w:rsidR="008221FB" w:rsidRPr="00F532EC" w:rsidRDefault="008221FB"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Sosialisasi</w:t>
      </w:r>
    </w:p>
    <w:p w14:paraId="77C9160B" w14:textId="0614E974" w:rsidR="008221FB" w:rsidRPr="00F532EC" w:rsidRDefault="008221FB"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Sosialisasi dilakukan untuk menyampaikan tujuan, manfaat, dan tahapan kegiatan sekaligus mengidentifikasi kondisi dan permasalahan mitra, khususnya terkait budidaya cabai, serangan penyakit, produktivitas, dan pemanfaatan hasil panen. Kegiatan ini diarahkan untuk meningkatkan pemahaman dan kesiapan mitra dalam menerapkan teknologi BH</w:t>
      </w:r>
      <w:r w:rsidR="001238AE"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CAMBUK.</w:t>
      </w:r>
    </w:p>
    <w:p w14:paraId="68F6E758" w14:textId="77777777" w:rsidR="00F532EC" w:rsidRDefault="00F532EC" w:rsidP="00F532EC">
      <w:pPr>
        <w:shd w:val="clear" w:color="auto" w:fill="FFFFFF" w:themeFill="background1"/>
        <w:rPr>
          <w:rFonts w:ascii="Palatino Linotype" w:eastAsia="Palatino Linotype" w:hAnsi="Palatino Linotype" w:cs="Palatino Linotype"/>
          <w:b/>
          <w:bCs/>
        </w:rPr>
      </w:pPr>
    </w:p>
    <w:p w14:paraId="0802CC17" w14:textId="70903C01" w:rsidR="008221FB" w:rsidRPr="00F532EC" w:rsidRDefault="008221FB"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Pelatihan</w:t>
      </w:r>
    </w:p>
    <w:p w14:paraId="62792F84" w14:textId="49DBF724" w:rsidR="008221FB" w:rsidRPr="00F532EC" w:rsidRDefault="008221FB"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Pelatihan dilakukan melalui penyampaian materi dan praktik mengenai pemanfaatan PGPR dan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sebagai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dalam budidaya cabai. Mitra juga diberikan pelatihan pengolahan cabai menjadi CAMBUK (Cabai Merah Bubuk) melalui tahapan sortasi, pengeringan, penggilingan, dan pengemasan.</w:t>
      </w:r>
    </w:p>
    <w:p w14:paraId="5F444562" w14:textId="77777777" w:rsidR="00F532EC" w:rsidRDefault="00F532EC" w:rsidP="00F532EC">
      <w:pPr>
        <w:shd w:val="clear" w:color="auto" w:fill="FFFFFF" w:themeFill="background1"/>
        <w:rPr>
          <w:rFonts w:ascii="Palatino Linotype" w:eastAsia="Palatino Linotype" w:hAnsi="Palatino Linotype" w:cs="Palatino Linotype"/>
          <w:b/>
          <w:bCs/>
        </w:rPr>
      </w:pPr>
    </w:p>
    <w:p w14:paraId="5E20D443" w14:textId="5926A71A" w:rsidR="008221FB" w:rsidRPr="00F532EC" w:rsidRDefault="008221FB"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lastRenderedPageBreak/>
        <w:t>Penerapan Teknologi</w:t>
      </w:r>
    </w:p>
    <w:p w14:paraId="2C7BEB1A" w14:textId="33740327" w:rsidR="008221FB" w:rsidRPr="00F532EC" w:rsidRDefault="008221FB"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Penerapan teknologi dilakukan secara langsung pada lahan mitra melalui pembuatan dan aplikasi PGPR serta perbanyakan dan aplikasi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sebagai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pengendali hayati. Proses pembuatan PGPR dan perbanyakan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dilakukan secara praktik bersama mitra. Selain itu, dilakukan pengolahan hasil cabai menjadi CAMBUK sebagai upaya diversifikasi dan peningkatan nilai tambah produk.</w:t>
      </w:r>
    </w:p>
    <w:p w14:paraId="029A4E3C" w14:textId="77777777" w:rsidR="00F532EC" w:rsidRDefault="00F532EC" w:rsidP="00F532EC">
      <w:pPr>
        <w:shd w:val="clear" w:color="auto" w:fill="FFFFFF" w:themeFill="background1"/>
        <w:rPr>
          <w:rFonts w:ascii="Palatino Linotype" w:eastAsia="Palatino Linotype" w:hAnsi="Palatino Linotype" w:cs="Palatino Linotype"/>
          <w:b/>
          <w:bCs/>
        </w:rPr>
      </w:pPr>
    </w:p>
    <w:p w14:paraId="2A93F0BA" w14:textId="16F9A777" w:rsidR="008221FB" w:rsidRPr="00F532EC" w:rsidRDefault="008221FB"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Pendampingan dan Evaluasi</w:t>
      </w:r>
    </w:p>
    <w:p w14:paraId="0886EC69" w14:textId="52061EB0" w:rsidR="008221FB" w:rsidRPr="00F532EC" w:rsidRDefault="008221FB"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Pendampingan dilakukan secara berkala untuk memastikan teknologi dapat diterapkan sesuai prosedur dan membantu mitra mengatasi kendala teknis.</w:t>
      </w:r>
      <w:r w:rsidR="00DA35BD" w:rsidRPr="00F532EC">
        <w:rPr>
          <w:rFonts w:ascii="Palatino Linotype" w:hAnsi="Palatino Linotype"/>
        </w:rPr>
        <w:t xml:space="preserve"> </w:t>
      </w:r>
      <w:r w:rsidR="00DA35BD" w:rsidRPr="00F532EC">
        <w:rPr>
          <w:rFonts w:ascii="Palatino Linotype" w:eastAsia="Palatino Linotype" w:hAnsi="Palatino Linotype" w:cs="Palatino Linotype"/>
        </w:rPr>
        <w:t>Evaluasi dilakukan untuk mengetahui peningkatan pengetahuan dan keterampilan mitra melalui pre-test dan post-test, sedangkan penerapan teknologi dilakukan melalui observasi langsung dan wawancara selama kegiatan pendampingan. Evaluasi mencakup peningkatan pengetahuan dan keterampilan mitra, kemampuan dalam menerapkan agens hayati, kondisi pertumbuhan tanaman, serta kemampuan mengolah cabai menjadi produk bernilai tambah. Pre-test diberikan sebelum kegiatan pelatihan dan post-test setelah pelatihan untuk mengukur perubahan tingkat pengetahuan mitra. Selanjutnya, observasi langsung dilakukan untuk menilai keterampilan mitra dalam menerapkan teknologi yang diberikan, termasuk penerapan agens hayati dan proses pengolahan cabai. Wawancara dilakukan untuk memperoleh informasi mengenai pemahaman, pengalaman, kendala, dan tingkat penerimaan mitra terhadap teknologi yang diterapkan. Hasil evaluasi dibandingkan antara kondisi sebelum dan sesudah kegiatan untuk mengetahui tingkat keberhasilan program.</w:t>
      </w:r>
    </w:p>
    <w:p w14:paraId="755A5F50" w14:textId="77777777" w:rsidR="00F532EC" w:rsidRDefault="00F532EC" w:rsidP="00F532EC">
      <w:pPr>
        <w:shd w:val="clear" w:color="auto" w:fill="FFFFFF" w:themeFill="background1"/>
        <w:rPr>
          <w:rFonts w:ascii="Palatino Linotype" w:eastAsia="Palatino Linotype" w:hAnsi="Palatino Linotype" w:cs="Palatino Linotype"/>
          <w:b/>
          <w:bCs/>
        </w:rPr>
      </w:pPr>
    </w:p>
    <w:p w14:paraId="0F6BE0F2" w14:textId="55D55CEA" w:rsidR="008221FB" w:rsidRPr="00F532EC" w:rsidRDefault="008221FB"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Keberlanjutan Program</w:t>
      </w:r>
    </w:p>
    <w:p w14:paraId="38A15AC3" w14:textId="7555E8A9" w:rsidR="008221FB" w:rsidRPr="00F532EC" w:rsidRDefault="008221FB"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Keberlanjutan program diarahkan pada kemandirian mitra dalam memproduksi dan memanfaatkan PGPR dan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serta mengembangkan CAMBUK secara berkelanjutan. Penguatan kelompok tani dan peluang pengembangan pemasaran juga dilakukan untuk mendukung peningkatan nilai tambah dan pendapatan petani.</w:t>
      </w:r>
    </w:p>
    <w:p w14:paraId="7F8578C2" w14:textId="77777777" w:rsidR="00F532EC" w:rsidRDefault="00F532EC" w:rsidP="00F532EC">
      <w:pPr>
        <w:shd w:val="clear" w:color="auto" w:fill="FFFFFF" w:themeFill="background1"/>
        <w:rPr>
          <w:rFonts w:ascii="Palatino Linotype" w:eastAsia="Palatino Linotype" w:hAnsi="Palatino Linotype" w:cs="Palatino Linotype"/>
          <w:b/>
          <w:bCs/>
        </w:rPr>
      </w:pPr>
    </w:p>
    <w:p w14:paraId="74039B77" w14:textId="2F62E204" w:rsidR="008221FB" w:rsidRPr="00F532EC" w:rsidRDefault="008221FB"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Partisipasi Mitra</w:t>
      </w:r>
    </w:p>
    <w:p w14:paraId="08236299" w14:textId="497029AD" w:rsidR="007B6036" w:rsidRPr="00F532EC" w:rsidRDefault="008221FB"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Mitra berpartisipasi aktif sejak tahap perencanaan hingga evaluasi melalui identifikasi permasalahan, penyediaan lahan dan sarana pendukung, serta keterlibatan dalam pelatihan, penerapan teknologi, pendampingan, dan evaluasi. Tim dosen berperan sebagai fasilitator dan pendamping, sedangkan mahasiswa membantu pelaksanaan, dokumentasi, dan evaluasi kegiatan.</w:t>
      </w:r>
    </w:p>
    <w:p w14:paraId="62C3C342" w14:textId="77777777" w:rsidR="00142F8A" w:rsidRPr="00F532EC" w:rsidRDefault="00142F8A" w:rsidP="00F532EC">
      <w:pPr>
        <w:shd w:val="clear" w:color="auto" w:fill="FFFFFF" w:themeFill="background1"/>
        <w:jc w:val="left"/>
        <w:rPr>
          <w:rFonts w:ascii="Palatino Linotype" w:eastAsia="Palatino Linotype" w:hAnsi="Palatino Linotype" w:cs="Palatino Linotype"/>
        </w:rPr>
      </w:pPr>
    </w:p>
    <w:p w14:paraId="0EFB43D4" w14:textId="555D1DB2" w:rsidR="00595BAF" w:rsidRPr="00F532EC" w:rsidRDefault="00D53D4A" w:rsidP="00F532EC">
      <w:pPr>
        <w:pBdr>
          <w:top w:val="nil"/>
          <w:left w:val="nil"/>
          <w:bottom w:val="nil"/>
          <w:right w:val="nil"/>
          <w:between w:val="nil"/>
        </w:pBdr>
        <w:shd w:val="clear" w:color="auto" w:fill="FFFFFF" w:themeFill="background1"/>
        <w:rPr>
          <w:rFonts w:ascii="Palatino Linotype" w:eastAsia="Arial Unicode MS" w:hAnsi="Palatino Linotype" w:cs="Arial Unicode MS"/>
          <w:b/>
          <w:bCs/>
          <w:color w:val="000000"/>
          <w:sz w:val="24"/>
          <w:szCs w:val="24"/>
        </w:rPr>
      </w:pPr>
      <w:r w:rsidRPr="00F532EC">
        <w:rPr>
          <w:rFonts w:ascii="Palatino Linotype" w:eastAsia="Palatino Linotype" w:hAnsi="Palatino Linotype" w:cs="Palatino Linotype"/>
          <w:b/>
          <w:bCs/>
          <w:color w:val="000000"/>
          <w:sz w:val="24"/>
          <w:szCs w:val="24"/>
        </w:rPr>
        <w:t xml:space="preserve">HASIL DAN PEMBAHASAN </w:t>
      </w:r>
    </w:p>
    <w:p w14:paraId="70F2C1D7" w14:textId="25501F4A" w:rsidR="00595BAF" w:rsidRPr="00F532EC" w:rsidRDefault="00595BAF"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Pelaksanaan Kegiatan</w:t>
      </w:r>
    </w:p>
    <w:p w14:paraId="5C37A48E" w14:textId="4F405D1E" w:rsidR="001F300C" w:rsidRPr="00F532EC" w:rsidRDefault="00595BAF"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Kegiatan pengabdian kepada masyarakat dilaksanakan pada Kelompok Tani Subur Makmur, Desa Tanjung Baru, dengan melibatkan 10 orang peserta.</w:t>
      </w:r>
      <w:r w:rsidR="001F300C" w:rsidRPr="00F532EC">
        <w:rPr>
          <w:rFonts w:ascii="Palatino Linotype" w:eastAsia="Palatino Linotype" w:hAnsi="Palatino Linotype" w:cs="Palatino Linotype"/>
        </w:rPr>
        <w:t xml:space="preserve"> Kegiatan diawali dengan sosialisasi yang membahas berbagai permasalahan utama dalam budidaya cabai, khususnya terkait pengelolaan organisme pengganggu tanaman (OPT), penggunaan input budidaya yang belum optimal, serta rendahnya nilai tambah hasil panen yang diperoleh petani</w:t>
      </w:r>
      <w:r w:rsidR="00437C18" w:rsidRPr="00F532EC">
        <w:rPr>
          <w:rFonts w:ascii="Palatino Linotype" w:eastAsia="Palatino Linotype" w:hAnsi="Palatino Linotype" w:cs="Palatino Linotype"/>
        </w:rPr>
        <w:t xml:space="preserve"> (Gambar 1)</w:t>
      </w:r>
      <w:r w:rsidR="001F300C" w:rsidRPr="00F532EC">
        <w:rPr>
          <w:rFonts w:ascii="Palatino Linotype" w:eastAsia="Palatino Linotype" w:hAnsi="Palatino Linotype" w:cs="Palatino Linotype"/>
        </w:rPr>
        <w:t>.</w:t>
      </w:r>
    </w:p>
    <w:p w14:paraId="785A6321" w14:textId="77777777" w:rsidR="00C51DD6" w:rsidRPr="00F532EC" w:rsidRDefault="00C51DD6" w:rsidP="00F532EC">
      <w:pPr>
        <w:shd w:val="clear" w:color="auto" w:fill="FFFFFF" w:themeFill="background1"/>
        <w:ind w:firstLine="567"/>
        <w:rPr>
          <w:rFonts w:ascii="Palatino Linotype" w:eastAsia="Palatino Linotype" w:hAnsi="Palatino Linotype" w:cs="Palatino Linotype"/>
        </w:rPr>
      </w:pPr>
    </w:p>
    <w:p w14:paraId="4592D773" w14:textId="282C6B57" w:rsidR="00C51DD6" w:rsidRPr="00F532EC" w:rsidRDefault="00C51DD6"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noProof/>
        </w:rPr>
        <w:lastRenderedPageBreak/>
        <w:drawing>
          <wp:inline distT="0" distB="0" distL="0" distR="0" wp14:anchorId="08F68562" wp14:editId="0B61E0D7">
            <wp:extent cx="3892171" cy="2187909"/>
            <wp:effectExtent l="0" t="0" r="0" b="3175"/>
            <wp:docPr id="47958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17263" cy="2202014"/>
                    </a:xfrm>
                    <a:prstGeom prst="rect">
                      <a:avLst/>
                    </a:prstGeom>
                    <a:noFill/>
                  </pic:spPr>
                </pic:pic>
              </a:graphicData>
            </a:graphic>
          </wp:inline>
        </w:drawing>
      </w:r>
    </w:p>
    <w:p w14:paraId="6E1ABB39" w14:textId="5FA26521" w:rsidR="00C51DD6" w:rsidRPr="00F532EC" w:rsidRDefault="00C51DD6"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b/>
          <w:bCs/>
        </w:rPr>
        <w:t>Gambar 1</w:t>
      </w:r>
      <w:r w:rsidRPr="00F532EC">
        <w:rPr>
          <w:rFonts w:ascii="Palatino Linotype" w:eastAsia="Palatino Linotype" w:hAnsi="Palatino Linotype" w:cs="Palatino Linotype"/>
        </w:rPr>
        <w:t>. Kegiatan sosialisasi teknologi Biohayati</w:t>
      </w:r>
    </w:p>
    <w:p w14:paraId="4A71D0BE" w14:textId="77777777" w:rsidR="00674863" w:rsidRPr="00F532EC" w:rsidRDefault="00674863" w:rsidP="00F532EC">
      <w:pPr>
        <w:shd w:val="clear" w:color="auto" w:fill="FFFFFF" w:themeFill="background1"/>
        <w:jc w:val="center"/>
        <w:rPr>
          <w:rFonts w:ascii="Palatino Linotype" w:eastAsia="Palatino Linotype" w:hAnsi="Palatino Linotype" w:cs="Palatino Linotype"/>
        </w:rPr>
      </w:pPr>
    </w:p>
    <w:p w14:paraId="6E735B9B" w14:textId="60EEDC12" w:rsidR="000C6654" w:rsidRPr="00F532EC" w:rsidRDefault="00595BAF"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 Tahap penyuluhan kemudian memberikan pemahaman kepada mitra mengenai pemanfaatan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w:t>
      </w:r>
      <w:r w:rsidR="00024C69" w:rsidRPr="00F532EC">
        <w:rPr>
          <w:rFonts w:ascii="Palatino Linotype" w:eastAsia="Palatino Linotype" w:hAnsi="Palatino Linotype" w:cs="Palatino Linotype"/>
          <w:i/>
          <w:iCs/>
        </w:rPr>
        <w:t xml:space="preserve">Plant Growth Promoting Rhizobacteria </w:t>
      </w:r>
      <w:r w:rsidRPr="00F532EC">
        <w:rPr>
          <w:rFonts w:ascii="Palatino Linotype" w:eastAsia="Palatino Linotype" w:hAnsi="Palatino Linotype" w:cs="Palatino Linotype"/>
        </w:rPr>
        <w:t xml:space="preserve">(PGPR) dan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sebagai alternatif teknologi dalam mendukung budidaya cabai yang lebih ramah lingkungan. Materi disampaikan secara interaktif agar peserta dapat menghubungkan konsep yang diberikan dengan kondisi budidaya cabai yang selama ini dilakukan.</w:t>
      </w:r>
      <w:r w:rsidR="000C6654"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Kegiatan selanjutnya difokuskan pada praktik produksi PGPR menggunakan teknologi fermentor. Peserta diperkenalkan dengan </w:t>
      </w:r>
      <w:r w:rsidR="0024779E" w:rsidRPr="00F532EC">
        <w:rPr>
          <w:rFonts w:ascii="Palatino Linotype" w:eastAsia="Palatino Linotype" w:hAnsi="Palatino Linotype" w:cs="Palatino Linotype"/>
        </w:rPr>
        <w:t xml:space="preserve">cara kerja dan </w:t>
      </w:r>
      <w:r w:rsidRPr="00F532EC">
        <w:rPr>
          <w:rFonts w:ascii="Palatino Linotype" w:eastAsia="Palatino Linotype" w:hAnsi="Palatino Linotype" w:cs="Palatino Linotype"/>
        </w:rPr>
        <w:t xml:space="preserve">fungsi fermentor sebagai alat untuk membantu proses </w:t>
      </w:r>
      <w:r w:rsidR="000C6654" w:rsidRPr="00F532EC">
        <w:rPr>
          <w:rFonts w:ascii="Palatino Linotype" w:eastAsia="Palatino Linotype" w:hAnsi="Palatino Linotype" w:cs="Palatino Linotype"/>
        </w:rPr>
        <w:t>fermentasi</w:t>
      </w:r>
      <w:r w:rsidRPr="00F532EC">
        <w:rPr>
          <w:rFonts w:ascii="Palatino Linotype" w:eastAsia="Palatino Linotype" w:hAnsi="Palatino Linotype" w:cs="Palatino Linotype"/>
        </w:rPr>
        <w:t xml:space="preserve"> secara lebih terkontrol. </w:t>
      </w:r>
      <w:r w:rsidR="00ED28E4" w:rsidRPr="00F532EC">
        <w:rPr>
          <w:rFonts w:ascii="Palatino Linotype" w:eastAsia="Palatino Linotype" w:hAnsi="Palatino Linotype" w:cs="Palatino Linotype"/>
        </w:rPr>
        <w:t xml:space="preserve">Kegiatan </w:t>
      </w:r>
      <w:r w:rsidRPr="00F532EC">
        <w:rPr>
          <w:rFonts w:ascii="Palatino Linotype" w:eastAsia="Palatino Linotype" w:hAnsi="Palatino Linotype" w:cs="Palatino Linotype"/>
        </w:rPr>
        <w:t xml:space="preserve">dilakukan secara bertahap mulai dari persiapan bahan, pencampuran bahan sesuai formulasi, pemasukan bahan ke dalam fermentor, proses fermentasi, hingga PGPR siap digunakan. Peserta tidak hanya mengamati demonstrasi, tetapi terlibat langsung dalam setiap tahapan </w:t>
      </w:r>
      <w:r w:rsidR="00ED28E4" w:rsidRPr="00F532EC">
        <w:rPr>
          <w:rFonts w:ascii="Palatino Linotype" w:eastAsia="Palatino Linotype" w:hAnsi="Palatino Linotype" w:cs="Palatino Linotype"/>
        </w:rPr>
        <w:t>kegiatan</w:t>
      </w:r>
      <w:r w:rsidRPr="00F532EC">
        <w:rPr>
          <w:rFonts w:ascii="Palatino Linotype" w:eastAsia="Palatino Linotype" w:hAnsi="Palatino Linotype" w:cs="Palatino Linotype"/>
        </w:rPr>
        <w:t>. Pendekatan tersebut dilakukan agar teknologi</w:t>
      </w:r>
      <w:r w:rsidR="00A32373" w:rsidRPr="00F532EC">
        <w:rPr>
          <w:rFonts w:ascii="Palatino Linotype" w:eastAsia="Palatino Linotype" w:hAnsi="Palatino Linotype" w:cs="Palatino Linotype"/>
        </w:rPr>
        <w:t xml:space="preserve"> dan inovasi</w:t>
      </w:r>
      <w:r w:rsidRPr="00F532EC">
        <w:rPr>
          <w:rFonts w:ascii="Palatino Linotype" w:eastAsia="Palatino Linotype" w:hAnsi="Palatino Linotype" w:cs="Palatino Linotype"/>
        </w:rPr>
        <w:t xml:space="preserve"> yang diperkenalkan dapat dikuasai dan selanjutnya diterapkan secara mandiri oleh kelompok tani.</w:t>
      </w:r>
      <w:r w:rsidR="000C6654" w:rsidRPr="00F532EC">
        <w:rPr>
          <w:rFonts w:ascii="Palatino Linotype" w:eastAsia="Palatino Linotype" w:hAnsi="Palatino Linotype" w:cs="Palatino Linotype"/>
        </w:rPr>
        <w:t xml:space="preserve"> </w:t>
      </w:r>
    </w:p>
    <w:p w14:paraId="23273A74" w14:textId="77777777" w:rsidR="00D71091" w:rsidRPr="00F532EC" w:rsidRDefault="00D71091" w:rsidP="00F532EC">
      <w:pPr>
        <w:shd w:val="clear" w:color="auto" w:fill="FFFFFF" w:themeFill="background1"/>
        <w:ind w:firstLine="567"/>
        <w:rPr>
          <w:rFonts w:ascii="Palatino Linotype" w:eastAsia="Palatino Linotype" w:hAnsi="Palatino Linotype" w:cs="Palatino Linotype"/>
        </w:rPr>
      </w:pPr>
    </w:p>
    <w:p w14:paraId="4A6DE0BB" w14:textId="4EDA4D1C" w:rsidR="000C6654" w:rsidRPr="00F532EC" w:rsidRDefault="000C6654"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Pembuatan PGPR Menggunakan Teknologi Fermentor</w:t>
      </w:r>
    </w:p>
    <w:p w14:paraId="11C2E40C" w14:textId="19E8578F" w:rsidR="00244EBD" w:rsidRPr="00F532EC" w:rsidRDefault="000C6654"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 xml:space="preserve">Pembuatan </w:t>
      </w:r>
      <w:bookmarkStart w:id="3" w:name="_Hlk237511340"/>
      <w:r w:rsidRPr="00F532EC">
        <w:rPr>
          <w:rFonts w:ascii="Palatino Linotype" w:eastAsia="Palatino Linotype" w:hAnsi="Palatino Linotype" w:cs="Palatino Linotype"/>
        </w:rPr>
        <w:t>PGPR</w:t>
      </w:r>
      <w:bookmarkEnd w:id="3"/>
      <w:r w:rsidRPr="00F532EC">
        <w:rPr>
          <w:rFonts w:ascii="Palatino Linotype" w:eastAsia="Palatino Linotype" w:hAnsi="Palatino Linotype" w:cs="Palatino Linotype"/>
        </w:rPr>
        <w:t xml:space="preserve">) dilakukan melalui beberapa tahapan, yaitu persiapan bahan dan peralatan, pembuatan media fermentasi, inokulasi starter, fermentasi menggunakan fermentor, pemanenan, dan penyimpanan. Tahap awal dilakukan dengan menyiapkan bahan yang digunakan sebagai sumber nutrisi bagi mikroorganisme, antara lain air, sumber bahan organik, molase sebagai sumber karbon, dan </w:t>
      </w:r>
      <w:r w:rsidR="00D71091" w:rsidRPr="00F532EC">
        <w:rPr>
          <w:rFonts w:ascii="Palatino Linotype" w:eastAsia="Palatino Linotype" w:hAnsi="Palatino Linotype" w:cs="Palatino Linotype"/>
        </w:rPr>
        <w:t>biang/</w:t>
      </w:r>
      <w:r w:rsidRPr="00F532EC">
        <w:rPr>
          <w:rFonts w:ascii="Palatino Linotype" w:eastAsia="Palatino Linotype" w:hAnsi="Palatino Linotype" w:cs="Palatino Linotype"/>
        </w:rPr>
        <w:t>starter PGPR. Peralatan yang digunakan meliputi fermentor, wadah pencampur, timbangan, gelas ukur, pengaduk, saringan, serta wadah penyimpanan. Seluruh peralatan terlebih dahulu dicuci dan dibersihkan untuk meminimalkan risiko kontaminasi selama proses produksi. Kebersihan peralatan menjadi salah satu faktor penting karena keberadaan mikroorganisme kontaminan dapat mengganggu perkembangan mikroorganisme PGPR selama proses fermentasi.</w:t>
      </w:r>
      <w:r w:rsidR="00244EBD" w:rsidRPr="00F532EC">
        <w:rPr>
          <w:rFonts w:ascii="Palatino Linotype" w:eastAsia="Palatino Linotype" w:hAnsi="Palatino Linotype" w:cs="Palatino Linotype"/>
        </w:rPr>
        <w:t xml:space="preserve"> Proses pembutan PGPR</w:t>
      </w:r>
      <w:r w:rsidR="00486A8A" w:rsidRPr="00F532EC">
        <w:rPr>
          <w:rFonts w:ascii="Palatino Linotype" w:eastAsia="Palatino Linotype" w:hAnsi="Palatino Linotype" w:cs="Palatino Linotype"/>
        </w:rPr>
        <w:t>)</w:t>
      </w:r>
      <w:r w:rsidR="00244EBD" w:rsidRPr="00F532EC">
        <w:rPr>
          <w:rFonts w:ascii="Palatino Linotype" w:eastAsia="Palatino Linotype" w:hAnsi="Palatino Linotype" w:cs="Palatino Linotype"/>
        </w:rPr>
        <w:t xml:space="preserve"> sebagai berikut</w:t>
      </w:r>
      <w:r w:rsidR="006D76B6" w:rsidRPr="00F532EC">
        <w:rPr>
          <w:rFonts w:ascii="Palatino Linotype" w:eastAsia="Palatino Linotype" w:hAnsi="Palatino Linotype" w:cs="Palatino Linotype"/>
        </w:rPr>
        <w:t xml:space="preserve"> (Gambar </w:t>
      </w:r>
      <w:r w:rsidR="00437C18" w:rsidRPr="00F532EC">
        <w:rPr>
          <w:rFonts w:ascii="Palatino Linotype" w:eastAsia="Palatino Linotype" w:hAnsi="Palatino Linotype" w:cs="Palatino Linotype"/>
        </w:rPr>
        <w:t>2</w:t>
      </w:r>
      <w:r w:rsidR="006D76B6" w:rsidRPr="00F532EC">
        <w:rPr>
          <w:rFonts w:ascii="Palatino Linotype" w:eastAsia="Palatino Linotype" w:hAnsi="Palatino Linotype" w:cs="Palatino Linotype"/>
        </w:rPr>
        <w:t>)</w:t>
      </w:r>
      <w:r w:rsidR="00244EBD" w:rsidRPr="00F532EC">
        <w:rPr>
          <w:rFonts w:ascii="Palatino Linotype" w:eastAsia="Palatino Linotype" w:hAnsi="Palatino Linotype" w:cs="Palatino Linotype"/>
        </w:rPr>
        <w:t xml:space="preserve">: </w:t>
      </w:r>
    </w:p>
    <w:p w14:paraId="07651EB5" w14:textId="4530380D" w:rsidR="00244EBD" w:rsidRPr="00F532EC" w:rsidRDefault="00244EBD" w:rsidP="00F532EC">
      <w:pPr>
        <w:pStyle w:val="ListParagraph"/>
        <w:numPr>
          <w:ilvl w:val="0"/>
          <w:numId w:val="3"/>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 xml:space="preserve">Ambil akar bambu, sebelumnya rontokkan tanah yang masih menempel di akar, kemudian rendam ke dalam air matang dingin  1 L </w:t>
      </w:r>
      <w:r w:rsidR="00D71091" w:rsidRPr="00F532EC">
        <w:rPr>
          <w:rFonts w:ascii="Palatino Linotype" w:eastAsia="Palatino Linotype" w:hAnsi="Palatino Linotype" w:cs="Palatino Linotype"/>
        </w:rPr>
        <w:t>dir</w:t>
      </w:r>
      <w:r w:rsidRPr="00F532EC">
        <w:rPr>
          <w:rFonts w:ascii="Palatino Linotype" w:eastAsia="Palatino Linotype" w:hAnsi="Palatino Linotype" w:cs="Palatino Linotype"/>
        </w:rPr>
        <w:t xml:space="preserve">endam selama 1-2 hari sebagai </w:t>
      </w:r>
      <w:r w:rsidR="00D67BDA" w:rsidRPr="00F532EC">
        <w:rPr>
          <w:rFonts w:ascii="Palatino Linotype" w:eastAsia="Palatino Linotype" w:hAnsi="Palatino Linotype" w:cs="Palatino Linotype"/>
        </w:rPr>
        <w:t>starter</w:t>
      </w:r>
      <w:r w:rsidRPr="00F532EC">
        <w:rPr>
          <w:rFonts w:ascii="Palatino Linotype" w:eastAsia="Palatino Linotype" w:hAnsi="Palatino Linotype" w:cs="Palatino Linotype"/>
        </w:rPr>
        <w:t xml:space="preserve"> PGPR.</w:t>
      </w:r>
    </w:p>
    <w:p w14:paraId="6D604A9D" w14:textId="0F105FB4" w:rsidR="00244EBD" w:rsidRPr="00F532EC" w:rsidRDefault="00244EBD" w:rsidP="00F532EC">
      <w:pPr>
        <w:pStyle w:val="ListParagraph"/>
        <w:numPr>
          <w:ilvl w:val="0"/>
          <w:numId w:val="3"/>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 xml:space="preserve">Masak bahan </w:t>
      </w:r>
      <w:r w:rsidR="0055730C" w:rsidRPr="00F532EC">
        <w:rPr>
          <w:rFonts w:ascii="Palatino Linotype" w:eastAsia="Palatino Linotype" w:hAnsi="Palatino Linotype" w:cs="Palatino Linotype"/>
        </w:rPr>
        <w:t>media tumbuh (dedak, terasi dan gula merah)</w:t>
      </w:r>
      <w:r w:rsidRPr="00F532EC">
        <w:rPr>
          <w:rFonts w:ascii="Palatino Linotype" w:eastAsia="Palatino Linotype" w:hAnsi="Palatino Linotype" w:cs="Palatino Linotype"/>
        </w:rPr>
        <w:t xml:space="preserve"> sampai mendidih selama 20 menit.</w:t>
      </w:r>
    </w:p>
    <w:p w14:paraId="7B422754" w14:textId="77777777" w:rsidR="00244EBD" w:rsidRPr="00F532EC" w:rsidRDefault="00244EBD" w:rsidP="00F532EC">
      <w:pPr>
        <w:pStyle w:val="ListParagraph"/>
        <w:numPr>
          <w:ilvl w:val="0"/>
          <w:numId w:val="3"/>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Setelah dingin, saring larutan media tersebut kemudian masukkan ke dalam jerigen ditambah dengan biang PGPR lalu tutup rapat, kemudian lakukan fermentasi.</w:t>
      </w:r>
    </w:p>
    <w:p w14:paraId="3FD238B3" w14:textId="77777777" w:rsidR="00D71091" w:rsidRPr="00F532EC" w:rsidRDefault="00244EBD" w:rsidP="00F532EC">
      <w:pPr>
        <w:pStyle w:val="ListParagraph"/>
        <w:numPr>
          <w:ilvl w:val="0"/>
          <w:numId w:val="3"/>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PGPR difermentasi selama 14 hari di dalam fermentor.</w:t>
      </w:r>
    </w:p>
    <w:p w14:paraId="42CD44DF" w14:textId="7ED60743" w:rsidR="00C3191A" w:rsidRPr="00F532EC" w:rsidRDefault="00D71091" w:rsidP="00F532EC">
      <w:pPr>
        <w:pStyle w:val="ListParagraph"/>
        <w:numPr>
          <w:ilvl w:val="0"/>
          <w:numId w:val="3"/>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Setelah 14 hari fermentasi, PGPR siap digunakan. Keberhasilan proses fermentasi ditandai dengan perubahan warna larutan menjadi keruh, terbentuknya busa atau buih pada permukaan, serta munculnya aroma khas fermentasi yang menyerupai tapai.</w:t>
      </w:r>
    </w:p>
    <w:p w14:paraId="73E1862E" w14:textId="77777777" w:rsidR="00D71091" w:rsidRPr="00F532EC" w:rsidRDefault="00D71091" w:rsidP="00F532EC">
      <w:pPr>
        <w:pStyle w:val="ListParagraph"/>
        <w:shd w:val="clear" w:color="auto" w:fill="FFFFFF" w:themeFill="background1"/>
        <w:rPr>
          <w:rFonts w:ascii="Palatino Linotype" w:eastAsia="Palatino Linotype" w:hAnsi="Palatino Linotype" w:cs="Palatino Linotype"/>
        </w:rPr>
      </w:pPr>
    </w:p>
    <w:p w14:paraId="0B8ED8E1" w14:textId="35AE3952" w:rsidR="006D76B6" w:rsidRPr="00F532EC" w:rsidRDefault="006D76B6"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noProof/>
        </w:rPr>
        <w:lastRenderedPageBreak/>
        <w:drawing>
          <wp:inline distT="0" distB="0" distL="0" distR="0" wp14:anchorId="6F9802A8" wp14:editId="0D0E82C0">
            <wp:extent cx="5029045" cy="2751292"/>
            <wp:effectExtent l="0" t="0" r="635" b="0"/>
            <wp:docPr id="1161371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077556" cy="2777832"/>
                    </a:xfrm>
                    <a:prstGeom prst="rect">
                      <a:avLst/>
                    </a:prstGeom>
                    <a:noFill/>
                  </pic:spPr>
                </pic:pic>
              </a:graphicData>
            </a:graphic>
          </wp:inline>
        </w:drawing>
      </w:r>
    </w:p>
    <w:p w14:paraId="36410447" w14:textId="193964C7" w:rsidR="00C67671" w:rsidRPr="00F532EC" w:rsidRDefault="00D71091"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b/>
          <w:bCs/>
        </w:rPr>
        <w:t xml:space="preserve">        </w:t>
      </w:r>
      <w:r w:rsidR="00AD2C54" w:rsidRPr="00F532EC">
        <w:rPr>
          <w:rFonts w:ascii="Palatino Linotype" w:eastAsia="Palatino Linotype" w:hAnsi="Palatino Linotype" w:cs="Palatino Linotype"/>
          <w:b/>
          <w:bCs/>
        </w:rPr>
        <w:t xml:space="preserve">Gambar </w:t>
      </w:r>
      <w:r w:rsidR="00437C18" w:rsidRPr="00F532EC">
        <w:rPr>
          <w:rFonts w:ascii="Palatino Linotype" w:eastAsia="Palatino Linotype" w:hAnsi="Palatino Linotype" w:cs="Palatino Linotype"/>
          <w:b/>
          <w:bCs/>
        </w:rPr>
        <w:t>2</w:t>
      </w:r>
      <w:r w:rsidR="00AD2C54" w:rsidRPr="00F532EC">
        <w:rPr>
          <w:rFonts w:ascii="Palatino Linotype" w:eastAsia="Palatino Linotype" w:hAnsi="Palatino Linotype" w:cs="Palatino Linotype"/>
        </w:rPr>
        <w:t>. Proses pembuatan PGP</w:t>
      </w:r>
      <w:r w:rsidR="00323B3F" w:rsidRPr="00F532EC">
        <w:rPr>
          <w:rFonts w:ascii="Palatino Linotype" w:eastAsia="Palatino Linotype" w:hAnsi="Palatino Linotype" w:cs="Palatino Linotype"/>
        </w:rPr>
        <w:t>R</w:t>
      </w:r>
    </w:p>
    <w:p w14:paraId="4369C868" w14:textId="7ED35D13" w:rsidR="00C67671" w:rsidRPr="00F532EC" w:rsidRDefault="00C67671"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Setelah tahapan tersebut, proses fermentasi PGPR menunjukkan adanya perubahan karakteristik pada media sebagai indikasi berlangsungnya aktivitas mikroorganisme</w:t>
      </w:r>
      <w:r w:rsidR="007F3A16" w:rsidRPr="00F532EC">
        <w:rPr>
          <w:rFonts w:ascii="Palatino Linotype" w:eastAsia="Palatino Linotype" w:hAnsi="Palatino Linotype" w:cs="Palatino Linotype"/>
        </w:rPr>
        <w:t xml:space="preserve"> (Sun et al., 2024)</w:t>
      </w:r>
      <w:r w:rsidRPr="00F532EC">
        <w:rPr>
          <w:rFonts w:ascii="Palatino Linotype" w:eastAsia="Palatino Linotype" w:hAnsi="Palatino Linotype" w:cs="Palatino Linotype"/>
        </w:rPr>
        <w:t xml:space="preserve">. Larutan berubah menjadi lebih keruh, disertai terbentuknya busa </w:t>
      </w:r>
      <w:r w:rsidR="007F3A16" w:rsidRPr="00F532EC">
        <w:rPr>
          <w:rFonts w:ascii="Palatino Linotype" w:eastAsia="Palatino Linotype" w:hAnsi="Palatino Linotype" w:cs="Palatino Linotype"/>
        </w:rPr>
        <w:t>berwarna putih</w:t>
      </w:r>
      <w:r w:rsidRPr="00F532EC">
        <w:rPr>
          <w:rFonts w:ascii="Palatino Linotype" w:eastAsia="Palatino Linotype" w:hAnsi="Palatino Linotype" w:cs="Palatino Linotype"/>
        </w:rPr>
        <w:t xml:space="preserve"> pada permukaan serta munculnya aroma khas fermentasi menyerupai</w:t>
      </w:r>
      <w:r w:rsidR="00643CD8" w:rsidRPr="00F532EC">
        <w:rPr>
          <w:rFonts w:ascii="Palatino Linotype" w:eastAsia="Palatino Linotype" w:hAnsi="Palatino Linotype" w:cs="Palatino Linotype"/>
        </w:rPr>
        <w:t xml:space="preserve"> aroma</w:t>
      </w:r>
      <w:r w:rsidRPr="00F532EC">
        <w:rPr>
          <w:rFonts w:ascii="Palatino Linotype" w:eastAsia="Palatino Linotype" w:hAnsi="Palatino Linotype" w:cs="Palatino Linotype"/>
        </w:rPr>
        <w:t xml:space="preserve"> tapai</w:t>
      </w:r>
      <w:r w:rsidR="00E76645" w:rsidRPr="00F532EC">
        <w:rPr>
          <w:rFonts w:ascii="Palatino Linotype" w:eastAsia="Palatino Linotype" w:hAnsi="Palatino Linotype" w:cs="Palatino Linotype"/>
        </w:rPr>
        <w:t xml:space="preserve"> (Hamdayanty et al., 2022)</w:t>
      </w:r>
      <w:r w:rsidRPr="00F532EC">
        <w:rPr>
          <w:rFonts w:ascii="Palatino Linotype" w:eastAsia="Palatino Linotype" w:hAnsi="Palatino Linotype" w:cs="Palatino Linotype"/>
        </w:rPr>
        <w:t>Perubahan tersebut dapat digunakan sebagai indikator sederhana bahwa proses fermentasi telah berlangsung dan mikroorganisme berkembang dalam media.</w:t>
      </w:r>
      <w:r w:rsidRPr="00F532EC">
        <w:rPr>
          <w:rFonts w:ascii="Palatino Linotype" w:hAnsi="Palatino Linotype"/>
        </w:rPr>
        <w:t xml:space="preserve"> </w:t>
      </w:r>
      <w:r w:rsidRPr="00F532EC">
        <w:rPr>
          <w:rFonts w:ascii="Palatino Linotype" w:eastAsia="Palatino Linotype" w:hAnsi="Palatino Linotype" w:cs="Palatino Linotype"/>
        </w:rPr>
        <w:t>Keberhasilan produksi PGPR sangat dipengaruhi oleh kualitas bahan, kebersihan peralatan, ketersediaan sumber nutrisi, kondisi aerasi, dan lama fermentasi. Molase berperan sebagai sumber karbon yang dapat dimanfaatkan oleh mikroorganisme untuk mendukung pertumbuhan dan aktivitas metaboliknya, sedangkan bahan organik menyediakan nutrisi tambahan selama proses fermentasi.</w:t>
      </w:r>
    </w:p>
    <w:p w14:paraId="06010A7D" w14:textId="77777777" w:rsidR="00AD2C54" w:rsidRPr="00F532EC" w:rsidRDefault="00AD2C54" w:rsidP="00F532EC">
      <w:pPr>
        <w:shd w:val="clear" w:color="auto" w:fill="FFFFFF" w:themeFill="background1"/>
        <w:rPr>
          <w:rFonts w:ascii="Palatino Linotype" w:eastAsia="Palatino Linotype" w:hAnsi="Palatino Linotype" w:cs="Palatino Linotype"/>
        </w:rPr>
      </w:pPr>
    </w:p>
    <w:p w14:paraId="432D71A8" w14:textId="3FC54A41" w:rsidR="00244EBD" w:rsidRPr="00F532EC" w:rsidRDefault="00D67BDA"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Teknologi Fermentor</w:t>
      </w:r>
    </w:p>
    <w:p w14:paraId="0E2D428C" w14:textId="051E741E" w:rsidR="00413412" w:rsidRDefault="00D67BDA"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Teknologi fermentor merupakan teknologi yang digunakan untuk melakukan proses fermentasi secara lebih terkontrol sehingga mikroorganisme dapat berkembang dan menghasilkan produk fermentasi dengan kualitas yang lebih seragam. Dalam kegiatan pembuatan PGPR (fermentor berfungsi sebagai wadah fermentasi yang menyediakan kondisi lingkungan yang mendukung pertumbuhan dan aktivitas bakteri menguntungkan</w:t>
      </w:r>
      <w:r w:rsidR="004665CD" w:rsidRPr="00F532EC">
        <w:rPr>
          <w:rFonts w:ascii="Palatino Linotype" w:eastAsia="Palatino Linotype" w:hAnsi="Palatino Linotype" w:cs="Palatino Linotype"/>
        </w:rPr>
        <w:t xml:space="preserve"> </w:t>
      </w:r>
      <w:r w:rsidR="000609BC" w:rsidRPr="00F532EC">
        <w:rPr>
          <w:rFonts w:ascii="Palatino Linotype" w:eastAsia="Palatino Linotype" w:hAnsi="Palatino Linotype" w:cs="Palatino Linotype"/>
        </w:rPr>
        <w:fldChar w:fldCharType="begin" w:fldLock="1"/>
      </w:r>
      <w:r w:rsidR="00072EA7" w:rsidRPr="00F532EC">
        <w:rPr>
          <w:rFonts w:ascii="Palatino Linotype" w:eastAsia="Palatino Linotype" w:hAnsi="Palatino Linotype" w:cs="Palatino Linotype"/>
        </w:rPr>
        <w:instrText>ADDIN CSL_CITATION {"citationItems":[{"id":"ITEM-1","itemData":{"DOI":"10.3390/MICROORGANISMS9061254","ISSN":"2076-2607","abstract":"The application of plant beneficial microorganisms has been widely accepted as an efficient alternative to chemical fertilizers and pesticides. Isolation and selection of efficient microorganisms, their characterization and testing in soil-plant systems are well studied. However, the production stage and formulation of the final products are not in the focus of the research, which affects the achievement of stable and consistent results in the field. Recent analysis of the field of plant beneficial microorganisms suggests a more integrated view on soil inoculants with a special emphasis on the inoculant production process, including fermentation, formulation, processes, and additives. This mini-review describes the different groups of fermentation processes and their characteristics, bearing in mind different factors, both nutritional and operational, which affect the biomass/spores yield and microbial metabolite activity. The characteristics of the final products of fermentation process optimization strategies determine further steps of development of the microbial inoculants. Submerged liquid and solid-state fermentation processes, fed-batch operations, immobilized cell systems, and production of arbuscular mycorrhiza are presented and their advantages and disadvantages are discussed. Recommendations for further development of the fermentation strategies for biofertilizer production are also considered.","author":[{"dropping-particle":"","family":"Vassileva","given":"Maria","non-dropping-particle":"","parse-names":false,"suffix":""},{"dropping-particle":"","family":"Malusà","given":"Eligio","non-dropping-particle":"","parse-names":false,"suffix":""},{"dropping-particle":"","family":"Sas-Paszt","given":"Lidia","non-dropping-particle":"","parse-names":false,"suffix":""},{"dropping-particle":"","family":"Trzcinski","given":"Pawel","non-dropping-particle":"","parse-names":false,"suffix":""},{"dropping-particle":"","family":"Galvez","given":"Antonia","non-dropping-particle":"","parse-names":false,"suffix":""},{"dropping-particle":"","family":"Flor-Peregrin","given":"Elena","non-dropping-particle":"","parse-names":false,"suffix":""},{"dropping-particle":"","family":"Shilev","given":"Stefan","non-dropping-particle":"","parse-names":false,"suffix":""},{"dropping-particle":"","family":"Canfora","given":"Loredana","non-dropping-particle":"","parse-names":false,"suffix":""},{"dropping-particle":"","family":"Mocali","given":"Stefano","non-dropping-particle":"","parse-names":false,"suffix":""},{"dropping-particle":"","family":"Vassilev","given":"Nikolay","non-dropping-particle":"","parse-names":false,"suffix":""}],"container-title":"Microorganisms 2021, Vol. 9, Page 1254","id":"ITEM-1","issue":"6","issued":{"date-parts":[["2021","6","9"]]},"page":"1254","publisher":"Multidisciplinary Digital Publishing Institute","title":"Fermentation Strategies to Improve Soil Bio-Inoculant Production and Quality","type":"article-journal","volume":"9"},"uris":["http://www.mendeley.com/documents/?uuid=a0898de7-c277-3dfb-8a32-738cc736516e"]}],"mendeley":{"formattedCitation":"(Vassileva et al., 2021)","plainTextFormattedCitation":"(Vassileva et al., 2021)","previouslyFormattedCitation":"(Vassileva et al., 2021)"},"properties":{"noteIndex":0},"schema":"https://github.com/citation-style-language/schema/raw/master/csl-citation.json"}</w:instrText>
      </w:r>
      <w:r w:rsidR="000609BC" w:rsidRPr="00F532EC">
        <w:rPr>
          <w:rFonts w:ascii="Palatino Linotype" w:eastAsia="Palatino Linotype" w:hAnsi="Palatino Linotype" w:cs="Palatino Linotype"/>
        </w:rPr>
        <w:fldChar w:fldCharType="separate"/>
      </w:r>
      <w:r w:rsidR="000609BC" w:rsidRPr="00F532EC">
        <w:rPr>
          <w:rFonts w:ascii="Palatino Linotype" w:eastAsia="Palatino Linotype" w:hAnsi="Palatino Linotype" w:cs="Palatino Linotype"/>
          <w:noProof/>
        </w:rPr>
        <w:t>(Vassileva et al., 2021)</w:t>
      </w:r>
      <w:r w:rsidR="000609BC" w:rsidRPr="00F532EC">
        <w:rPr>
          <w:rFonts w:ascii="Palatino Linotype" w:eastAsia="Palatino Linotype" w:hAnsi="Palatino Linotype" w:cs="Palatino Linotype"/>
        </w:rPr>
        <w:fldChar w:fldCharType="end"/>
      </w:r>
      <w:r w:rsidRPr="00F532EC">
        <w:rPr>
          <w:rFonts w:ascii="Palatino Linotype" w:eastAsia="Palatino Linotype" w:hAnsi="Palatino Linotype" w:cs="Palatino Linotype"/>
        </w:rPr>
        <w:t>.</w:t>
      </w:r>
      <w:r w:rsidR="00281C5A" w:rsidRPr="00F532EC">
        <w:rPr>
          <w:rFonts w:ascii="Palatino Linotype" w:hAnsi="Palatino Linotype"/>
        </w:rPr>
        <w:t xml:space="preserve"> </w:t>
      </w:r>
      <w:r w:rsidR="00281C5A" w:rsidRPr="00F532EC">
        <w:rPr>
          <w:rFonts w:ascii="Palatino Linotype" w:eastAsia="Palatino Linotype" w:hAnsi="Palatino Linotype" w:cs="Palatino Linotype"/>
        </w:rPr>
        <w:t>Teknologi fermentor dalam proses perbanyakan PGPR terdiri atas beberapa komponen utama, yaitu tong, aerator, air sterilisasi, larutan</w:t>
      </w:r>
      <w:r w:rsidR="00A70709" w:rsidRPr="00F532EC">
        <w:rPr>
          <w:rFonts w:ascii="Palatino Linotype" w:hAnsi="Palatino Linotype"/>
        </w:rPr>
        <w:t xml:space="preserve"> </w:t>
      </w:r>
      <w:r w:rsidR="00A70709" w:rsidRPr="00F532EC">
        <w:rPr>
          <w:rFonts w:ascii="Palatino Linotype" w:eastAsia="Palatino Linotype" w:hAnsi="Palatino Linotype" w:cs="Palatino Linotype"/>
        </w:rPr>
        <w:t>KMnO₄</w:t>
      </w:r>
      <w:r w:rsidR="00281C5A" w:rsidRPr="00F532EC">
        <w:rPr>
          <w:rFonts w:ascii="Palatino Linotype" w:eastAsia="Palatino Linotype" w:hAnsi="Palatino Linotype" w:cs="Palatino Linotype"/>
        </w:rPr>
        <w:t xml:space="preserve"> , dan larutan penyaring yang saling mendukung untuk menciptakan kondisi fermentasi yang optimal</w:t>
      </w:r>
      <w:r w:rsidR="00413412" w:rsidRPr="00F532EC">
        <w:rPr>
          <w:rFonts w:ascii="Palatino Linotype" w:eastAsia="Palatino Linotype" w:hAnsi="Palatino Linotype" w:cs="Palatino Linotype"/>
        </w:rPr>
        <w:t xml:space="preserve"> (Gambar</w:t>
      </w:r>
      <w:r w:rsidR="00F70DFC" w:rsidRPr="00F532EC">
        <w:rPr>
          <w:rFonts w:ascii="Palatino Linotype" w:eastAsia="Palatino Linotype" w:hAnsi="Palatino Linotype" w:cs="Palatino Linotype"/>
        </w:rPr>
        <w:t xml:space="preserve"> </w:t>
      </w:r>
      <w:r w:rsidR="00437C18" w:rsidRPr="00F532EC">
        <w:rPr>
          <w:rFonts w:ascii="Palatino Linotype" w:eastAsia="Palatino Linotype" w:hAnsi="Palatino Linotype" w:cs="Palatino Linotype"/>
        </w:rPr>
        <w:t>3</w:t>
      </w:r>
      <w:r w:rsidR="00413412" w:rsidRPr="00F532EC">
        <w:rPr>
          <w:rFonts w:ascii="Palatino Linotype" w:eastAsia="Palatino Linotype" w:hAnsi="Palatino Linotype" w:cs="Palatino Linotype"/>
        </w:rPr>
        <w:t>)</w:t>
      </w:r>
      <w:r w:rsidR="00281C5A"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w:t>
      </w:r>
    </w:p>
    <w:p w14:paraId="53596919" w14:textId="2821D3A7" w:rsidR="00F532EC" w:rsidRPr="00F532EC" w:rsidRDefault="00F532EC"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Bahan yang telah disiapkan sebagai media pertumbuhan dimasukkan ke dalam fermentor, kemudian diinokulasikan dengan starter mikroorganisme dari perakaran bambu.</w:t>
      </w:r>
      <w:r w:rsidRPr="00F532EC">
        <w:rPr>
          <w:rFonts w:ascii="Palatino Linotype" w:hAnsi="Palatino Linotype"/>
        </w:rPr>
        <w:t xml:space="preserve"> </w:t>
      </w:r>
      <w:r w:rsidRPr="00F532EC">
        <w:rPr>
          <w:rFonts w:ascii="Palatino Linotype" w:eastAsia="Palatino Linotype" w:hAnsi="Palatino Linotype" w:cs="Palatino Linotype"/>
        </w:rPr>
        <w:t xml:space="preserve">Akar bambu digunakan sebagai sumber starter mikroorganisme karena daerah perakaran merupakan habitat yang kaya akan mikroorganisme yang berasosiasi dengan tanaman </w:t>
      </w:r>
      <w:r w:rsidRPr="00F532EC">
        <w:rPr>
          <w:rFonts w:ascii="Palatino Linotype" w:eastAsia="Palatino Linotype" w:hAnsi="Palatino Linotype" w:cs="Palatino Linotype"/>
        </w:rPr>
        <w:fldChar w:fldCharType="begin" w:fldLock="1"/>
      </w:r>
      <w:r w:rsidRPr="00F532EC">
        <w:rPr>
          <w:rFonts w:ascii="Palatino Linotype" w:eastAsia="Palatino Linotype" w:hAnsi="Palatino Linotype" w:cs="Palatino Linotype"/>
        </w:rPr>
        <w:instrText>ADDIN CSL_CITATION {"citationItems":[{"id":"ITEM-1","itemData":{"DOI":"10.3389/FMICB.2025.1533061/FULL","ISSN":"1664302X","abstract":"Bamboo is widely distributed or cultivated globally, offering significant economic and ecological values. Soil microorganisms are crucial for plant environmental adaptation, playing essential roles in regulating plant growth and development, nutrient absorption, and resistance to environmental stresses. In recent years, substantial progress has been made in the study of bamboo soil microorganisms. This review highlights the scientific challenges in understanding the interactions between bamboo and soil microorganisms, summarizes the research progress, and discusses future research directions. The microbial community composition and diversity in various bamboo soils have been successfully characterized, with some bamboo-associated microorganisms identified and shown to promote plant growth, demonstrating considerable application potential. It has been established that the composition of soil microorganisms in bamboo is influenced by factors such as bamboo species, spatial and temporal distribution, tissue specificity, management practices, and symbiosis with other plants. Future research will likely focus on the functional genomics of bamboo, the screening and identification of bamboo-specific soil microbial communities, the dynamic responses of these microbes to environmental changes, and the molecular mechanisms regulating bamboo growth and environmental adaptation.","author":[{"dropping-particle":"","family":"Wang","given":"Yexuan","non-dropping-particle":"","parse-names":false,"suffix":""},{"dropping-particle":"","family":"Ren","given":"Huimin","non-dropping-particle":"","parse-names":false,"suffix":""},{"dropping-particle":"","family":"Zhong","given":"Yue","non-dropping-particle":"","parse-names":false,"suffix":""},{"dropping-particle":"","family":"Song","given":"Ruisheng","non-dropping-particle":"","parse-names":false,"suffix":""},{"dropping-particle":"","family":"Jiang","given":"Siyuan","non-dropping-particle":"","parse-names":false,"suffix":""},{"dropping-particle":"","family":"Lai","given":"Mengjing","non-dropping-particle":"","parse-names":false,"suffix":""},{"dropping-particle":"","family":"Shen","given":"Yuqi","non-dropping-particle":"","parse-names":false,"suffix":""},{"dropping-particle":"","family":"Liu","given":"Shenkui","non-dropping-particle":"","parse-names":false,"suffix":""},{"dropping-particle":"","family":"Shi","given":"Wenhui","non-dropping-particle":"","parse-names":false,"suffix":""},{"dropping-particle":"","family":"Qi","given":"Guoning","non-dropping-particle":"","parse-names":false,"suffix":""}],"container-title":"Frontiers in Microbiology","id":"ITEM-1","issued":{"date-parts":[["2025","6","25"]]},"page":"1533061","publisher":"Frontiers Media SA","title":"Microbial diversity and function in bamboo ecosystems","type":"article-journal","volume":"16"},"uris":["http://www.mendeley.com/documents/?uuid=01a11f76-b606-3d48-b601-ccbabf7f6593"]}],"mendeley":{"formattedCitation":"(Wang et al., 2025)","plainTextFormattedCitation":"(Wang et al., 2025)","previouslyFormattedCitation":"(Wang et al., 2025)"},"properties":{"noteIndex":0},"schema":"https://github.com/citation-style-language/schema/raw/master/csl-citation.json"}</w:instrText>
      </w:r>
      <w:r w:rsidRPr="00F532EC">
        <w:rPr>
          <w:rFonts w:ascii="Palatino Linotype" w:eastAsia="Palatino Linotype" w:hAnsi="Palatino Linotype" w:cs="Palatino Linotype"/>
        </w:rPr>
        <w:fldChar w:fldCharType="separate"/>
      </w:r>
      <w:r w:rsidRPr="00F532EC">
        <w:rPr>
          <w:rFonts w:ascii="Palatino Linotype" w:eastAsia="Palatino Linotype" w:hAnsi="Palatino Linotype" w:cs="Palatino Linotype"/>
          <w:noProof/>
        </w:rPr>
        <w:t>(Wang et al., 2025)</w:t>
      </w:r>
      <w:r w:rsidRPr="00F532EC">
        <w:rPr>
          <w:rFonts w:ascii="Palatino Linotype" w:eastAsia="Palatino Linotype" w:hAnsi="Palatino Linotype" w:cs="Palatino Linotype"/>
        </w:rPr>
        <w:fldChar w:fldCharType="end"/>
      </w:r>
      <w:r w:rsidRPr="00F532EC">
        <w:rPr>
          <w:rFonts w:ascii="Palatino Linotype" w:eastAsia="Palatino Linotype" w:hAnsi="Palatino Linotype" w:cs="Palatino Linotype"/>
        </w:rPr>
        <w:t xml:space="preserve">. Mikroorganisme yang terdapat pada permukaan dan sekitar akar bambu dapat dimanfaatkan sebagai inokulum awal dalam pembuatan </w:t>
      </w:r>
      <w:r w:rsidRPr="00F532EC">
        <w:rPr>
          <w:rFonts w:ascii="Palatino Linotype" w:hAnsi="Palatino Linotype"/>
        </w:rPr>
        <w:t xml:space="preserve"> inokulum awal dalam pembuatan PGPR. </w:t>
      </w:r>
      <w:r w:rsidRPr="00F532EC">
        <w:rPr>
          <w:rFonts w:ascii="Palatino Linotype" w:eastAsia="Palatino Linotype" w:hAnsi="Palatino Linotype" w:cs="Palatino Linotype"/>
        </w:rPr>
        <w:t>Selama proses berlangsung, mikroorganisme memanfaatkan sumber karbon dan nutrisi dalam media untuk memperbanyak sel dan menghasilkan metabolit yang bermanfaat bagi tanaman. Dalam pembuatan PGPR, penggunaan fermentor memberikan beberapa keunggulan dibandingkan fermentasi secara konvensional. Pengadukan membantu menjaga bahan tetap tercampur secara merata, sedangkan aerasi dapat menyediakan oksigen yang diperlukan oleh mikroorganisme aerob</w:t>
      </w:r>
    </w:p>
    <w:p w14:paraId="12BCF893" w14:textId="77777777" w:rsidR="00A0257F" w:rsidRPr="00F532EC" w:rsidRDefault="00A0257F" w:rsidP="00F532EC">
      <w:pPr>
        <w:shd w:val="clear" w:color="auto" w:fill="FFFFFF" w:themeFill="background1"/>
        <w:ind w:firstLine="720"/>
        <w:rPr>
          <w:rFonts w:ascii="Palatino Linotype" w:eastAsia="Palatino Linotype" w:hAnsi="Palatino Linotype" w:cs="Palatino Linotype"/>
        </w:rPr>
      </w:pPr>
    </w:p>
    <w:p w14:paraId="1AF40985" w14:textId="16577EF5" w:rsidR="00413412" w:rsidRPr="00F532EC" w:rsidRDefault="00F70DFC" w:rsidP="00F532EC">
      <w:pPr>
        <w:shd w:val="clear" w:color="auto" w:fill="FFFFFF" w:themeFill="background1"/>
        <w:ind w:firstLine="720"/>
        <w:jc w:val="center"/>
        <w:rPr>
          <w:rFonts w:ascii="Palatino Linotype" w:eastAsia="Palatino Linotype" w:hAnsi="Palatino Linotype" w:cs="Palatino Linotype"/>
        </w:rPr>
      </w:pPr>
      <w:r w:rsidRPr="00F532EC">
        <w:rPr>
          <w:rFonts w:ascii="Palatino Linotype" w:eastAsia="Palatino Linotype" w:hAnsi="Palatino Linotype" w:cs="Palatino Linotype"/>
          <w:noProof/>
        </w:rPr>
        <w:lastRenderedPageBreak/>
        <w:drawing>
          <wp:inline distT="0" distB="0" distL="0" distR="0" wp14:anchorId="7DCD58A0" wp14:editId="773F4B98">
            <wp:extent cx="3735432" cy="2002903"/>
            <wp:effectExtent l="0" t="0" r="0" b="0"/>
            <wp:docPr id="3124014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screen">
                      <a:extLst>
                        <a:ext uri="{28A0092B-C50C-407E-A947-70E740481C1C}">
                          <a14:useLocalDpi xmlns:a14="http://schemas.microsoft.com/office/drawing/2010/main"/>
                        </a:ext>
                      </a:extLst>
                    </a:blip>
                    <a:srcRect/>
                    <a:stretch>
                      <a:fillRect/>
                    </a:stretch>
                  </pic:blipFill>
                  <pic:spPr bwMode="auto">
                    <a:xfrm>
                      <a:off x="0" y="0"/>
                      <a:ext cx="3735432" cy="2002903"/>
                    </a:xfrm>
                    <a:prstGeom prst="rect">
                      <a:avLst/>
                    </a:prstGeom>
                    <a:noFill/>
                    <a:ln>
                      <a:noFill/>
                    </a:ln>
                    <a:extLst>
                      <a:ext uri="{53640926-AAD7-44D8-BBD7-CCE9431645EC}">
                        <a14:shadowObscured xmlns:a14="http://schemas.microsoft.com/office/drawing/2010/main"/>
                      </a:ext>
                    </a:extLst>
                  </pic:spPr>
                </pic:pic>
              </a:graphicData>
            </a:graphic>
          </wp:inline>
        </w:drawing>
      </w:r>
    </w:p>
    <w:p w14:paraId="45313B36" w14:textId="27FAD2B4" w:rsidR="00413412" w:rsidRPr="00F532EC" w:rsidRDefault="00413412" w:rsidP="00F532EC">
      <w:pPr>
        <w:shd w:val="clear" w:color="auto" w:fill="FFFFFF" w:themeFill="background1"/>
        <w:ind w:firstLine="720"/>
        <w:jc w:val="center"/>
        <w:rPr>
          <w:rFonts w:ascii="Palatino Linotype" w:eastAsia="Palatino Linotype" w:hAnsi="Palatino Linotype" w:cs="Palatino Linotype"/>
        </w:rPr>
      </w:pPr>
      <w:r w:rsidRPr="00F532EC">
        <w:rPr>
          <w:rFonts w:ascii="Palatino Linotype" w:eastAsia="Palatino Linotype" w:hAnsi="Palatino Linotype" w:cs="Palatino Linotype"/>
          <w:b/>
          <w:bCs/>
        </w:rPr>
        <w:t xml:space="preserve">Gambar </w:t>
      </w:r>
      <w:r w:rsidR="00437C18" w:rsidRPr="00F532EC">
        <w:rPr>
          <w:rFonts w:ascii="Palatino Linotype" w:eastAsia="Palatino Linotype" w:hAnsi="Palatino Linotype" w:cs="Palatino Linotype"/>
          <w:b/>
          <w:bCs/>
        </w:rPr>
        <w:t>3</w:t>
      </w:r>
      <w:r w:rsidRPr="00F532EC">
        <w:rPr>
          <w:rFonts w:ascii="Palatino Linotype" w:eastAsia="Palatino Linotype" w:hAnsi="Palatino Linotype" w:cs="Palatino Linotype"/>
        </w:rPr>
        <w:t>. Teknologi fermentor</w:t>
      </w:r>
    </w:p>
    <w:p w14:paraId="22268785" w14:textId="77777777" w:rsidR="00413412" w:rsidRPr="00F532EC" w:rsidRDefault="00413412" w:rsidP="00F532EC">
      <w:pPr>
        <w:shd w:val="clear" w:color="auto" w:fill="FFFFFF" w:themeFill="background1"/>
        <w:ind w:firstLine="720"/>
        <w:rPr>
          <w:rFonts w:ascii="Palatino Linotype" w:eastAsia="Palatino Linotype" w:hAnsi="Palatino Linotype" w:cs="Palatino Linotype"/>
        </w:rPr>
      </w:pPr>
    </w:p>
    <w:p w14:paraId="6680AB04" w14:textId="60A78978" w:rsidR="000C6654" w:rsidRDefault="00D67BDA"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 Fermentor juga membantu menjaga kondisi fermentasi, seperti suhu, pH, dan lama fermentasi, sehingga proses pertumbuhan mikroorganisme dapat berlangsung lebih optimal</w:t>
      </w:r>
      <w:r w:rsidR="001B526A" w:rsidRPr="00F532EC">
        <w:rPr>
          <w:rFonts w:ascii="Palatino Linotype" w:eastAsia="Palatino Linotype" w:hAnsi="Palatino Linotype" w:cs="Palatino Linotype"/>
        </w:rPr>
        <w:t xml:space="preserve"> </w:t>
      </w:r>
      <w:r w:rsidR="00CD1200" w:rsidRPr="00F532EC">
        <w:rPr>
          <w:rFonts w:ascii="Palatino Linotype" w:eastAsia="Palatino Linotype" w:hAnsi="Palatino Linotype" w:cs="Palatino Linotype"/>
        </w:rPr>
        <w:fldChar w:fldCharType="begin" w:fldLock="1"/>
      </w:r>
      <w:r w:rsidR="00C4526D" w:rsidRPr="00F532EC">
        <w:rPr>
          <w:rFonts w:ascii="Palatino Linotype" w:eastAsia="Palatino Linotype" w:hAnsi="Palatino Linotype" w:cs="Palatino Linotype"/>
        </w:rPr>
        <w:instrText>ADDIN CSL_CITATION {"citationItems":[{"id":"ITEM-1","itemData":{"DOI":"10.1002/CEAT.202200029;CSUBTYPE:STRING:SPECIAL;PAGE:STRING:ARTICLE/CHAPTER","ISSN":"15214125","abstract":"Process control and optimization is important in ensuring a process in sustaining profitable income while maintaining the required quality. The fermentation process has attracted attention from food processing, pharmaceutical energy, and waste treatment industries due to its lower impact on the environment and lower operating cost than the conventional chemical process. However, its control and monitoring are relatively complex as living cell activity is not easily comprehended and highly nonlinear. Various control techniques applied in the fermentation process are reviewed, including a summary of the control objective, manipulated and controlled variables chosen, and their strengths and limitations in determining the optimal fermentation process.","author":[{"dropping-particle":"","family":"Chai","given":"Wan Ying","non-dropping-particle":"","parse-names":false,"suffix":""},{"dropping-particle":"","family":"Teo","given":"Kenneth Tze Kin","non-dropping-particle":"","parse-names":false,"suffix":""},{"dropping-particle":"","family":"Tan","given":"Min Keng","non-dropping-particle":"","parse-names":false,"suffix":""},{"dropping-particle":"","family":"Tham","given":"Heng Jin","non-dropping-particle":"","parse-names":false,"suffix":""}],"container-title":"Chemical Engineering and Technology","id":"ITEM-1","issue":"10","issued":{"date-parts":[["2022","10","1"]]},"page":"1731-1747","publisher":"John Wiley and Sons Inc","title":"Fermentation Process Control and Optimization","type":"article-journal","volume":"45"},"uris":["http://www.mendeley.com/documents/?uuid=4c54fe09-fc34-3b15-9e55-6998d3663936"]}],"mendeley":{"formattedCitation":"(Chai et al., 2022)","plainTextFormattedCitation":"(Chai et al., 2022)","previouslyFormattedCitation":"(Chai et al., 2022)"},"properties":{"noteIndex":0},"schema":"https://github.com/citation-style-language/schema/raw/master/csl-citation.json"}</w:instrText>
      </w:r>
      <w:r w:rsidR="00CD1200" w:rsidRPr="00F532EC">
        <w:rPr>
          <w:rFonts w:ascii="Palatino Linotype" w:eastAsia="Palatino Linotype" w:hAnsi="Palatino Linotype" w:cs="Palatino Linotype"/>
        </w:rPr>
        <w:fldChar w:fldCharType="separate"/>
      </w:r>
      <w:r w:rsidR="00CD1200" w:rsidRPr="00F532EC">
        <w:rPr>
          <w:rFonts w:ascii="Palatino Linotype" w:eastAsia="Palatino Linotype" w:hAnsi="Palatino Linotype" w:cs="Palatino Linotype"/>
          <w:noProof/>
        </w:rPr>
        <w:t>(Chai et al., 2022)</w:t>
      </w:r>
      <w:r w:rsidR="00CD1200" w:rsidRPr="00F532EC">
        <w:rPr>
          <w:rFonts w:ascii="Palatino Linotype" w:eastAsia="Palatino Linotype" w:hAnsi="Palatino Linotype" w:cs="Palatino Linotype"/>
        </w:rPr>
        <w:fldChar w:fldCharType="end"/>
      </w:r>
      <w:r w:rsidR="00C4526D"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Dengan kondisi yang lebih terkendali, PGPR yang dihasilkan diharapkan memiliki populasi mikroorganisme yang lebih stabil dan dapat diaplikasikan secara lebih konsisten pada tanaman. </w:t>
      </w:r>
      <w:r w:rsidR="000C6654" w:rsidRPr="00F532EC">
        <w:rPr>
          <w:rFonts w:ascii="Palatino Linotype" w:eastAsia="Palatino Linotype" w:hAnsi="Palatino Linotype" w:cs="Palatino Linotype"/>
        </w:rPr>
        <w:t>Setelah proses fermentasi selesai, larutan PGPR dipisahkan dari bahan padat melalui penyaringan apabila diperlukan. Larutan hasil fermentasi kemudian ditampung dalam wadah yang bersih dan tertutup, diberi label tanggal produksi, dan disimpan pada kondisi yang sesuai serta terlindung dari paparan sinar matahari langsung</w:t>
      </w:r>
      <w:r w:rsidR="000C6E16" w:rsidRPr="00F532EC">
        <w:rPr>
          <w:rFonts w:ascii="Palatino Linotype" w:eastAsia="Palatino Linotype" w:hAnsi="Palatino Linotype" w:cs="Palatino Linotype"/>
        </w:rPr>
        <w:t xml:space="preserve"> (Gambar </w:t>
      </w:r>
      <w:r w:rsidR="00437C18" w:rsidRPr="00F532EC">
        <w:rPr>
          <w:rFonts w:ascii="Palatino Linotype" w:eastAsia="Palatino Linotype" w:hAnsi="Palatino Linotype" w:cs="Palatino Linotype"/>
        </w:rPr>
        <w:t>4</w:t>
      </w:r>
      <w:r w:rsidR="000C6E16" w:rsidRPr="00F532EC">
        <w:rPr>
          <w:rFonts w:ascii="Palatino Linotype" w:eastAsia="Palatino Linotype" w:hAnsi="Palatino Linotype" w:cs="Palatino Linotype"/>
        </w:rPr>
        <w:t>)</w:t>
      </w:r>
      <w:r w:rsidR="000C6654" w:rsidRPr="00F532EC">
        <w:rPr>
          <w:rFonts w:ascii="Palatino Linotype" w:eastAsia="Palatino Linotype" w:hAnsi="Palatino Linotype" w:cs="Palatino Linotype"/>
        </w:rPr>
        <w:t>. PGPR yang telah dihasilkan selanjutnya dapat diencerkan sesuai konsentrasi yang ditentukan sebelum diaplikasikan pada tanaman.</w:t>
      </w:r>
    </w:p>
    <w:p w14:paraId="15DCB8D0" w14:textId="77777777" w:rsidR="00F532EC" w:rsidRPr="00F532EC" w:rsidRDefault="00F532EC" w:rsidP="00F532EC">
      <w:pPr>
        <w:shd w:val="clear" w:color="auto" w:fill="FFFFFF" w:themeFill="background1"/>
        <w:ind w:firstLine="720"/>
        <w:rPr>
          <w:rFonts w:ascii="Palatino Linotype" w:eastAsia="Palatino Linotype" w:hAnsi="Palatino Linotype" w:cs="Palatino Linotype"/>
        </w:rPr>
      </w:pPr>
    </w:p>
    <w:p w14:paraId="4D97E254" w14:textId="7AB2B440" w:rsidR="00215DFD" w:rsidRPr="00F532EC" w:rsidRDefault="008C1508"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noProof/>
        </w:rPr>
        <w:drawing>
          <wp:anchor distT="0" distB="0" distL="114300" distR="114300" simplePos="0" relativeHeight="251659264" behindDoc="1" locked="0" layoutInCell="1" allowOverlap="1" wp14:anchorId="7C28D6C2" wp14:editId="6EAEA4EE">
            <wp:simplePos x="0" y="0"/>
            <wp:positionH relativeFrom="column">
              <wp:posOffset>1690370</wp:posOffset>
            </wp:positionH>
            <wp:positionV relativeFrom="paragraph">
              <wp:posOffset>66675</wp:posOffset>
            </wp:positionV>
            <wp:extent cx="2552700" cy="1753870"/>
            <wp:effectExtent l="0" t="0" r="0" b="0"/>
            <wp:wrapTight wrapText="bothSides">
              <wp:wrapPolygon edited="0">
                <wp:start x="0" y="0"/>
                <wp:lineTo x="0" y="21350"/>
                <wp:lineTo x="21439" y="21350"/>
                <wp:lineTo x="21439" y="0"/>
                <wp:lineTo x="0" y="0"/>
              </wp:wrapPolygon>
            </wp:wrapTight>
            <wp:docPr id="20460608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screen">
                      <a:extLst>
                        <a:ext uri="{28A0092B-C50C-407E-A947-70E740481C1C}">
                          <a14:useLocalDpi xmlns:a14="http://schemas.microsoft.com/office/drawing/2010/main"/>
                        </a:ext>
                      </a:extLst>
                    </a:blip>
                    <a:srcRect l="1" t="8855" r="48765" b="2585"/>
                    <a:stretch>
                      <a:fillRect/>
                    </a:stretch>
                  </pic:blipFill>
                  <pic:spPr bwMode="auto">
                    <a:xfrm>
                      <a:off x="0" y="0"/>
                      <a:ext cx="2552700" cy="1753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2CCAB0" w14:textId="024C764C" w:rsidR="000C6E16" w:rsidRPr="00F532EC" w:rsidRDefault="000C6E16" w:rsidP="00F532EC">
      <w:pPr>
        <w:shd w:val="clear" w:color="auto" w:fill="FFFFFF" w:themeFill="background1"/>
        <w:ind w:firstLine="720"/>
        <w:jc w:val="center"/>
        <w:rPr>
          <w:rFonts w:ascii="Palatino Linotype" w:eastAsia="Palatino Linotype" w:hAnsi="Palatino Linotype" w:cs="Palatino Linotype"/>
        </w:rPr>
      </w:pPr>
    </w:p>
    <w:p w14:paraId="5856B676"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2891978A"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6CF60180"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27C407D0"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2988A3A8"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36730655"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62BDF7D0"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12430221"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3921A11C" w14:textId="77777777" w:rsidR="008C1508" w:rsidRPr="00F532EC" w:rsidRDefault="008C1508" w:rsidP="00F532EC">
      <w:pPr>
        <w:shd w:val="clear" w:color="auto" w:fill="FFFFFF" w:themeFill="background1"/>
        <w:ind w:firstLine="720"/>
        <w:jc w:val="center"/>
        <w:rPr>
          <w:rFonts w:ascii="Palatino Linotype" w:eastAsia="Palatino Linotype" w:hAnsi="Palatino Linotype" w:cs="Palatino Linotype"/>
          <w:b/>
          <w:bCs/>
        </w:rPr>
      </w:pPr>
    </w:p>
    <w:p w14:paraId="4B103AA6" w14:textId="1FAA5FB0" w:rsidR="000C6E16" w:rsidRPr="00F532EC" w:rsidRDefault="008C1508"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b/>
          <w:bCs/>
        </w:rPr>
        <w:t xml:space="preserve">     </w:t>
      </w:r>
      <w:r w:rsidR="000C6E16" w:rsidRPr="00F532EC">
        <w:rPr>
          <w:rFonts w:ascii="Palatino Linotype" w:eastAsia="Palatino Linotype" w:hAnsi="Palatino Linotype" w:cs="Palatino Linotype"/>
          <w:b/>
          <w:bCs/>
        </w:rPr>
        <w:t xml:space="preserve">Gambar </w:t>
      </w:r>
      <w:r w:rsidR="00437C18" w:rsidRPr="00F532EC">
        <w:rPr>
          <w:rFonts w:ascii="Palatino Linotype" w:eastAsia="Palatino Linotype" w:hAnsi="Palatino Linotype" w:cs="Palatino Linotype"/>
          <w:b/>
          <w:bCs/>
        </w:rPr>
        <w:t>4</w:t>
      </w:r>
      <w:r w:rsidR="000C6E16" w:rsidRPr="00F532EC">
        <w:rPr>
          <w:rFonts w:ascii="Palatino Linotype" w:eastAsia="Palatino Linotype" w:hAnsi="Palatino Linotype" w:cs="Palatino Linotype"/>
        </w:rPr>
        <w:t>. Produk PGPR yang siap digunakan</w:t>
      </w:r>
    </w:p>
    <w:p w14:paraId="41C45756" w14:textId="44E3BA6C" w:rsidR="000C6E16" w:rsidRPr="00F532EC" w:rsidRDefault="000C6E16" w:rsidP="00F532EC">
      <w:pPr>
        <w:shd w:val="clear" w:color="auto" w:fill="FFFFFF" w:themeFill="background1"/>
        <w:ind w:firstLine="720"/>
        <w:rPr>
          <w:rFonts w:ascii="Palatino Linotype" w:eastAsia="Palatino Linotype" w:hAnsi="Palatino Linotype" w:cs="Palatino Linotype"/>
        </w:rPr>
      </w:pPr>
    </w:p>
    <w:p w14:paraId="712D9EA7" w14:textId="0AA22051" w:rsidR="000C6654" w:rsidRPr="00F532EC" w:rsidRDefault="000C6654"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 xml:space="preserve">Hasil kegiatan menunjukkan bahwa peserta mampu mengikuti seluruh tahapan produksi PGPR menggunakan teknologi fermentor, mulai dari persiapan bahan, pembuatan media, pencampuran </w:t>
      </w:r>
      <w:r w:rsidR="00F038B2" w:rsidRPr="00F532EC">
        <w:rPr>
          <w:rFonts w:ascii="Palatino Linotype" w:eastAsia="Palatino Linotype" w:hAnsi="Palatino Linotype" w:cs="Palatino Linotype"/>
        </w:rPr>
        <w:t>starter</w:t>
      </w:r>
      <w:r w:rsidR="00A70709" w:rsidRPr="00F532EC">
        <w:rPr>
          <w:rFonts w:ascii="Palatino Linotype" w:eastAsia="Palatino Linotype" w:hAnsi="Palatino Linotype" w:cs="Palatino Linotype"/>
        </w:rPr>
        <w:t xml:space="preserve"> atau biang rendaman akar bambu</w:t>
      </w:r>
      <w:r w:rsidRPr="00F532EC">
        <w:rPr>
          <w:rFonts w:ascii="Palatino Linotype" w:eastAsia="Palatino Linotype" w:hAnsi="Palatino Linotype" w:cs="Palatino Linotype"/>
        </w:rPr>
        <w:t xml:space="preserve">, proses fermentasi, hingga pengemasan produk. Penggunaan fermentor memberikan pengalaman baru bagi mitra dalam memproduksi PGPR dengan proses yang lebih terarah. Dengan demikian, kegiatan tidak hanya menghasilkan produk PGPR, tetapi juga meningkatkan kemampuan kelompok tani untuk memproduksi dan memanfaatkan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secara mandiri dalam mendukung budidaya cabai.</w:t>
      </w:r>
    </w:p>
    <w:p w14:paraId="7BB0DFB5" w14:textId="77777777" w:rsidR="00D67BDA" w:rsidRPr="00F532EC" w:rsidRDefault="00D67BDA" w:rsidP="00F532EC">
      <w:pPr>
        <w:shd w:val="clear" w:color="auto" w:fill="FFFFFF" w:themeFill="background1"/>
        <w:rPr>
          <w:rFonts w:ascii="Palatino Linotype" w:eastAsia="Palatino Linotype" w:hAnsi="Palatino Linotype" w:cs="Palatino Linotype"/>
        </w:rPr>
      </w:pPr>
    </w:p>
    <w:p w14:paraId="5E5F4077" w14:textId="28650995" w:rsidR="000C6654" w:rsidRPr="00F532EC" w:rsidRDefault="000C6654"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 xml:space="preserve">Perbanyakan </w:t>
      </w:r>
      <w:r w:rsidR="00024C69" w:rsidRPr="00F532EC">
        <w:rPr>
          <w:rFonts w:ascii="Palatino Linotype" w:eastAsia="Palatino Linotype" w:hAnsi="Palatino Linotype" w:cs="Palatino Linotype"/>
          <w:b/>
          <w:bCs/>
          <w:i/>
          <w:iCs/>
          <w:sz w:val="22"/>
          <w:szCs w:val="22"/>
        </w:rPr>
        <w:t>Trichoderma</w:t>
      </w:r>
      <w:r w:rsidR="00486A8A" w:rsidRPr="00F532EC">
        <w:rPr>
          <w:rFonts w:ascii="Palatino Linotype" w:eastAsia="Palatino Linotype" w:hAnsi="Palatino Linotype" w:cs="Palatino Linotype"/>
          <w:b/>
          <w:bCs/>
          <w:i/>
          <w:iCs/>
          <w:sz w:val="22"/>
          <w:szCs w:val="22"/>
        </w:rPr>
        <w:t xml:space="preserve"> </w:t>
      </w:r>
      <w:r w:rsidR="00486A8A" w:rsidRPr="00F532EC">
        <w:rPr>
          <w:rFonts w:ascii="Palatino Linotype" w:eastAsia="Palatino Linotype" w:hAnsi="Palatino Linotype" w:cs="Palatino Linotype"/>
          <w:b/>
          <w:bCs/>
          <w:sz w:val="22"/>
          <w:szCs w:val="22"/>
        </w:rPr>
        <w:t>sp.</w:t>
      </w:r>
    </w:p>
    <w:p w14:paraId="53109146" w14:textId="4C920076" w:rsidR="000D4317" w:rsidRPr="00F532EC" w:rsidRDefault="000C6654"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 xml:space="preserve">Perbanyakan </w:t>
      </w:r>
      <w:r w:rsidR="00486A8A" w:rsidRPr="00F532EC">
        <w:rPr>
          <w:rFonts w:ascii="Palatino Linotype" w:eastAsia="Palatino Linotype" w:hAnsi="Palatino Linotype" w:cs="Palatino Linotype"/>
          <w:i/>
          <w:iCs/>
        </w:rPr>
        <w:t xml:space="preserve">Trichoderma </w:t>
      </w:r>
      <w:r w:rsidR="00486A8A" w:rsidRPr="00F532EC">
        <w:rPr>
          <w:rFonts w:ascii="Palatino Linotype" w:eastAsia="Palatino Linotype" w:hAnsi="Palatino Linotype" w:cs="Palatino Linotype"/>
          <w:lang w:val="sv-SE"/>
        </w:rPr>
        <w:t>sp</w:t>
      </w:r>
      <w:r w:rsidR="00486A8A"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dilakukan sebagai bagian dari penerapan teknologi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untuk mendukung pengelolaan organisme pengganggu tanaman pada budidaya cabai. Tahapan perbanyakan meliputi persiapan starter, persiapan media, sterilisasi media dan peralatan, inokulasi, inkubasi, pengamatan pertumbuhan, serta pemanenan</w:t>
      </w:r>
      <w:r w:rsidR="00AC2278" w:rsidRPr="00F532EC">
        <w:rPr>
          <w:rFonts w:ascii="Palatino Linotype" w:eastAsia="Palatino Linotype" w:hAnsi="Palatino Linotype" w:cs="Palatino Linotype"/>
        </w:rPr>
        <w:t xml:space="preserve"> (Gambar </w:t>
      </w:r>
      <w:r w:rsidR="00437C18" w:rsidRPr="00F532EC">
        <w:rPr>
          <w:rFonts w:ascii="Palatino Linotype" w:eastAsia="Palatino Linotype" w:hAnsi="Palatino Linotype" w:cs="Palatino Linotype"/>
        </w:rPr>
        <w:t>5</w:t>
      </w:r>
      <w:r w:rsidR="00AC2278"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w:t>
      </w:r>
    </w:p>
    <w:p w14:paraId="554B3662" w14:textId="77777777" w:rsidR="000D4317" w:rsidRPr="00F532EC" w:rsidRDefault="000D4317" w:rsidP="00F532EC">
      <w:pPr>
        <w:shd w:val="clear" w:color="auto" w:fill="FFFFFF" w:themeFill="background1"/>
        <w:ind w:firstLine="720"/>
        <w:rPr>
          <w:rFonts w:ascii="Palatino Linotype" w:eastAsia="Palatino Linotype" w:hAnsi="Palatino Linotype" w:cs="Palatino Linotype"/>
        </w:rPr>
      </w:pPr>
    </w:p>
    <w:p w14:paraId="3DA21E45" w14:textId="77777777" w:rsidR="000D4317" w:rsidRPr="00F532EC" w:rsidRDefault="000D4317"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noProof/>
        </w:rPr>
        <w:lastRenderedPageBreak/>
        <w:drawing>
          <wp:inline distT="0" distB="0" distL="0" distR="0" wp14:anchorId="591D601C" wp14:editId="5E88B318">
            <wp:extent cx="4553858" cy="2815928"/>
            <wp:effectExtent l="0" t="0" r="0" b="3810"/>
            <wp:docPr id="4540042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4646016" cy="2872915"/>
                    </a:xfrm>
                    <a:prstGeom prst="rect">
                      <a:avLst/>
                    </a:prstGeom>
                    <a:noFill/>
                  </pic:spPr>
                </pic:pic>
              </a:graphicData>
            </a:graphic>
          </wp:inline>
        </w:drawing>
      </w:r>
    </w:p>
    <w:p w14:paraId="0F700FDE" w14:textId="18289320" w:rsidR="000D4317" w:rsidRPr="00F532EC" w:rsidRDefault="000D4317" w:rsidP="00F532EC">
      <w:pPr>
        <w:shd w:val="clear" w:color="auto" w:fill="FFFFFF" w:themeFill="background1"/>
        <w:jc w:val="center"/>
        <w:rPr>
          <w:rFonts w:ascii="Palatino Linotype" w:eastAsia="Palatino Linotype" w:hAnsi="Palatino Linotype" w:cs="Palatino Linotype"/>
          <w:iCs/>
        </w:rPr>
      </w:pPr>
      <w:r w:rsidRPr="00F532EC">
        <w:rPr>
          <w:rFonts w:ascii="Palatino Linotype" w:eastAsia="Palatino Linotype" w:hAnsi="Palatino Linotype" w:cs="Palatino Linotype"/>
          <w:b/>
          <w:bCs/>
        </w:rPr>
        <w:t xml:space="preserve">Gambar </w:t>
      </w:r>
      <w:r w:rsidR="00437C18" w:rsidRPr="00F532EC">
        <w:rPr>
          <w:rFonts w:ascii="Palatino Linotype" w:eastAsia="Palatino Linotype" w:hAnsi="Palatino Linotype" w:cs="Palatino Linotype"/>
          <w:b/>
          <w:bCs/>
        </w:rPr>
        <w:t>5</w:t>
      </w:r>
      <w:r w:rsidRPr="00F532EC">
        <w:rPr>
          <w:rFonts w:ascii="Palatino Linotype" w:eastAsia="Palatino Linotype" w:hAnsi="Palatino Linotype" w:cs="Palatino Linotype"/>
        </w:rPr>
        <w:t xml:space="preserve">. Proses perbanyakan </w:t>
      </w:r>
      <w:r w:rsidRPr="00F532EC">
        <w:rPr>
          <w:rFonts w:ascii="Palatino Linotype" w:eastAsia="Palatino Linotype" w:hAnsi="Palatino Linotype" w:cs="Palatino Linotype"/>
          <w:i/>
        </w:rPr>
        <w:t>Trichoderma</w:t>
      </w:r>
      <w:r w:rsidR="00FF1701" w:rsidRPr="00F532EC">
        <w:rPr>
          <w:rFonts w:ascii="Palatino Linotype" w:eastAsia="Palatino Linotype" w:hAnsi="Palatino Linotype" w:cs="Palatino Linotype"/>
          <w:i/>
        </w:rPr>
        <w:t xml:space="preserve"> </w:t>
      </w:r>
      <w:r w:rsidR="00FF1701" w:rsidRPr="00F532EC">
        <w:rPr>
          <w:rFonts w:ascii="Palatino Linotype" w:eastAsia="Palatino Linotype" w:hAnsi="Palatino Linotype" w:cs="Palatino Linotype"/>
          <w:iCs/>
        </w:rPr>
        <w:t>sp.</w:t>
      </w:r>
    </w:p>
    <w:p w14:paraId="75FF456A" w14:textId="77777777" w:rsidR="000D4317" w:rsidRPr="00F532EC" w:rsidRDefault="000D4317" w:rsidP="00F532EC">
      <w:pPr>
        <w:shd w:val="clear" w:color="auto" w:fill="FFFFFF" w:themeFill="background1"/>
        <w:ind w:firstLine="720"/>
        <w:rPr>
          <w:rFonts w:ascii="Palatino Linotype" w:eastAsia="Palatino Linotype" w:hAnsi="Palatino Linotype" w:cs="Palatino Linotype"/>
        </w:rPr>
      </w:pPr>
    </w:p>
    <w:p w14:paraId="07390494" w14:textId="7A95C184" w:rsidR="000C6654" w:rsidRPr="00F532EC" w:rsidRDefault="000C6654"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Media perbanyakan dipilih berdasarkan ketersediaan bahan di tingkat petani</w:t>
      </w:r>
      <w:r w:rsidR="00215DFD" w:rsidRPr="00F532EC">
        <w:rPr>
          <w:rFonts w:ascii="Palatino Linotype" w:eastAsia="Palatino Linotype" w:hAnsi="Palatino Linotype" w:cs="Palatino Linotype"/>
        </w:rPr>
        <w:t xml:space="preserve">, beberapa jenis media </w:t>
      </w:r>
      <w:r w:rsidR="008C1508" w:rsidRPr="00F532EC">
        <w:rPr>
          <w:rFonts w:ascii="Palatino Linotype" w:eastAsia="Palatino Linotype" w:hAnsi="Palatino Linotype" w:cs="Palatino Linotype"/>
        </w:rPr>
        <w:t xml:space="preserve">padat </w:t>
      </w:r>
      <w:r w:rsidR="00215DFD" w:rsidRPr="00F532EC">
        <w:rPr>
          <w:rFonts w:ascii="Palatino Linotype" w:eastAsia="Palatino Linotype" w:hAnsi="Palatino Linotype" w:cs="Palatino Linotype"/>
        </w:rPr>
        <w:t>yang dapat digunakan diantaranya beras dan jagung.</w:t>
      </w:r>
      <w:r w:rsidR="008C1508"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Sebelum digunakan, media d</w:t>
      </w:r>
      <w:r w:rsidR="00215DFD" w:rsidRPr="00F532EC">
        <w:rPr>
          <w:rFonts w:ascii="Palatino Linotype" w:eastAsia="Palatino Linotype" w:hAnsi="Palatino Linotype" w:cs="Palatino Linotype"/>
        </w:rPr>
        <w:t>icu</w:t>
      </w:r>
      <w:r w:rsidR="008C1508" w:rsidRPr="00F532EC">
        <w:rPr>
          <w:rFonts w:ascii="Palatino Linotype" w:eastAsia="Palatino Linotype" w:hAnsi="Palatino Linotype" w:cs="Palatino Linotype"/>
        </w:rPr>
        <w:t>c</w:t>
      </w:r>
      <w:r w:rsidR="00215DFD" w:rsidRPr="00F532EC">
        <w:rPr>
          <w:rFonts w:ascii="Palatino Linotype" w:eastAsia="Palatino Linotype" w:hAnsi="Palatino Linotype" w:cs="Palatino Linotype"/>
        </w:rPr>
        <w:t>i bersih</w:t>
      </w:r>
      <w:r w:rsidRPr="00F532EC">
        <w:rPr>
          <w:rFonts w:ascii="Palatino Linotype" w:eastAsia="Palatino Linotype" w:hAnsi="Palatino Linotype" w:cs="Palatino Linotype"/>
        </w:rPr>
        <w:t xml:space="preserve"> dan dipersiapkan dalam wadah perbanyakan.</w:t>
      </w:r>
      <w:r w:rsidR="00084897" w:rsidRPr="00F532EC">
        <w:rPr>
          <w:rFonts w:ascii="Palatino Linotype" w:hAnsi="Palatino Linotype"/>
        </w:rPr>
        <w:t xml:space="preserve"> </w:t>
      </w:r>
      <w:r w:rsidR="00084897" w:rsidRPr="00F532EC">
        <w:rPr>
          <w:rFonts w:ascii="Palatino Linotype" w:eastAsia="Palatino Linotype" w:hAnsi="Palatino Linotype" w:cs="Palatino Linotype"/>
        </w:rPr>
        <w:t>Media berfungsi</w:t>
      </w:r>
      <w:r w:rsidR="008C1508" w:rsidRPr="00F532EC">
        <w:rPr>
          <w:rFonts w:ascii="Palatino Linotype" w:eastAsia="Palatino Linotype" w:hAnsi="Palatino Linotype" w:cs="Palatino Linotype"/>
        </w:rPr>
        <w:t xml:space="preserve"> </w:t>
      </w:r>
      <w:r w:rsidR="00084897" w:rsidRPr="00F532EC">
        <w:rPr>
          <w:rFonts w:ascii="Palatino Linotype" w:eastAsia="Palatino Linotype" w:hAnsi="Palatino Linotype" w:cs="Palatino Linotype"/>
        </w:rPr>
        <w:t xml:space="preserve">sebagai sumber nutrisi dan substrat bagi pertumbuhan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w:t>
      </w:r>
      <w:r w:rsidR="00084897" w:rsidRPr="00F532EC">
        <w:rPr>
          <w:rFonts w:ascii="Palatino Linotype" w:eastAsia="Palatino Linotype" w:hAnsi="Palatino Linotype" w:cs="Palatino Linotype"/>
        </w:rPr>
        <w:t xml:space="preserve">, sehingga kualitas media menjadi salah satu faktor yang menentukan keberhasilan perbanyakan </w:t>
      </w:r>
      <w:r w:rsidR="00C4526D" w:rsidRPr="00F532EC">
        <w:rPr>
          <w:rFonts w:ascii="Palatino Linotype" w:eastAsia="Palatino Linotype" w:hAnsi="Palatino Linotype" w:cs="Palatino Linotype"/>
        </w:rPr>
        <w:fldChar w:fldCharType="begin" w:fldLock="1"/>
      </w:r>
      <w:r w:rsidR="000122C0" w:rsidRPr="00F532EC">
        <w:rPr>
          <w:rFonts w:ascii="Palatino Linotype" w:eastAsia="Palatino Linotype" w:hAnsi="Palatino Linotype" w:cs="Palatino Linotype"/>
        </w:rPr>
        <w:instrText>ADDIN CSL_CITATION {"citationItems":[{"id":"ITEM-1","itemData":{"DOI":"10.1007/S00284-026-04921-2","ISSN":"1432-0991","PMID":"42056213","abstract":"The intensive use of soil and the increased consumption of chemical fertilizers have risen over the years, causing soil degradation and impacting human health. The application of the fungus Trichoderma spp. has expanded exponentially and has been used to enhance soil fortification and detoxification of both soil and wastewater. Additionally, it has been applied in agricultural systems as a biocontrol agent against pathogens, to stimulate plant growth, and as a biological fertilizer to improve soil fertility. In this study, three Trichoderma strains (T. harzianum MMBF 58/09, T. asperellum URM 6997/160821, and T. harzianum IB 19/17) were cultivated using a culture medium designed through Plackett-Burman statistical design, followed by the characterization of the microorganisms to increase enzyme production, siderophore synthesis, and indole-3-acetic acid production. Significant enzymatic activity was observed, including chitinase (0.022 and 0.004 U·mL− 1), β-1,3-glucanase (0.199 and 0.007 U·mL− 1), and protease (1.45 and 1.40 U mL− 1), as well as propagules (9.67 × 107 conidia·mL− 1, 2.56 × 107 microsclerotia·mL− 1, and 1.79 × 107 chlamydospores·mL− 1). Siderophore production reached 33.26%, and biomass was measured at 1.32&amp;nbsp;g·100 mL− 1. Some assays of the strains MMBF 58/09, URM 6997/160,821, and IB 19/17 demonstrated that these strains have promising potential to contribute to food safety and agricultural quality. Therefore, the observed responses emphasize the need for oriented microbial selection, supporting the development of targeted bioinputs within the framework of applied microbiology.","author":[{"dropping-particle":"","family":"Valente","given":"Isabela de L.","non-dropping-particle":"","parse-names":false,"suffix":""},{"dropping-particle":"","family":"Luft","given":"Luciana","non-dropping-particle":"","parse-names":false,"suffix":""},{"dropping-particle":"","family":"Zabot","given":"Giovani L.","non-dropping-particle":"","parse-names":false,"suffix":""},{"dropping-particle":"","family":"Mazutti","given":"Marcio A.","non-dropping-particle":"","parse-names":false,"suffix":""}],"container-title":"Current Microbiology 2026 83:6","id":"ITEM-1","issue":"6","issued":{"date-parts":[["2026","4","29"]]},"page":"339-","publisher":"Springer","title":"Optimization of Culture Media for Trichoderma Strains as a Sustainable Approach for Agriculture","type":"article-journal","volume":"83"},"uris":["http://www.mendeley.com/documents/?uuid=825b4993-092a-3a4a-af03-bfcc4a86ab4f"]}],"mendeley":{"formattedCitation":"(Valente et al., 2026)","plainTextFormattedCitation":"(Valente et al., 2026)","previouslyFormattedCitation":"(Valente et al., 2026)"},"properties":{"noteIndex":0},"schema":"https://github.com/citation-style-language/schema/raw/master/csl-citation.json"}</w:instrText>
      </w:r>
      <w:r w:rsidR="00C4526D" w:rsidRPr="00F532EC">
        <w:rPr>
          <w:rFonts w:ascii="Palatino Linotype" w:eastAsia="Palatino Linotype" w:hAnsi="Palatino Linotype" w:cs="Palatino Linotype"/>
        </w:rPr>
        <w:fldChar w:fldCharType="separate"/>
      </w:r>
      <w:r w:rsidR="00C4526D" w:rsidRPr="00F532EC">
        <w:rPr>
          <w:rFonts w:ascii="Palatino Linotype" w:eastAsia="Palatino Linotype" w:hAnsi="Palatino Linotype" w:cs="Palatino Linotype"/>
          <w:noProof/>
        </w:rPr>
        <w:t>(Valente et al., 2026)</w:t>
      </w:r>
      <w:r w:rsidR="00C4526D" w:rsidRPr="00F532EC">
        <w:rPr>
          <w:rFonts w:ascii="Palatino Linotype" w:eastAsia="Palatino Linotype" w:hAnsi="Palatino Linotype" w:cs="Palatino Linotype"/>
        </w:rPr>
        <w:fldChar w:fldCharType="end"/>
      </w:r>
      <w:r w:rsidR="00084897"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Peralatan yang digunakan juga dibersihkan terlebih dahulu untuk mengurangi kemungkinan terjadinya kontaminasi oleh mikroorganisme lain.</w:t>
      </w:r>
      <w:r w:rsidR="00515D59" w:rsidRPr="00F532EC">
        <w:rPr>
          <w:rFonts w:ascii="Palatino Linotype" w:eastAsia="Palatino Linotype" w:hAnsi="Palatino Linotype" w:cs="Palatino Linotype"/>
        </w:rPr>
        <w:t xml:space="preserve"> Proses perbanyakan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w:t>
      </w:r>
      <w:r w:rsidR="00515D59" w:rsidRPr="00F532EC">
        <w:rPr>
          <w:rFonts w:ascii="Palatino Linotype" w:eastAsia="Palatino Linotype" w:hAnsi="Palatino Linotype" w:cs="Palatino Linotype"/>
        </w:rPr>
        <w:t xml:space="preserve"> sebagai berikut:</w:t>
      </w:r>
    </w:p>
    <w:p w14:paraId="240D1C23" w14:textId="77777777" w:rsidR="00515D59" w:rsidRPr="00F532EC" w:rsidRDefault="00515D59" w:rsidP="00F532EC">
      <w:pPr>
        <w:pStyle w:val="ListParagraph"/>
        <w:numPr>
          <w:ilvl w:val="0"/>
          <w:numId w:val="4"/>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Cuci beras atau jagung hingga bersih, kemudian tiriskan.</w:t>
      </w:r>
    </w:p>
    <w:p w14:paraId="1FB479FA" w14:textId="77777777" w:rsidR="00515D59" w:rsidRPr="00F532EC" w:rsidRDefault="00515D59" w:rsidP="00F532EC">
      <w:pPr>
        <w:pStyle w:val="ListParagraph"/>
        <w:numPr>
          <w:ilvl w:val="0"/>
          <w:numId w:val="4"/>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Kukus selama 10–15 menit (setengah matang), lalu dinginkan selama ±30 menit.</w:t>
      </w:r>
    </w:p>
    <w:p w14:paraId="45F204A5" w14:textId="77777777" w:rsidR="00515D59" w:rsidRPr="00F532EC" w:rsidRDefault="00515D59" w:rsidP="00F532EC">
      <w:pPr>
        <w:pStyle w:val="ListParagraph"/>
        <w:numPr>
          <w:ilvl w:val="0"/>
          <w:numId w:val="4"/>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Masukkan media beras/jagung ke dalam plastik tahan panas sebanyak 200–300 g per kemasan.</w:t>
      </w:r>
    </w:p>
    <w:p w14:paraId="1388D36C" w14:textId="57401125" w:rsidR="00515D59" w:rsidRPr="00F532EC" w:rsidRDefault="00515D59" w:rsidP="00F532EC">
      <w:pPr>
        <w:pStyle w:val="ListParagraph"/>
        <w:numPr>
          <w:ilvl w:val="0"/>
          <w:numId w:val="4"/>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 xml:space="preserve">Inokulasikan isolat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sp. sebanyak ±⅓ sendok bersih/steril ke setiap kemasan media.</w:t>
      </w:r>
    </w:p>
    <w:p w14:paraId="3A3BA28D" w14:textId="77777777" w:rsidR="00515D59" w:rsidRPr="00F532EC" w:rsidRDefault="00515D59" w:rsidP="00F532EC">
      <w:pPr>
        <w:pStyle w:val="ListParagraph"/>
        <w:numPr>
          <w:ilvl w:val="0"/>
          <w:numId w:val="4"/>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Kocok plastik hingga isolat tercampur merata dengan media.</w:t>
      </w:r>
    </w:p>
    <w:p w14:paraId="403B3D66" w14:textId="512C5855" w:rsidR="00515D59" w:rsidRPr="00F532EC" w:rsidRDefault="00515D59" w:rsidP="00F532EC">
      <w:pPr>
        <w:pStyle w:val="ListParagraph"/>
        <w:numPr>
          <w:ilvl w:val="0"/>
          <w:numId w:val="4"/>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Tutup plastik dengan melipat ujungnya, kemudian rekatkan menggunakan stapler.</w:t>
      </w:r>
    </w:p>
    <w:p w14:paraId="4E756812" w14:textId="77777777" w:rsidR="00515D59" w:rsidRPr="00F532EC" w:rsidRDefault="00515D59" w:rsidP="00F532EC">
      <w:pPr>
        <w:pStyle w:val="ListParagraph"/>
        <w:numPr>
          <w:ilvl w:val="0"/>
          <w:numId w:val="4"/>
        </w:num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 xml:space="preserve">Inkubasi pada tempat teduh, minim cahaya, dan bersuhu ruang. </w:t>
      </w:r>
    </w:p>
    <w:p w14:paraId="6F7C2DDA" w14:textId="4FAAC3DA" w:rsidR="00951FAC" w:rsidRPr="00F532EC" w:rsidRDefault="00515D59" w:rsidP="00F532EC">
      <w:p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rPr>
        <w:t xml:space="preserve">Setelah 5–7 hari, media akan ditumbuhi miselium berwarna hijau, menandakan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sp. telah berkembang dengan baik</w:t>
      </w:r>
      <w:r w:rsidR="00FF1701" w:rsidRPr="00F532EC">
        <w:rPr>
          <w:rFonts w:ascii="Palatino Linotype" w:eastAsia="Palatino Linotype" w:hAnsi="Palatino Linotype" w:cs="Palatino Linotype"/>
        </w:rPr>
        <w:t xml:space="preserve"> (Gambar </w:t>
      </w:r>
      <w:r w:rsidR="00437C18" w:rsidRPr="00F532EC">
        <w:rPr>
          <w:rFonts w:ascii="Palatino Linotype" w:eastAsia="Palatino Linotype" w:hAnsi="Palatino Linotype" w:cs="Palatino Linotype"/>
        </w:rPr>
        <w:t>6</w:t>
      </w:r>
      <w:r w:rsidR="00FF1701" w:rsidRPr="00F532EC">
        <w:rPr>
          <w:rFonts w:ascii="Palatino Linotype" w:eastAsia="Palatino Linotype" w:hAnsi="Palatino Linotype" w:cs="Palatino Linotype"/>
        </w:rPr>
        <w:t>)</w:t>
      </w:r>
      <w:r w:rsidRPr="00F532EC">
        <w:rPr>
          <w:rFonts w:ascii="Palatino Linotype" w:eastAsia="Palatino Linotype" w:hAnsi="Palatino Linotype" w:cs="Palatino Linotype"/>
        </w:rPr>
        <w:t>.</w:t>
      </w:r>
    </w:p>
    <w:p w14:paraId="477B4963" w14:textId="711AB14A" w:rsidR="00951FAC" w:rsidRPr="00F532EC" w:rsidRDefault="00951FAC"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noProof/>
        </w:rPr>
        <w:drawing>
          <wp:inline distT="0" distB="0" distL="0" distR="0" wp14:anchorId="7BFCC9DD" wp14:editId="7D8145FA">
            <wp:extent cx="2853055" cy="1987550"/>
            <wp:effectExtent l="0" t="0" r="4445" b="0"/>
            <wp:docPr id="8693182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3055" cy="1987550"/>
                    </a:xfrm>
                    <a:prstGeom prst="rect">
                      <a:avLst/>
                    </a:prstGeom>
                    <a:noFill/>
                  </pic:spPr>
                </pic:pic>
              </a:graphicData>
            </a:graphic>
          </wp:inline>
        </w:drawing>
      </w:r>
    </w:p>
    <w:p w14:paraId="295A16A3" w14:textId="794D583F" w:rsidR="00FF1701" w:rsidRPr="00F532EC" w:rsidRDefault="00FF1701"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b/>
          <w:bCs/>
        </w:rPr>
        <w:t xml:space="preserve">Gambar </w:t>
      </w:r>
      <w:r w:rsidR="00437C18" w:rsidRPr="00F532EC">
        <w:rPr>
          <w:rFonts w:ascii="Palatino Linotype" w:eastAsia="Palatino Linotype" w:hAnsi="Palatino Linotype" w:cs="Palatino Linotype"/>
          <w:b/>
          <w:bCs/>
        </w:rPr>
        <w:t>6</w:t>
      </w:r>
      <w:r w:rsidRPr="00F532EC">
        <w:rPr>
          <w:rFonts w:ascii="Palatino Linotype" w:eastAsia="Palatino Linotype" w:hAnsi="Palatino Linotype" w:cs="Palatino Linotype"/>
        </w:rPr>
        <w:t xml:space="preserve">. </w:t>
      </w:r>
      <w:r w:rsidR="00486A8A" w:rsidRPr="00F532EC">
        <w:rPr>
          <w:rFonts w:ascii="Palatino Linotype" w:eastAsia="Palatino Linotype" w:hAnsi="Palatino Linotype" w:cs="Palatino Linotype"/>
        </w:rPr>
        <w:t xml:space="preserve">Hasil Perbanyakan F2 </w:t>
      </w:r>
      <w:r w:rsidR="00486A8A" w:rsidRPr="00F532EC">
        <w:rPr>
          <w:rFonts w:ascii="Palatino Linotype" w:eastAsia="Palatino Linotype" w:hAnsi="Palatino Linotype" w:cs="Palatino Linotype"/>
          <w:i/>
          <w:iCs/>
        </w:rPr>
        <w:t>Trichoderma</w:t>
      </w:r>
      <w:r w:rsidR="00486A8A" w:rsidRPr="00F532EC">
        <w:rPr>
          <w:rFonts w:ascii="Palatino Linotype" w:eastAsia="Palatino Linotype" w:hAnsi="Palatino Linotype" w:cs="Palatino Linotype"/>
        </w:rPr>
        <w:t xml:space="preserve"> sp. pada </w:t>
      </w:r>
      <w:r w:rsidR="00951FAC" w:rsidRPr="00F532EC">
        <w:rPr>
          <w:rFonts w:ascii="Palatino Linotype" w:eastAsia="Palatino Linotype" w:hAnsi="Palatino Linotype" w:cs="Palatino Linotype"/>
        </w:rPr>
        <w:t>m</w:t>
      </w:r>
      <w:r w:rsidR="00486A8A" w:rsidRPr="00F532EC">
        <w:rPr>
          <w:rFonts w:ascii="Palatino Linotype" w:eastAsia="Palatino Linotype" w:hAnsi="Palatino Linotype" w:cs="Palatino Linotype"/>
        </w:rPr>
        <w:t xml:space="preserve">edia </w:t>
      </w:r>
      <w:r w:rsidR="00951FAC" w:rsidRPr="00F532EC">
        <w:rPr>
          <w:rFonts w:ascii="Palatino Linotype" w:eastAsia="Palatino Linotype" w:hAnsi="Palatino Linotype" w:cs="Palatino Linotype"/>
        </w:rPr>
        <w:t>b</w:t>
      </w:r>
      <w:r w:rsidR="00486A8A" w:rsidRPr="00F532EC">
        <w:rPr>
          <w:rFonts w:ascii="Palatino Linotype" w:eastAsia="Palatino Linotype" w:hAnsi="Palatino Linotype" w:cs="Palatino Linotype"/>
        </w:rPr>
        <w:t>eras</w:t>
      </w:r>
    </w:p>
    <w:p w14:paraId="378F0477" w14:textId="1F21582E" w:rsidR="00AC2278" w:rsidRPr="00F532EC" w:rsidRDefault="000C6654" w:rsidP="00F532EC">
      <w:pPr>
        <w:shd w:val="clear" w:color="auto" w:fill="FFFFFF" w:themeFill="background1"/>
        <w:ind w:firstLine="720"/>
        <w:rPr>
          <w:rFonts w:ascii="Palatino Linotype" w:hAnsi="Palatino Linotype"/>
        </w:rPr>
      </w:pPr>
      <w:r w:rsidRPr="00F532EC">
        <w:rPr>
          <w:rFonts w:ascii="Palatino Linotype" w:eastAsia="Palatino Linotype" w:hAnsi="Palatino Linotype" w:cs="Palatino Linotype"/>
        </w:rPr>
        <w:t xml:space="preserve">Dalam kegiatan pelatihan, peserta juga diberikan pemahaman mengenai pentingnya menjaga kualitas hasil perbanyakan selama </w:t>
      </w:r>
      <w:r w:rsidR="005C4E30" w:rsidRPr="00F532EC">
        <w:rPr>
          <w:rFonts w:ascii="Palatino Linotype" w:eastAsia="Palatino Linotype" w:hAnsi="Palatino Linotype" w:cs="Palatino Linotype"/>
        </w:rPr>
        <w:t xml:space="preserve">proses </w:t>
      </w:r>
      <w:r w:rsidRPr="00F532EC">
        <w:rPr>
          <w:rFonts w:ascii="Palatino Linotype" w:eastAsia="Palatino Linotype" w:hAnsi="Palatino Linotype" w:cs="Palatino Linotype"/>
        </w:rPr>
        <w:t xml:space="preserve">penyimpanan, karena kondisi penyimpanan yang tidak sesuai dapat memengaruhi viabilitas dan kemampuan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untuk berkembang kembali ketika diaplikasikan.</w:t>
      </w:r>
      <w:r w:rsidR="008C1508"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Hasil kegiatan menunjukkan bahwa mitra mampu melakukan perbanyakan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w:t>
      </w:r>
      <w:r w:rsidR="005C4E30" w:rsidRPr="00F532EC">
        <w:rPr>
          <w:rFonts w:ascii="Palatino Linotype" w:eastAsia="Palatino Linotype" w:hAnsi="Palatino Linotype" w:cs="Palatino Linotype"/>
        </w:rPr>
        <w:lastRenderedPageBreak/>
        <w:t xml:space="preserve">sp. </w:t>
      </w:r>
      <w:r w:rsidRPr="00F532EC">
        <w:rPr>
          <w:rFonts w:ascii="Palatino Linotype" w:eastAsia="Palatino Linotype" w:hAnsi="Palatino Linotype" w:cs="Palatino Linotype"/>
        </w:rPr>
        <w:t xml:space="preserve">melalui tahapan yang telah diberikan, mulai dari persiapan media, sterilisasi, inokulasi, inkubasi, pengamatan pertumbuhan, hingga pemanenan. Keberhasilan proses ditunjukkan dengan terbentuknya koloni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w:t>
      </w:r>
      <w:r w:rsidR="005C4E30" w:rsidRPr="00F532EC">
        <w:rPr>
          <w:rFonts w:ascii="Palatino Linotype" w:eastAsia="Palatino Linotype" w:hAnsi="Palatino Linotype" w:cs="Palatino Linotype"/>
        </w:rPr>
        <w:t xml:space="preserve">sp. </w:t>
      </w:r>
      <w:r w:rsidRPr="00F532EC">
        <w:rPr>
          <w:rFonts w:ascii="Palatino Linotype" w:eastAsia="Palatino Linotype" w:hAnsi="Palatino Linotype" w:cs="Palatino Linotype"/>
        </w:rPr>
        <w:t xml:space="preserve">pada media perbanyakan. </w:t>
      </w:r>
      <w:r w:rsidR="006F4A7B" w:rsidRPr="00F532EC">
        <w:rPr>
          <w:rFonts w:ascii="Palatino Linotype" w:eastAsia="Palatino Linotype" w:hAnsi="Palatino Linotype" w:cs="Palatino Linotype"/>
        </w:rPr>
        <w:t>P</w:t>
      </w:r>
      <w:r w:rsidRPr="00F532EC">
        <w:rPr>
          <w:rFonts w:ascii="Palatino Linotype" w:eastAsia="Palatino Linotype" w:hAnsi="Palatino Linotype" w:cs="Palatino Linotype"/>
        </w:rPr>
        <w:t xml:space="preserve">eserta mampu mengikuti praktik perbanyakan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w:t>
      </w:r>
      <w:r w:rsidR="005C4E30" w:rsidRPr="00F532EC">
        <w:rPr>
          <w:rFonts w:ascii="Palatino Linotype" w:eastAsia="Palatino Linotype" w:hAnsi="Palatino Linotype" w:cs="Palatino Linotype"/>
        </w:rPr>
        <w:t xml:space="preserve">sp. </w:t>
      </w:r>
      <w:r w:rsidRPr="00F532EC">
        <w:rPr>
          <w:rFonts w:ascii="Palatino Linotype" w:eastAsia="Palatino Linotype" w:hAnsi="Palatino Linotype" w:cs="Palatino Linotype"/>
        </w:rPr>
        <w:t xml:space="preserve">sesuai tahapan yang diberikan, sehingga terjadi peningkatan kapasitas teknis kelompok tani dalam menyediakan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secara mandiri. Kemampuan tersebut menjadi salah satu luaran penting kegiatan karena mitra tidak hanya berperan sebagai pengguna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tetapi juga memperoleh keterampilan untuk melakukan perbanyakan </w:t>
      </w:r>
      <w:r w:rsidR="005C4E30" w:rsidRPr="00F532EC">
        <w:rPr>
          <w:rFonts w:ascii="Palatino Linotype" w:eastAsia="Palatino Linotype" w:hAnsi="Palatino Linotype" w:cs="Palatino Linotype"/>
        </w:rPr>
        <w:t>secara mandiri/swadaya</w:t>
      </w:r>
      <w:r w:rsidRPr="00F532EC">
        <w:rPr>
          <w:rFonts w:ascii="Palatino Linotype" w:eastAsia="Palatino Linotype" w:hAnsi="Palatino Linotype" w:cs="Palatino Linotype"/>
        </w:rPr>
        <w:t xml:space="preserve"> sesuai prosedur</w:t>
      </w:r>
      <w:r w:rsidR="005C4E30" w:rsidRPr="00F532EC">
        <w:rPr>
          <w:rFonts w:ascii="Palatino Linotype" w:eastAsia="Palatino Linotype" w:hAnsi="Palatino Linotype" w:cs="Palatino Linotype"/>
        </w:rPr>
        <w:t xml:space="preserve"> yang telah diberikan</w:t>
      </w:r>
      <w:r w:rsidRPr="00F532EC">
        <w:rPr>
          <w:rFonts w:ascii="Palatino Linotype" w:eastAsia="Palatino Linotype" w:hAnsi="Palatino Linotype" w:cs="Palatino Linotype"/>
        </w:rPr>
        <w:t>.</w:t>
      </w:r>
      <w:r w:rsidR="00684AAD" w:rsidRPr="00F532EC">
        <w:rPr>
          <w:rFonts w:ascii="Palatino Linotype" w:hAnsi="Palatino Linotype"/>
        </w:rPr>
        <w:t xml:space="preserve">  Menurut </w:t>
      </w:r>
      <w:r w:rsidR="00F038B2" w:rsidRPr="00F532EC">
        <w:rPr>
          <w:rFonts w:ascii="Palatino Linotype" w:hAnsi="Palatino Linotype"/>
        </w:rPr>
        <w:t>J</w:t>
      </w:r>
      <w:r w:rsidR="00684AAD" w:rsidRPr="00F532EC">
        <w:rPr>
          <w:rFonts w:ascii="Palatino Linotype" w:hAnsi="Palatino Linotype"/>
        </w:rPr>
        <w:t xml:space="preserve">unaidi dan Sarjan (2025) </w:t>
      </w:r>
      <w:r w:rsidR="00684AAD" w:rsidRPr="00F532EC">
        <w:rPr>
          <w:rFonts w:ascii="Palatino Linotype" w:eastAsia="Palatino Linotype" w:hAnsi="Palatino Linotype" w:cs="Palatino Linotype"/>
          <w:i/>
          <w:iCs/>
        </w:rPr>
        <w:t>Trichoderma</w:t>
      </w:r>
      <w:r w:rsidR="00684AAD" w:rsidRPr="00F532EC">
        <w:rPr>
          <w:rFonts w:ascii="Palatino Linotype" w:eastAsia="Palatino Linotype" w:hAnsi="Palatino Linotype" w:cs="Palatino Linotype"/>
        </w:rPr>
        <w:t xml:space="preserve"> merupakan agens hayati yang berperan dalam menekan patogen tanaman melalui kompetisi, mikoparasitisme, dan produksi senyawa antimikroba. Pada tanaman cabai </w:t>
      </w:r>
      <w:r w:rsidR="00684AAD" w:rsidRPr="00F532EC">
        <w:rPr>
          <w:rFonts w:ascii="Palatino Linotype" w:eastAsia="Palatino Linotype" w:hAnsi="Palatino Linotype" w:cs="Palatino Linotype"/>
          <w:i/>
          <w:iCs/>
        </w:rPr>
        <w:t>(Capsicum annuum</w:t>
      </w:r>
      <w:r w:rsidR="00684AAD" w:rsidRPr="00F532EC">
        <w:rPr>
          <w:rFonts w:ascii="Palatino Linotype" w:eastAsia="Palatino Linotype" w:hAnsi="Palatino Linotype" w:cs="Palatino Linotype"/>
        </w:rPr>
        <w:t xml:space="preserve"> L.), aplikasi </w:t>
      </w:r>
      <w:r w:rsidR="00684AAD" w:rsidRPr="00F532EC">
        <w:rPr>
          <w:rFonts w:ascii="Palatino Linotype" w:eastAsia="Palatino Linotype" w:hAnsi="Palatino Linotype" w:cs="Palatino Linotype"/>
          <w:i/>
          <w:iCs/>
        </w:rPr>
        <w:t xml:space="preserve">Trichoderma </w:t>
      </w:r>
      <w:r w:rsidR="001A4222" w:rsidRPr="00F532EC">
        <w:rPr>
          <w:rFonts w:ascii="Palatino Linotype" w:eastAsia="Palatino Linotype" w:hAnsi="Palatino Linotype" w:cs="Palatino Linotype"/>
        </w:rPr>
        <w:t xml:space="preserve">sp </w:t>
      </w:r>
      <w:r w:rsidR="00684AAD" w:rsidRPr="00F532EC">
        <w:rPr>
          <w:rFonts w:ascii="Palatino Linotype" w:eastAsia="Palatino Linotype" w:hAnsi="Palatino Linotype" w:cs="Palatino Linotype"/>
        </w:rPr>
        <w:t>dapat meningkatkan pertumbuhan akar, penyerapan hara, serta ketahanan tanaman terhadap penyakit tular tanah, terutama layu Fusarium.</w:t>
      </w:r>
    </w:p>
    <w:p w14:paraId="12F3806B" w14:textId="77777777" w:rsidR="00E758AA" w:rsidRPr="00F532EC" w:rsidRDefault="00E758AA" w:rsidP="00F532EC">
      <w:pPr>
        <w:shd w:val="clear" w:color="auto" w:fill="FFFFFF" w:themeFill="background1"/>
        <w:rPr>
          <w:rFonts w:ascii="Palatino Linotype" w:eastAsia="Palatino Linotype" w:hAnsi="Palatino Linotype" w:cs="Palatino Linotype"/>
        </w:rPr>
      </w:pPr>
    </w:p>
    <w:p w14:paraId="2BBC2513" w14:textId="4E09D252" w:rsidR="00AE4616" w:rsidRPr="00F532EC" w:rsidRDefault="00AE4616"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Kegunaan dan Manfaat Biohayati</w:t>
      </w:r>
    </w:p>
    <w:p w14:paraId="3F546727" w14:textId="10C5572B" w:rsidR="00AE4616" w:rsidRPr="00F532EC" w:rsidRDefault="00AE4616"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 xml:space="preserve">Pemanfaatan </w:t>
      </w:r>
      <w:r w:rsidR="00024C69" w:rsidRPr="00F532EC">
        <w:rPr>
          <w:rFonts w:ascii="Palatino Linotype" w:eastAsia="Palatino Linotype" w:hAnsi="Palatino Linotype" w:cs="Palatino Linotype"/>
          <w:i/>
          <w:iCs/>
        </w:rPr>
        <w:t xml:space="preserve">Plant Growth Promoting Rhizobacteria </w:t>
      </w:r>
      <w:r w:rsidRPr="00F532EC">
        <w:rPr>
          <w:rFonts w:ascii="Palatino Linotype" w:eastAsia="Palatino Linotype" w:hAnsi="Palatino Linotype" w:cs="Palatino Linotype"/>
        </w:rPr>
        <w:t xml:space="preserve">(PGPR) dan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w:t>
      </w:r>
      <w:r w:rsidR="002026A4" w:rsidRPr="00F532EC">
        <w:rPr>
          <w:rFonts w:ascii="Palatino Linotype" w:eastAsia="Palatino Linotype" w:hAnsi="Palatino Linotype" w:cs="Palatino Linotype"/>
        </w:rPr>
        <w:t xml:space="preserve">sp. </w:t>
      </w:r>
      <w:r w:rsidRPr="00F532EC">
        <w:rPr>
          <w:rFonts w:ascii="Palatino Linotype" w:eastAsia="Palatino Linotype" w:hAnsi="Palatino Linotype" w:cs="Palatino Linotype"/>
        </w:rPr>
        <w:t>dalam budidaya cabai merupakan salah satu penerapan teknologi ramah lingkungan yang mendukung pertumbuhan dan kesehatan tanaman. PGPR berperan sebagai biofertilizer karena mampu hidup di daerah perakaran dan membantu meningkatkan ketersediaan serta penyerapan unsur hara</w:t>
      </w:r>
      <w:r w:rsidR="00E73DE6" w:rsidRPr="00F532EC">
        <w:rPr>
          <w:rFonts w:ascii="Palatino Linotype" w:eastAsia="Palatino Linotype" w:hAnsi="Palatino Linotype" w:cs="Palatino Linotype"/>
        </w:rPr>
        <w:t xml:space="preserve"> </w:t>
      </w:r>
      <w:r w:rsidR="000122C0" w:rsidRPr="00F532EC">
        <w:rPr>
          <w:rFonts w:ascii="Palatino Linotype" w:eastAsia="Palatino Linotype" w:hAnsi="Palatino Linotype" w:cs="Palatino Linotype"/>
        </w:rPr>
        <w:fldChar w:fldCharType="begin" w:fldLock="1"/>
      </w:r>
      <w:r w:rsidR="00DB6C9C" w:rsidRPr="00F532EC">
        <w:rPr>
          <w:rFonts w:ascii="Palatino Linotype" w:eastAsia="Palatino Linotype" w:hAnsi="Palatino Linotype" w:cs="Palatino Linotype"/>
        </w:rPr>
        <w:instrText>ADDIN CSL_CITATION {"citationItems":[{"id":"ITEM-1","itemData":{"DOI":"10.24198/kultivasi.v21i3.40061","ISSN":"2581-138X","author":[{"dropping-particle":"","family":"Harahap","given":"Rahma Tia","non-dropping-particle":"","parse-names":false,"suffix":""},{"dropping-particle":"","family":"Herdiyantoro","given":"Diyan","non-dropping-particle":"","parse-names":false,"suffix":""},{"dropping-particle":"","family":"Setiawati","given":"Mieke Rochimi","non-dropping-particle":"","parse-names":false,"suffix":""},{"dropping-particle":"","family":"Azizah","given":"Isna Niar Rahmatul","non-dropping-particle":"","parse-names":false,"suffix":""},{"dropping-particle":"","family":"Harahap","given":"Rahma Tia","non-dropping-particle":"","parse-names":false,"suffix":""},{"dropping-particle":"","family":"Herdiyantoro","given":"Diyan","non-dropping-particle":"","parse-names":false,"suffix":""},{"dropping-particle":"","family":"Setiawati","given":"Mieke Rochimi","non-dropping-particle":"","parse-names":false,"suffix":""},{"dropping-particle":"","family":"Azizah","given":"Isna Niar Rahmatul","non-dropping-particle":"","parse-names":false,"suffix":""}],"container-title":"Jurnal Kultivasi","id":"ITEM-1","issue":"3","issued":{"date-parts":[["2022","12","10"]]},"page":"7","title":"Potential use of PGPR based biofertilizer for improving the nutrient availability in soil and agronomic efficiency of upland rice","type":"article-journal","volume":"21"},"uris":["http://www.mendeley.com/documents/?uuid=09945c0e-faa8-3160-ae50-1a7d9e79e652"]}],"mendeley":{"formattedCitation":"(Harahap et al., 2022)","plainTextFormattedCitation":"(Harahap et al., 2022)","previouslyFormattedCitation":"(Harahap et al., 2022)"},"properties":{"noteIndex":0},"schema":"https://github.com/citation-style-language/schema/raw/master/csl-citation.json"}</w:instrText>
      </w:r>
      <w:r w:rsidR="000122C0" w:rsidRPr="00F532EC">
        <w:rPr>
          <w:rFonts w:ascii="Palatino Linotype" w:eastAsia="Palatino Linotype" w:hAnsi="Palatino Linotype" w:cs="Palatino Linotype"/>
        </w:rPr>
        <w:fldChar w:fldCharType="separate"/>
      </w:r>
      <w:r w:rsidR="000122C0" w:rsidRPr="00F532EC">
        <w:rPr>
          <w:rFonts w:ascii="Palatino Linotype" w:eastAsia="Palatino Linotype" w:hAnsi="Palatino Linotype" w:cs="Palatino Linotype"/>
          <w:noProof/>
        </w:rPr>
        <w:t>(Harahap et al., 2022)</w:t>
      </w:r>
      <w:r w:rsidR="000122C0" w:rsidRPr="00F532EC">
        <w:rPr>
          <w:rFonts w:ascii="Palatino Linotype" w:eastAsia="Palatino Linotype" w:hAnsi="Palatino Linotype" w:cs="Palatino Linotype"/>
        </w:rPr>
        <w:fldChar w:fldCharType="end"/>
      </w:r>
      <w:r w:rsidRPr="00F532EC">
        <w:rPr>
          <w:rFonts w:ascii="Palatino Linotype" w:eastAsia="Palatino Linotype" w:hAnsi="Palatino Linotype" w:cs="Palatino Linotype"/>
        </w:rPr>
        <w:t>. Aktivitas PGPR dapat membantu melarutkan unsur hara yang sulit tersedia bagi tanaman, sehingga nutrisi lebih mudah dimanfaatkan oleh tanaman</w:t>
      </w:r>
      <w:r w:rsidR="00E60137" w:rsidRPr="00F532EC">
        <w:rPr>
          <w:rFonts w:ascii="Palatino Linotype" w:eastAsia="Palatino Linotype" w:hAnsi="Palatino Linotype" w:cs="Palatino Linotype"/>
        </w:rPr>
        <w:t xml:space="preserve"> </w:t>
      </w:r>
      <w:r w:rsidR="00DB6C9C" w:rsidRPr="00F532EC">
        <w:rPr>
          <w:rFonts w:ascii="Palatino Linotype" w:eastAsia="Palatino Linotype" w:hAnsi="Palatino Linotype" w:cs="Palatino Linotype"/>
        </w:rPr>
        <w:fldChar w:fldCharType="begin" w:fldLock="1"/>
      </w:r>
      <w:r w:rsidR="005B68D4" w:rsidRPr="00F532EC">
        <w:rPr>
          <w:rFonts w:ascii="Palatino Linotype" w:eastAsia="Palatino Linotype" w:hAnsi="Palatino Linotype" w:cs="Palatino Linotype"/>
        </w:rPr>
        <w:instrText>ADDIN CSL_CITATION {"citationItems":[{"id":"ITEM-1","itemData":{"DOI":"10.3389/FMICB.2024.1440978/FULL","ISSN":"1664302X","abstract":"Biofertilizers based on plant growth promoting rhizobacteria (PGPR) are nowadays gaining increasingly attention as a modern tool for a more sustainable agriculture due to their ability in ameliorating root nutrient acquisition. For many years, most research was focused on the screening and characterization of PGPR functioning as nitrogen (N) or phosphorus (P) biofertilizers. However, with the increasing demand for food using far fewer chemical inputs, new investigations have been carried out to explore the potential use of such bacteria also as potassium (K), sulfur (S), zinc (Zn), or iron (Fe) biofertilizers. In this review, we update the use of PGPR as biofertilizers for a smarter and more sustainable crop production and deliberate the prospects of using microbiome engineering-based methods as potential tools to shed new light on the improvement of plant mineral nutrition. The current era of omics revolution has enabled the design of synthetic microbial communities (named SynComs), which are emerging as a promising tool that can allow the formulation of biofertilizers based on PGPR strains displaying multifarious and synergistic traits, thus leading to an increasingly efficient root acquisition of more than a single essential nutrient at the same time. Additionally, host-mediated microbiome engineering (HMME) leverages advanced omics techniques to reintroduce alleles coding for beneficial compounds, reinforcing positive plant-microbiome interactions and creating plants capable of producing their own biofertilizers. We also discusses the current use of PGPR-based biofertilizers and point out possible avenues of research for the future development of more efficient biofertilizers for a smarter and more precise crop fertilization. Furthermore, concerns have been raised about the effectiveness of PGPR-based biofertilizers in real field conditions, as their success in controlled experiments often contrasts with inconsistent field results. This discrepancy highlights the need for standardized protocols to ensure consistent application and reliable outcomes.","author":[{"dropping-particle":"","family":"Alzate Zuluaga","given":"Monica Yorlady","non-dropping-particle":"","parse-names":false,"suffix":""},{"dropping-particle":"","family":"Fattorini","given":"Roberto","non-dropping-particle":"","parse-names":false,"suffix":""},{"dropping-particle":"","family":"Cesco","given":"Stefano","non-dropping-particle":"","parse-names":false,"suffix":""},{"dropping-particle":"","family":"Pii","given":"Youry","non-dropping-particle":"","parse-names":false,"suffix":""}],"container-title":"Frontiers in Microbiology","id":"ITEM-1","issued":{"date-parts":[["2024","8","8"]]},"page":"1440978","publisher":"Frontiers Media SA","title":"Plant-microbe interactions in the rhizosphere for smarter and more sustainable crop fertilization: the case of PGPR-based biofertilizers","type":"article-journal","volume":"15"},"uris":["http://www.mendeley.com/documents/?uuid=a0f27269-7513-3069-a0ee-9048863b1f70"]}],"mendeley":{"formattedCitation":"(Alzate Zuluaga et al., 2024)","plainTextFormattedCitation":"(Alzate Zuluaga et al., 2024)","previouslyFormattedCitation":"(Alzate Zuluaga et al., 2024)"},"properties":{"noteIndex":0},"schema":"https://github.com/citation-style-language/schema/raw/master/csl-citation.json"}</w:instrText>
      </w:r>
      <w:r w:rsidR="00DB6C9C" w:rsidRPr="00F532EC">
        <w:rPr>
          <w:rFonts w:ascii="Palatino Linotype" w:eastAsia="Palatino Linotype" w:hAnsi="Palatino Linotype" w:cs="Palatino Linotype"/>
        </w:rPr>
        <w:fldChar w:fldCharType="separate"/>
      </w:r>
      <w:r w:rsidR="00DB6C9C" w:rsidRPr="00F532EC">
        <w:rPr>
          <w:rFonts w:ascii="Palatino Linotype" w:eastAsia="Palatino Linotype" w:hAnsi="Palatino Linotype" w:cs="Palatino Linotype"/>
          <w:noProof/>
        </w:rPr>
        <w:t>(Alzate Zuluaga et al., 2024)</w:t>
      </w:r>
      <w:r w:rsidR="00DB6C9C" w:rsidRPr="00F532EC">
        <w:rPr>
          <w:rFonts w:ascii="Palatino Linotype" w:eastAsia="Palatino Linotype" w:hAnsi="Palatino Linotype" w:cs="Palatino Linotype"/>
        </w:rPr>
        <w:fldChar w:fldCharType="end"/>
      </w:r>
      <w:r w:rsidRPr="00F532EC">
        <w:rPr>
          <w:rFonts w:ascii="Palatino Linotype" w:eastAsia="Palatino Linotype" w:hAnsi="Palatino Linotype" w:cs="Palatino Linotype"/>
        </w:rPr>
        <w:t>. Selain itu, PGPR juga dapat menghasilkan senyawa pemacu pertumbuhan yang mendukung perkembangan tanaman. PGPR juga berperan dalam merangsang perkembangan sistem perakaran melalui produksi senyawa seperti auksin/IAA</w:t>
      </w:r>
      <w:r w:rsidR="00F22593" w:rsidRPr="00F532EC">
        <w:rPr>
          <w:rFonts w:ascii="Palatino Linotype" w:eastAsia="Palatino Linotype" w:hAnsi="Palatino Linotype" w:cs="Palatino Linotype"/>
        </w:rPr>
        <w:t xml:space="preserve"> (</w:t>
      </w:r>
      <w:r w:rsidR="005B68D4" w:rsidRPr="00F532EC">
        <w:rPr>
          <w:rFonts w:ascii="Palatino Linotype" w:eastAsia="Palatino Linotype" w:hAnsi="Palatino Linotype" w:cs="Palatino Linotype"/>
        </w:rPr>
        <w:fldChar w:fldCharType="begin" w:fldLock="1"/>
      </w:r>
      <w:r w:rsidR="004D6771" w:rsidRPr="00F532EC">
        <w:rPr>
          <w:rFonts w:ascii="Palatino Linotype" w:eastAsia="Palatino Linotype" w:hAnsi="Palatino Linotype" w:cs="Palatino Linotype"/>
        </w:rPr>
        <w:instrText>ADDIN CSL_CITATION {"citationItems":[{"id":"ITEM-1","itemData":{"DOI":"10.1186/S40538-022-00370-8","ISSN":"2196-5641","abstract":"Biofertilizers are an alternative to face the sustainability problem that chemical fertilizers represent in agriculture. Among them, plant growth-promoting rhizobacteria (PGPR) is a microbial group with high potential, but lack of reproducible results from their application is a bottleneck for its use in agricultural production. Here we highlight a factor that could partially explain this inconsistency: the total auxin level in the soil–plant system. Auxin production is recognized as a main mechanism for plant growth promotion by PGPR; however, the final effect of auxins depends on a fine balance of its content, and this will be a result of all the sources of auxin compounds in the system. In addition to the auxins produced by inoculated bacteria, the plant itself produces its own hormones as part of complex physiological processes, varying in amount and sensitivity. Also, soil organic matter displays like auxin activity, causing plant responses just like those produced by added auxins. Therefore, the inoculation of an auxin-producing PGPR on plants might cause a wide variety of responses, ranging from effective growth promotion to growth restriction, depending on the total auxin content in root tissue. We think this must be considered for the practical use of bacterial biofertilizers, in order to have better and more consistent results of inoculation.","author":[{"dropping-particle":"","family":"Pantoja-Guerra","given":"Manuel","non-dropping-particle":"","parse-names":false,"suffix":""},{"dropping-particle":"","family":"Valero-Valero","given":"Nelson","non-dropping-particle":"","parse-names":false,"suffix":""},{"dropping-particle":"","family":"Ramírez","given":"Camilo A.","non-dropping-particle":"","parse-names":false,"suffix":""}],"container-title":"Chemical and Biological Technologies in Agriculture 2023 10:1","id":"ITEM-1","issue":"1","issued":{"date-parts":[["2023","1","27"]]},"page":"6-","publisher":"SpringerOpen","title":"Total auxin level in the soil–plant system as a modulating factor for the effectiveness of PGPR inocula: a review","type":"article-journal","volume":"10"},"uris":["http://www.mendeley.com/documents/?uuid=22038eed-5b2e-3505-aa9e-02193d19523b"]}],"mendeley":{"formattedCitation":"(Pantoja-Guerra et al., 2023)","plainTextFormattedCitation":"(Pantoja-Guerra et al., 2023)","previouslyFormattedCitation":"(Pantoja-Guerra et al., 2023)"},"properties":{"noteIndex":0},"schema":"https://github.com/citation-style-language/schema/raw/master/csl-citation.json"}</w:instrText>
      </w:r>
      <w:r w:rsidR="005B68D4" w:rsidRPr="00F532EC">
        <w:rPr>
          <w:rFonts w:ascii="Palatino Linotype" w:eastAsia="Palatino Linotype" w:hAnsi="Palatino Linotype" w:cs="Palatino Linotype"/>
        </w:rPr>
        <w:fldChar w:fldCharType="separate"/>
      </w:r>
      <w:r w:rsidR="005B68D4" w:rsidRPr="00F532EC">
        <w:rPr>
          <w:rFonts w:ascii="Palatino Linotype" w:eastAsia="Palatino Linotype" w:hAnsi="Palatino Linotype" w:cs="Palatino Linotype"/>
          <w:noProof/>
        </w:rPr>
        <w:t>(Pantoja-Guerra et al., 2023)</w:t>
      </w:r>
      <w:r w:rsidR="005B68D4" w:rsidRPr="00F532EC">
        <w:rPr>
          <w:rFonts w:ascii="Palatino Linotype" w:eastAsia="Palatino Linotype" w:hAnsi="Palatino Linotype" w:cs="Palatino Linotype"/>
        </w:rPr>
        <w:fldChar w:fldCharType="end"/>
      </w:r>
      <w:r w:rsidRPr="00F532EC">
        <w:rPr>
          <w:rFonts w:ascii="Palatino Linotype" w:eastAsia="Palatino Linotype" w:hAnsi="Palatino Linotype" w:cs="Palatino Linotype"/>
        </w:rPr>
        <w:t>. Perkembangan akar lateral dan rambut akar yang lebih baik dapat memperluas daerah eksplorasi akar sehingga penyerapan air dan unsur hara menjadi lebih optimal. Kondisi tersebut mendukung pertumbuhan vegetatif tanaman, meningkatkan vigor, serta membantu tanaman tumbuh lebih sehat. Dengan demikian, penggunaan PGPR dapat menjadi salah satu alternatif untuk meningkatkan efisiensi pemanfaatan unsur hara dan mendukung pengurangan penggunaan input kimia secara berlebihan.</w:t>
      </w:r>
    </w:p>
    <w:p w14:paraId="1C1CA6AB" w14:textId="59FBD6D7" w:rsidR="00AE4616" w:rsidRPr="00F532EC" w:rsidRDefault="00AE4616" w:rsidP="00F532EC">
      <w:pPr>
        <w:shd w:val="clear" w:color="auto" w:fill="FFFFFF" w:themeFill="background1"/>
        <w:ind w:firstLine="720"/>
        <w:rPr>
          <w:rFonts w:ascii="Palatino Linotype" w:eastAsia="Palatino Linotype" w:hAnsi="Palatino Linotype" w:cs="Palatino Linotype"/>
        </w:rPr>
      </w:pPr>
      <w:r w:rsidRPr="00F532EC">
        <w:rPr>
          <w:rFonts w:ascii="Palatino Linotype" w:eastAsia="Palatino Linotype" w:hAnsi="Palatino Linotype" w:cs="Palatino Linotype"/>
        </w:rPr>
        <w:t xml:space="preserve">Sementara itu,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b</w:t>
      </w:r>
      <w:r w:rsidRPr="00F532EC">
        <w:rPr>
          <w:rFonts w:ascii="Palatino Linotype" w:eastAsia="Palatino Linotype" w:hAnsi="Palatino Linotype" w:cs="Palatino Linotype"/>
        </w:rPr>
        <w:t xml:space="preserve">erperan sebagai biopestisida, terutama dalam menekan perkembangan patogen tular tanah yang dapat mengganggu sistem perakaran tanaman cabai. Pengendalian dilakukan melalui beberapa mekanisme, yaitu kompetisi, antibiosis, dan mikoparasitisme. Melalui kompetisi,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w:t>
      </w:r>
      <w:r w:rsidRPr="00F532EC">
        <w:rPr>
          <w:rFonts w:ascii="Palatino Linotype" w:eastAsia="Palatino Linotype" w:hAnsi="Palatino Linotype" w:cs="Palatino Linotype"/>
        </w:rPr>
        <w:t>bersaing dengan patogen dalam memperoleh ruang dan nutrisi</w:t>
      </w:r>
      <w:r w:rsidR="00F22593" w:rsidRPr="00F532EC">
        <w:rPr>
          <w:rFonts w:ascii="Palatino Linotype" w:eastAsia="Palatino Linotype" w:hAnsi="Palatino Linotype" w:cs="Palatino Linotype"/>
        </w:rPr>
        <w:t xml:space="preserve"> </w:t>
      </w:r>
      <w:r w:rsidR="004D6771" w:rsidRPr="00F532EC">
        <w:rPr>
          <w:rFonts w:ascii="Palatino Linotype" w:eastAsia="Palatino Linotype" w:hAnsi="Palatino Linotype" w:cs="Palatino Linotype"/>
        </w:rPr>
        <w:fldChar w:fldCharType="begin" w:fldLock="1"/>
      </w:r>
      <w:r w:rsidR="004D6771" w:rsidRPr="00F532EC">
        <w:rPr>
          <w:rFonts w:ascii="Palatino Linotype" w:eastAsia="Palatino Linotype" w:hAnsi="Palatino Linotype" w:cs="Palatino Linotype"/>
        </w:rPr>
        <w:instrText>ADDIN CSL_CITATION {"citationItems":[{"id":"ITEM-1","itemData":{"DOI":"10.3390/PLANTS12030432","ISSN":"2223-7747","abstract":"Biocontrol agents (BCA) have been an important tool in agriculture to prevent crop losses due to plant pathogens infections and to increase plant food production globally, diminishing the necessity for chemical pesticides and fertilizers and offering a more sustainable and environmentally friendly option. Fungi from the genus Trichoderma are among the most used and studied microorganisms as BCA due to the variety of biocontrol traits, such as parasitism, antibiosis, secondary metabolites (SM) production, and plant defense system induction. Several Trichoderma species are well-known mycoparasites. However, some of those species can antagonize other organisms such as nematodes and plant pests, making this fungus a very versatile BCA. Trichoderma has been used in agriculture as part of innovative bioformulations, either just Trichoderma species or in combination with other plant-beneficial microbes, such as plant growth-promoting bacteria (PGPB). Here, we review the most recent literature regarding the biocontrol studies about six of the most used Trichoderma species, T. atroviride, T. harzianum, T. asperellum, T. virens, T. longibrachiatum, and T. viride, highlighting their biocontrol traits and the use of these fungal genera in Trichoderma-based formulations to control or prevent plant diseases, and their importance as a substitute for chemical pesticides and fertilizers.","author":[{"dropping-particle":"","family":"Guzmán-Guzmán","given":"Paulina","non-dropping-particle":"","parse-names":false,"suffix":""},{"dropping-particle":"","family":"Kumar","given":"Ajay","non-dropping-particle":"","parse-names":false,"suffix":""},{"dropping-particle":"","family":"los Santos-Villalobos","given":"Sergio","non-dropping-particle":"de","parse-names":false,"suffix":""},{"dropping-particle":"","family":"Parra-Cota","given":"Fannie I.","non-dropping-particle":"","parse-names":false,"suffix":""},{"dropping-particle":"","family":"Orozco-Mosqueda","given":"Ma del Carmen","non-dropping-particle":"","parse-names":false,"suffix":""},{"dropping-particle":"","family":"Fadiji","given":"Ayomide Emmanuel","non-dropping-particle":"","parse-names":false,"suffix":""},{"dropping-particle":"","family":"Hyder","given":"Sajjad","non-dropping-particle":"","parse-names":false,"suffix":""},{"dropping-particle":"","family":"Babalola","given":"Olubukola Oluranti","non-dropping-particle":"","parse-names":false,"suffix":""},{"dropping-particle":"","family":"Santoyo","given":"Gustavo","non-dropping-particle":"","parse-names":false,"suffix":""}],"container-title":"Plants 2023, Vol. 12, Page 432","id":"ITEM-1","issue":"3","issued":{"date-parts":[["2023","1","17"]]},"page":"432","publisher":"Multidisciplinary Digital Publishing Institute","title":"Trichoderma Species: Our Best Fungal Allies in the Biocontrol of Plant Diseases—A Review","type":"article-journal","volume":"12"},"uris":["http://www.mendeley.com/documents/?uuid=3136ec69-214d-32a8-97af-5abd8e9c3099"]}],"mendeley":{"formattedCitation":"(Guzmán-Guzmán et al., 2023)","plainTextFormattedCitation":"(Guzmán-Guzmán et al., 2023)","previouslyFormattedCitation":"(Guzmán-Guzmán et al., 2023)"},"properties":{"noteIndex":0},"schema":"https://github.com/citation-style-language/schema/raw/master/csl-citation.json"}</w:instrText>
      </w:r>
      <w:r w:rsidR="004D6771" w:rsidRPr="00F532EC">
        <w:rPr>
          <w:rFonts w:ascii="Palatino Linotype" w:eastAsia="Palatino Linotype" w:hAnsi="Palatino Linotype" w:cs="Palatino Linotype"/>
        </w:rPr>
        <w:fldChar w:fldCharType="separate"/>
      </w:r>
      <w:r w:rsidR="004D6771" w:rsidRPr="00F532EC">
        <w:rPr>
          <w:rFonts w:ascii="Palatino Linotype" w:eastAsia="Palatino Linotype" w:hAnsi="Palatino Linotype" w:cs="Palatino Linotype"/>
          <w:noProof/>
        </w:rPr>
        <w:t>(Guzmán-Guzmán et al., 2023)</w:t>
      </w:r>
      <w:r w:rsidR="004D6771" w:rsidRPr="00F532EC">
        <w:rPr>
          <w:rFonts w:ascii="Palatino Linotype" w:eastAsia="Palatino Linotype" w:hAnsi="Palatino Linotype" w:cs="Palatino Linotype"/>
        </w:rPr>
        <w:fldChar w:fldCharType="end"/>
      </w:r>
      <w:r w:rsidR="004D6771"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Melalui antibiosis, </w:t>
      </w:r>
      <w:bookmarkStart w:id="4" w:name="_Hlk237892092"/>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w:t>
      </w:r>
      <w:r w:rsidRPr="00F532EC">
        <w:rPr>
          <w:rFonts w:ascii="Palatino Linotype" w:eastAsia="Palatino Linotype" w:hAnsi="Palatino Linotype" w:cs="Palatino Linotype"/>
        </w:rPr>
        <w:t xml:space="preserve"> menghasilkan senyawa yang dapat menghambat pertumbuhan patogen, sedangkan melalui mikoparasitisme,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w:t>
      </w:r>
      <w:r w:rsidRPr="00F532EC">
        <w:rPr>
          <w:rFonts w:ascii="Palatino Linotype" w:eastAsia="Palatino Linotype" w:hAnsi="Palatino Linotype" w:cs="Palatino Linotype"/>
        </w:rPr>
        <w:t>berinteraksi langsung dengan hifa patogen dan menghasilkan enzim yang dapat merusak struktur jamur tersebut</w:t>
      </w:r>
      <w:bookmarkEnd w:id="4"/>
      <w:r w:rsidR="00F22593" w:rsidRPr="00F532EC">
        <w:rPr>
          <w:rFonts w:ascii="Palatino Linotype" w:eastAsia="Palatino Linotype" w:hAnsi="Palatino Linotype" w:cs="Palatino Linotype"/>
        </w:rPr>
        <w:t xml:space="preserve"> </w:t>
      </w:r>
      <w:r w:rsidR="004D6771" w:rsidRPr="00F532EC">
        <w:rPr>
          <w:rFonts w:ascii="Palatino Linotype" w:eastAsia="Palatino Linotype" w:hAnsi="Palatino Linotype" w:cs="Palatino Linotype"/>
        </w:rPr>
        <w:fldChar w:fldCharType="begin" w:fldLock="1"/>
      </w:r>
      <w:r w:rsidR="00FC5087" w:rsidRPr="00F532EC">
        <w:rPr>
          <w:rFonts w:ascii="Palatino Linotype" w:eastAsia="Palatino Linotype" w:hAnsi="Palatino Linotype" w:cs="Palatino Linotype"/>
        </w:rPr>
        <w:instrText>ADDIN CSL_CITATION {"citationItems":[{"id":"ITEM-1","itemData":{"DOI":"10.1007/S13205-026-05013-5","ISSN":"2190-5738","abstract":"Trichoderma species are widely recognized as the primary causal agents of green mold contamination in mushroom cultivation. The pathogenicity of Trichoderma is mainly due to its competitive ability to rapidly colonize lignocellulosic substrates, thereby outcompeting mushroom mycelia for nutrients and space. Green mold contamination frequently occurs during the spawn-running and cropping stages, leading to substantial yield losses. Consequently, the development of effective and sustainable management strategies for green mold contamination has become a critical priority in mushroom production. Therefore, this review explored the interactions between Trichoderma spp. and mushrooms, with emphasis on substrate preferences, environmental requirements and enzymatic activities, while also discussing potential strategies for the prevention and control of green mold. Trichoderma thrives in nitrogen-rich substrates and grows at carbon-to-nitrogen (C/N) ratios ranging from 15:1 to 25:1. Conversely, mushrooms require a higher C/N ratio, ranging from 30:1 to 90:1. Their environmental preferences also differ with Trichoderma favors relatively higher temperatures, and light-independent conditions, while mushrooms typically require species-specific environmental conditions. Furthermore, marked differences exist in their enzymatic activities for substrate utilization. Trichoderma is an efficient producer of cellulytic and hemicellulolytic enzymes, including endoglucanases, exoglucanases, and β-glucosidases. In contrast, oyster mushrooms possess extensive lignocellulolytic enzymes, such as laccases, manganese peroxidases, and versatile peroxidases. Based these differences, key approaches for contamination control, include the use of lignin-rich substrates with appropriate C/N ratios, optimization of temperature, adequate ventilation, strict sanitation practices, and using high-quality spawn.","author":[{"dropping-particle":"","family":"Bari","given":"Mohammad Rafiqul","non-dropping-particle":"","parse-names":false,"suffix":""},{"dropping-particle":"","family":"Rahman","given":"Soyabur","non-dropping-particle":"","parse-names":false,"suffix":""},{"dropping-particle":"","family":"Kabir","given":"Amirul","non-dropping-particle":"","parse-names":false,"suffix":""},{"dropping-particle":"","family":"Mawsumee","given":"Tanvina Tanjir","non-dropping-particle":"","parse-names":false,"suffix":""},{"dropping-particle":"","family":"Nowshen","given":"Afia","non-dropping-particle":"","parse-names":false,"suffix":""},{"dropping-particle":"","family":"Khandakar","given":"Jebunnahar","non-dropping-particle":"","parse-names":false,"suffix":""}],"container-title":"3 Biotech 2026 16:9","id":"ITEM-1","issue":"9","issued":{"date-parts":[["2026","8","11"]]},"page":"378-","publisher":"Springer","title":"Interactions of Trichoderma spp. (green mold) and cultivated mushrooms: enzymatic competition, nutritional preferences, environmental factors, and control approaches","type":"article-journal","volume":"16"},"uris":["http://www.mendeley.com/documents/?uuid=b86d27a5-172f-3395-a011-565dd3d76360"]}],"mendeley":{"formattedCitation":"(Bari et al., 2026)","plainTextFormattedCitation":"(Bari et al., 2026)","previouslyFormattedCitation":"(Bari et al., 2026)"},"properties":{"noteIndex":0},"schema":"https://github.com/citation-style-language/schema/raw/master/csl-citation.json"}</w:instrText>
      </w:r>
      <w:r w:rsidR="004D6771" w:rsidRPr="00F532EC">
        <w:rPr>
          <w:rFonts w:ascii="Palatino Linotype" w:eastAsia="Palatino Linotype" w:hAnsi="Palatino Linotype" w:cs="Palatino Linotype"/>
        </w:rPr>
        <w:fldChar w:fldCharType="separate"/>
      </w:r>
      <w:r w:rsidR="004D6771" w:rsidRPr="00F532EC">
        <w:rPr>
          <w:rFonts w:ascii="Palatino Linotype" w:eastAsia="Palatino Linotype" w:hAnsi="Palatino Linotype" w:cs="Palatino Linotype"/>
          <w:noProof/>
        </w:rPr>
        <w:t>(Bari et al., 2026)</w:t>
      </w:r>
      <w:r w:rsidR="004D6771" w:rsidRPr="00F532EC">
        <w:rPr>
          <w:rFonts w:ascii="Palatino Linotype" w:eastAsia="Palatino Linotype" w:hAnsi="Palatino Linotype" w:cs="Palatino Linotype"/>
        </w:rPr>
        <w:fldChar w:fldCharType="end"/>
      </w:r>
      <w:r w:rsidR="0055240A"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w:t>
      </w:r>
      <w:r w:rsidR="007D4B60" w:rsidRPr="00F532EC">
        <w:rPr>
          <w:rFonts w:ascii="Palatino Linotype" w:eastAsia="Palatino Linotype" w:hAnsi="Palatino Linotype" w:cs="Palatino Linotype"/>
        </w:rPr>
        <w:t>Integrasi p</w:t>
      </w:r>
      <w:r w:rsidRPr="00F532EC">
        <w:rPr>
          <w:rFonts w:ascii="Palatino Linotype" w:eastAsia="Palatino Linotype" w:hAnsi="Palatino Linotype" w:cs="Palatino Linotype"/>
        </w:rPr>
        <w:t>emanfaatan PGPR dan</w:t>
      </w:r>
      <w:r w:rsidR="008C1508" w:rsidRPr="00F532EC">
        <w:rPr>
          <w:rFonts w:ascii="Palatino Linotype" w:eastAsia="Palatino Linotype" w:hAnsi="Palatino Linotype" w:cs="Palatino Linotype"/>
        </w:rPr>
        <w:t xml:space="preserve">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w:t>
      </w:r>
      <w:r w:rsidRPr="00F532EC">
        <w:rPr>
          <w:rFonts w:ascii="Palatino Linotype" w:eastAsia="Palatino Linotype" w:hAnsi="Palatino Linotype" w:cs="Palatino Linotype"/>
        </w:rPr>
        <w:t xml:space="preserve">memberikan fungsi yang saling melengkapi dalam budidaya cabai. PGPR mendukung pertumbuhan tanaman melalui peningkatan ketersediaan dan penyerapan unsur hara serta perkembangan sistem perakaran, sedangkan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w:t>
      </w:r>
      <w:r w:rsidRPr="00F532EC">
        <w:rPr>
          <w:rFonts w:ascii="Palatino Linotype" w:eastAsia="Palatino Linotype" w:hAnsi="Palatino Linotype" w:cs="Palatino Linotype"/>
        </w:rPr>
        <w:t xml:space="preserve">membantu menekan patogen penyebab penyakit. </w:t>
      </w:r>
      <w:r w:rsidR="007D4B60" w:rsidRPr="00F532EC">
        <w:rPr>
          <w:rFonts w:ascii="Palatino Linotype" w:eastAsia="Palatino Linotype" w:hAnsi="Palatino Linotype" w:cs="Palatino Linotype"/>
        </w:rPr>
        <w:t>Aplikasi</w:t>
      </w:r>
      <w:r w:rsidRPr="00F532EC">
        <w:rPr>
          <w:rFonts w:ascii="Palatino Linotype" w:eastAsia="Palatino Linotype" w:hAnsi="Palatino Linotype" w:cs="Palatino Linotype"/>
        </w:rPr>
        <w:t xml:space="preserve"> kedua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tersebut dapat meningkatkan kesehatan tanaman, mengurangi tekanan penyakit, dan mengurangi ketergantungan terhadap pestisida kimia. </w:t>
      </w:r>
      <w:r w:rsidR="007D4B60" w:rsidRPr="00F532EC">
        <w:rPr>
          <w:rFonts w:ascii="Palatino Linotype" w:eastAsia="Palatino Linotype" w:hAnsi="Palatino Linotype" w:cs="Palatino Linotype"/>
        </w:rPr>
        <w:t>T</w:t>
      </w:r>
      <w:r w:rsidRPr="00F532EC">
        <w:rPr>
          <w:rFonts w:ascii="Palatino Linotype" w:eastAsia="Palatino Linotype" w:hAnsi="Palatino Linotype" w:cs="Palatino Linotype"/>
        </w:rPr>
        <w:t>eknologi ini berpotensi mendukung sistem budidaya cabai yang lebih efisien, ramah lingkungan, dan berkelanjutan.</w:t>
      </w:r>
      <w:r w:rsidR="008C1508" w:rsidRPr="00F532EC">
        <w:rPr>
          <w:rFonts w:ascii="Palatino Linotype" w:eastAsia="Palatino Linotype" w:hAnsi="Palatino Linotype" w:cs="Palatino Linotype"/>
        </w:rPr>
        <w:t xml:space="preserve">  </w:t>
      </w:r>
    </w:p>
    <w:p w14:paraId="2FB622D3" w14:textId="77777777" w:rsidR="00AE4616" w:rsidRDefault="00AE4616" w:rsidP="00F532EC">
      <w:pPr>
        <w:shd w:val="clear" w:color="auto" w:fill="FFFFFF" w:themeFill="background1"/>
        <w:ind w:firstLine="720"/>
        <w:rPr>
          <w:rFonts w:ascii="Palatino Linotype" w:eastAsia="Palatino Linotype" w:hAnsi="Palatino Linotype" w:cs="Palatino Linotype"/>
        </w:rPr>
      </w:pPr>
    </w:p>
    <w:p w14:paraId="577F6107" w14:textId="77777777" w:rsidR="00F532EC" w:rsidRDefault="00F532EC" w:rsidP="00F532EC">
      <w:pPr>
        <w:shd w:val="clear" w:color="auto" w:fill="FFFFFF" w:themeFill="background1"/>
        <w:ind w:firstLine="720"/>
        <w:rPr>
          <w:rFonts w:ascii="Palatino Linotype" w:eastAsia="Palatino Linotype" w:hAnsi="Palatino Linotype" w:cs="Palatino Linotype"/>
        </w:rPr>
      </w:pPr>
    </w:p>
    <w:p w14:paraId="1E089FF6" w14:textId="77777777" w:rsidR="00F532EC" w:rsidRPr="00F532EC" w:rsidRDefault="00F532EC" w:rsidP="00F532EC">
      <w:pPr>
        <w:shd w:val="clear" w:color="auto" w:fill="FFFFFF" w:themeFill="background1"/>
        <w:ind w:firstLine="720"/>
        <w:rPr>
          <w:rFonts w:ascii="Palatino Linotype" w:eastAsia="Palatino Linotype" w:hAnsi="Palatino Linotype" w:cs="Palatino Linotype"/>
        </w:rPr>
      </w:pPr>
    </w:p>
    <w:p w14:paraId="246067E2" w14:textId="6929B1ED" w:rsidR="0074528A" w:rsidRPr="00F532EC" w:rsidRDefault="00B463FB" w:rsidP="00F532EC">
      <w:pPr>
        <w:shd w:val="clear" w:color="auto" w:fill="FFFFFF" w:themeFill="background1"/>
        <w:rPr>
          <w:rFonts w:ascii="Palatino Linotype" w:eastAsia="Palatino Linotype" w:hAnsi="Palatino Linotype" w:cs="Palatino Linotype"/>
          <w:b/>
          <w:bCs/>
          <w:sz w:val="22"/>
          <w:szCs w:val="22"/>
        </w:rPr>
      </w:pPr>
      <w:r w:rsidRPr="00F532EC">
        <w:rPr>
          <w:rFonts w:ascii="Palatino Linotype" w:eastAsia="Palatino Linotype" w:hAnsi="Palatino Linotype" w:cs="Palatino Linotype"/>
          <w:b/>
          <w:bCs/>
          <w:sz w:val="22"/>
          <w:szCs w:val="22"/>
        </w:rPr>
        <w:t>Pengolahan Cabai menjadi CAMBUK</w:t>
      </w:r>
    </w:p>
    <w:p w14:paraId="32D06000" w14:textId="53206734" w:rsidR="00247B3C" w:rsidRPr="00F532EC" w:rsidRDefault="00247B3C"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Kegiatan pengabdian juga diarahkan pada peningkatan nilai tambah hasil panen cabai melalui pengolahan menjadi CAMBUK (Cabai Merah Bubuk). Teknologi pengolahan diberikan melalui pelatihan dan praktik langsung agar peserta tidak hanya memahami tahapan pengolahan, tetapi juga mampu menghasilkan produk cabai bubuk secara mandiri. Proses diawali dengan sortasi bahan baku, yaitu memilih cabai merah yang telah matang, segar, memiliki warna merah merata, serta bebas dari </w:t>
      </w:r>
      <w:r w:rsidRPr="00F532EC">
        <w:rPr>
          <w:rFonts w:ascii="Palatino Linotype" w:eastAsia="Palatino Linotype" w:hAnsi="Palatino Linotype" w:cs="Palatino Linotype"/>
        </w:rPr>
        <w:lastRenderedPageBreak/>
        <w:t xml:space="preserve">busuk, berjamur, dan kerusakan fisik. Cabai yang tidak memenuhi kriteria dipisahkan agar tidak menurunkan mutu produk akhir. Tahap berikutnya adalah pembersihan dan pencucian cabai menggunakan air bersih untuk menghilangkan tanah, debu, dan kotoran yang menempel. Setelah dicuci, cabai ditiriskan hingga air permukaan berkurang. </w:t>
      </w:r>
    </w:p>
    <w:p w14:paraId="0DC61255" w14:textId="3BB0C970" w:rsidR="00AE4616" w:rsidRPr="00F532EC" w:rsidRDefault="00247B3C"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Tahap penting berikutnya adalah pengeringan menggunakan </w:t>
      </w:r>
      <w:r w:rsidRPr="00F532EC">
        <w:rPr>
          <w:rFonts w:ascii="Palatino Linotype" w:eastAsia="Palatino Linotype" w:hAnsi="Palatino Linotype" w:cs="Palatino Linotype"/>
          <w:i/>
          <w:iCs/>
        </w:rPr>
        <w:t>dryer</w:t>
      </w:r>
      <w:r w:rsidRPr="00F532EC">
        <w:rPr>
          <w:rFonts w:ascii="Palatino Linotype" w:eastAsia="Palatino Linotype" w:hAnsi="Palatino Linotype" w:cs="Palatino Linotype"/>
        </w:rPr>
        <w:t xml:space="preserve"> pada suhu sekitar 50–60°C</w:t>
      </w:r>
      <w:r w:rsidR="007D4B60" w:rsidRPr="00F532EC">
        <w:rPr>
          <w:rFonts w:ascii="Palatino Linotype" w:eastAsia="Palatino Linotype" w:hAnsi="Palatino Linotype" w:cs="Palatino Linotype"/>
        </w:rPr>
        <w:t xml:space="preserve"> </w:t>
      </w:r>
      <w:r w:rsidR="00FC5087" w:rsidRPr="00F532EC">
        <w:rPr>
          <w:rFonts w:ascii="Palatino Linotype" w:eastAsia="Palatino Linotype" w:hAnsi="Palatino Linotype" w:cs="Palatino Linotype"/>
        </w:rPr>
        <w:fldChar w:fldCharType="begin" w:fldLock="1"/>
      </w:r>
      <w:r w:rsidR="00B213D7" w:rsidRPr="00F532EC">
        <w:rPr>
          <w:rFonts w:ascii="Palatino Linotype" w:eastAsia="Palatino Linotype" w:hAnsi="Palatino Linotype" w:cs="Palatino Linotype"/>
        </w:rPr>
        <w:instrText>ADDIN CSL_CITATION {"citationItems":[{"id":"ITEM-1","itemData":{"DOI":"10.1016/J.CSITE.2024.104586","ISSN":"2214-157X","abstract":"Determining the optimal drying conditions in a controlled laboratory that preserves the quality of the chili peppers is crucial for designing an appropriate solar dryer. In this study, the drying behaviors of chili peppers at different stages of maturity and drying conditions were examined using a controlled hot air cabinet dryer. The aim was to investigate the optimal drying parameters for red chili peppers. The drying was performed at temperatures of 40 °C, 50 °C, and 60 °C and relative humidity of 25 %, 35 %, and 45 %. The central composite rotatable design (CCD) with a two-factor three-level was applied to evaluate the influences of drying parameters on drying time and quality attributes. The results of the study indicated that the color value of chili peppers deteriorated with an increase in temperature. The optimum drying conditions were found to be a relative humidity of 35 % and a temperature of 50 °C for all maturity stages. At these conditions, the drying times of red, brown, and green chili peppers were 80.41 h, 75.64 h, and 69.06 h, respectively. In addition to drying time, quality attributes of the dried chili peppers were also evaluated. The optimal quality attributes of red chili peppers were found to be a lightness (L*) of 23.6, Redness/greenness (a*) of 2.4, Yellowness/blueness (b*) of 0.586, Chroma (c*) of 2.9, hue angle (ho) of 207.3 and total color difference (ΔE*) of 4.1. The study concluded that these optimal drying parameters are crucial for maintaining the quality attributes of dried food and are used as input parameters when designing suitable solar dryers for outdoor use.","author":[{"dropping-particle":"","family":"Getahun","given":"Eshetu","non-dropping-particle":"","parse-names":false,"suffix":""},{"dropping-particle":"","family":"Ebissa","given":"Dawit Tessema","non-dropping-particle":"","parse-names":false,"suffix":""}],"container-title":"Case Studies in Thermal Engineering","id":"ITEM-1","issued":{"date-parts":[["2024","7","1"]]},"page":"104586","publisher":"Elsevier","title":"Investigation of optimal drying conditions of red chili peppers in a hot air cabinet dryer","type":"article-journal","volume":"59"},"uris":["http://www.mendeley.com/documents/?uuid=a3172878-556c-3cf4-b3c1-069cf47cfb21"]}],"mendeley":{"formattedCitation":"(Getahun &amp; Ebissa, 2024)","plainTextFormattedCitation":"(Getahun &amp; Ebissa, 2024)","previouslyFormattedCitation":"(Getahun &amp; Ebissa, 2024)"},"properties":{"noteIndex":0},"schema":"https://github.com/citation-style-language/schema/raw/master/csl-citation.json"}</w:instrText>
      </w:r>
      <w:r w:rsidR="00FC5087" w:rsidRPr="00F532EC">
        <w:rPr>
          <w:rFonts w:ascii="Palatino Linotype" w:eastAsia="Palatino Linotype" w:hAnsi="Palatino Linotype" w:cs="Palatino Linotype"/>
        </w:rPr>
        <w:fldChar w:fldCharType="separate"/>
      </w:r>
      <w:r w:rsidR="00FC5087" w:rsidRPr="00F532EC">
        <w:rPr>
          <w:rFonts w:ascii="Palatino Linotype" w:eastAsia="Palatino Linotype" w:hAnsi="Palatino Linotype" w:cs="Palatino Linotype"/>
          <w:noProof/>
        </w:rPr>
        <w:t>(Getahun &amp; Ebissa, 2024)</w:t>
      </w:r>
      <w:r w:rsidR="00FC5087" w:rsidRPr="00F532EC">
        <w:rPr>
          <w:rFonts w:ascii="Palatino Linotype" w:eastAsia="Palatino Linotype" w:hAnsi="Palatino Linotype" w:cs="Palatino Linotype"/>
        </w:rPr>
        <w:fldChar w:fldCharType="end"/>
      </w:r>
      <w:r w:rsidRPr="00F532EC">
        <w:rPr>
          <w:rFonts w:ascii="Palatino Linotype" w:eastAsia="Palatino Linotype" w:hAnsi="Palatino Linotype" w:cs="Palatino Linotype"/>
        </w:rPr>
        <w:t xml:space="preserve">. Cabai disusun secara merata pada wadah pengering dan dikeringkan hingga teksturnya menjadi kering serta kadar airnya cukup rendah. Penggunaan </w:t>
      </w:r>
      <w:r w:rsidRPr="00F532EC">
        <w:rPr>
          <w:rFonts w:ascii="Palatino Linotype" w:eastAsia="Palatino Linotype" w:hAnsi="Palatino Linotype" w:cs="Palatino Linotype"/>
          <w:i/>
          <w:iCs/>
        </w:rPr>
        <w:t xml:space="preserve">dryer </w:t>
      </w:r>
      <w:r w:rsidRPr="00F532EC">
        <w:rPr>
          <w:rFonts w:ascii="Palatino Linotype" w:eastAsia="Palatino Linotype" w:hAnsi="Palatino Linotype" w:cs="Palatino Linotype"/>
        </w:rPr>
        <w:t xml:space="preserve">dengan suhu terkendali membantu menghasilkan pengeringan yang lebih seragam serta mempertahankan warna dan aroma cabai. Cabai yang telah kering kemudian didinginkan terlebih dahulu pada suhu ruang untuk mencegah terbentuknya uap air selama proses selanjutnya. Cabai kering selanjutnya digiling menggunakan mesin penggiling hingga diperoleh bentuk bubuk. Bubuk yang dihasilkan kemudian diayak untuk memisahkan partikel yang masih kasar sehingga diperoleh ukuran partikel yang lebih seragam dan tekstur produk yang lebih halus. Pada tahap ini dilakukan pemeriksaan mutu sederhana, meliputi warna, aroma, tekstur, kebersihan, dan kondisi fisik bubuk untuk memastikan produk layak dikemas. Tahap selanjutnya adalah pengemasan CAMBUK menggunakan kemasan </w:t>
      </w:r>
      <w:r w:rsidR="009B1C2D" w:rsidRPr="00F532EC">
        <w:rPr>
          <w:rFonts w:ascii="Palatino Linotype" w:eastAsia="Palatino Linotype" w:hAnsi="Palatino Linotype" w:cs="Palatino Linotype"/>
        </w:rPr>
        <w:t>untuk menjaga produk agar tidak lembap</w:t>
      </w:r>
      <w:r w:rsidRPr="00F532EC">
        <w:rPr>
          <w:rFonts w:ascii="Palatino Linotype" w:eastAsia="Palatino Linotype" w:hAnsi="Palatino Linotype" w:cs="Palatino Linotype"/>
        </w:rPr>
        <w:t xml:space="preserve">. Kemasan kemudian diberi label produk yang mencantumkan nama CAMBUK, berat bersih, tanggal produksi, komposisi, dan informasi produk lainnya. Produk yang telah dikemas disimpan pada tempat yang kering, bersih, sejuk, dan terlindung dari sinar matahari langsung untuk mempertahankan mutu selama penyimpanan. </w:t>
      </w:r>
    </w:p>
    <w:p w14:paraId="7516F2F4" w14:textId="6BC90B24" w:rsidR="000D4317" w:rsidRPr="00F532EC" w:rsidRDefault="00247B3C"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Melalui rangkaian kegiatan tersebut, peserta memperoleh keterampilan mulai dari pemilihan bahan baku, penanganan pascapanen, pengeringan, penggilingan, pengayakan, pengemasan, hingga penyimpanan produk</w:t>
      </w:r>
      <w:r w:rsidR="00383E8F" w:rsidRPr="00F532EC">
        <w:rPr>
          <w:rFonts w:ascii="Palatino Linotype" w:eastAsia="Palatino Linotype" w:hAnsi="Palatino Linotype" w:cs="Palatino Linotype"/>
        </w:rPr>
        <w:t xml:space="preserve"> (Gambar </w:t>
      </w:r>
      <w:r w:rsidR="005B24ED" w:rsidRPr="00F532EC">
        <w:rPr>
          <w:rFonts w:ascii="Palatino Linotype" w:eastAsia="Palatino Linotype" w:hAnsi="Palatino Linotype" w:cs="Palatino Linotype"/>
        </w:rPr>
        <w:t>7</w:t>
      </w:r>
      <w:r w:rsidR="00383E8F" w:rsidRPr="00F532EC">
        <w:rPr>
          <w:rFonts w:ascii="Palatino Linotype" w:eastAsia="Palatino Linotype" w:hAnsi="Palatino Linotype" w:cs="Palatino Linotype"/>
        </w:rPr>
        <w:t>)</w:t>
      </w:r>
      <w:r w:rsidRPr="00F532EC">
        <w:rPr>
          <w:rFonts w:ascii="Palatino Linotype" w:eastAsia="Palatino Linotype" w:hAnsi="Palatino Linotype" w:cs="Palatino Linotype"/>
        </w:rPr>
        <w:t xml:space="preserve">. </w:t>
      </w:r>
    </w:p>
    <w:p w14:paraId="7B08CE34" w14:textId="77777777" w:rsidR="000D4317" w:rsidRPr="00F532EC" w:rsidRDefault="000D4317" w:rsidP="00F532EC">
      <w:pPr>
        <w:shd w:val="clear" w:color="auto" w:fill="FFFFFF" w:themeFill="background1"/>
        <w:ind w:firstLine="567"/>
        <w:rPr>
          <w:rFonts w:ascii="Palatino Linotype" w:eastAsia="Palatino Linotype" w:hAnsi="Palatino Linotype" w:cs="Palatino Linotype"/>
        </w:rPr>
      </w:pPr>
    </w:p>
    <w:p w14:paraId="5EAA6647" w14:textId="77777777" w:rsidR="000D4317" w:rsidRPr="00F532EC" w:rsidRDefault="000D4317"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noProof/>
        </w:rPr>
        <w:drawing>
          <wp:inline distT="0" distB="0" distL="0" distR="0" wp14:anchorId="2D223732" wp14:editId="0C086234">
            <wp:extent cx="3876348" cy="2405519"/>
            <wp:effectExtent l="0" t="0" r="0" b="0"/>
            <wp:docPr id="638685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3942514" cy="2446579"/>
                    </a:xfrm>
                    <a:prstGeom prst="rect">
                      <a:avLst/>
                    </a:prstGeom>
                    <a:noFill/>
                  </pic:spPr>
                </pic:pic>
              </a:graphicData>
            </a:graphic>
          </wp:inline>
        </w:drawing>
      </w:r>
    </w:p>
    <w:p w14:paraId="4A229E5D" w14:textId="1ABD4E7B" w:rsidR="000D4317" w:rsidRPr="00F532EC" w:rsidRDefault="000D4317"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b/>
          <w:bCs/>
        </w:rPr>
        <w:t xml:space="preserve">Gambar </w:t>
      </w:r>
      <w:r w:rsidR="005B24ED" w:rsidRPr="00F532EC">
        <w:rPr>
          <w:rFonts w:ascii="Palatino Linotype" w:eastAsia="Palatino Linotype" w:hAnsi="Palatino Linotype" w:cs="Palatino Linotype"/>
          <w:b/>
          <w:bCs/>
        </w:rPr>
        <w:t>7</w:t>
      </w:r>
      <w:r w:rsidRPr="00F532EC">
        <w:rPr>
          <w:rFonts w:ascii="Palatino Linotype" w:eastAsia="Palatino Linotype" w:hAnsi="Palatino Linotype" w:cs="Palatino Linotype"/>
          <w:b/>
          <w:bCs/>
        </w:rPr>
        <w:t>.</w:t>
      </w:r>
      <w:r w:rsidRPr="00F532EC">
        <w:rPr>
          <w:rFonts w:ascii="Palatino Linotype" w:eastAsia="Palatino Linotype" w:hAnsi="Palatino Linotype" w:cs="Palatino Linotype"/>
        </w:rPr>
        <w:t xml:space="preserve"> Proses pengolahan cabai menjadi CAMBUK</w:t>
      </w:r>
    </w:p>
    <w:p w14:paraId="4644F651" w14:textId="77777777" w:rsidR="000D4317" w:rsidRPr="00F532EC" w:rsidRDefault="000D4317" w:rsidP="00F532EC">
      <w:pPr>
        <w:shd w:val="clear" w:color="auto" w:fill="FFFFFF" w:themeFill="background1"/>
        <w:ind w:firstLine="567"/>
        <w:rPr>
          <w:rFonts w:ascii="Palatino Linotype" w:eastAsia="Palatino Linotype" w:hAnsi="Palatino Linotype" w:cs="Palatino Linotype"/>
        </w:rPr>
      </w:pPr>
    </w:p>
    <w:p w14:paraId="282B7E79" w14:textId="6729E5CB" w:rsidR="000D4317" w:rsidRPr="00F532EC" w:rsidRDefault="00247B3C"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Pengolahan cabai menjadi CAMBUK diharapkan dapat mengurangi kehilangan hasil, memperpanjang daya simpan, meningkatkan nilai tambah cabai, serta membuka peluang pengembangan produk usaha kelompok tani yang memiliki nilai ekonomi dan potensi pemasaran lebih luas.</w:t>
      </w:r>
      <w:r w:rsidR="00AE4616" w:rsidRPr="00F532EC">
        <w:rPr>
          <w:rFonts w:ascii="Palatino Linotype" w:eastAsia="Palatino Linotype" w:hAnsi="Palatino Linotype" w:cs="Palatino Linotype"/>
        </w:rPr>
        <w:t xml:space="preserve"> Dari aspek pemberdayaan, kegiatan ini memberikan perubahan pada kemampuan peserta karena pengetahuan mengenai pengolahan hasil pertanian diterapkan melalui praktik langsung. Peserta memperoleh pengalaman dalam mengoperasikan teknologi pengeringan, menggunakan alat penggiling, melakukan pengayakan, serta menerapkan prinsip dasar kebersihan dan pengemasan produk. Keterampilan tersebut menjadi modal awal bagi kelompok tani untuk mengembangkan produksi CAMBUK secara berkelanjutan. Selain itu, adanya produk dengan identitas dan kemasan yang lebih baik membuka peluang untuk mengembangkan CAMBUK sebagai produk unggulan kelompok yang dapat dipasarkan tidak hanya di lingkungan sekitar, tetapi juga melalui jaringan pemasaran yang lebih luas.</w:t>
      </w:r>
    </w:p>
    <w:p w14:paraId="4D61851F" w14:textId="77777777" w:rsidR="008C1508" w:rsidRPr="00F532EC" w:rsidRDefault="008C1508" w:rsidP="00F532EC">
      <w:pPr>
        <w:shd w:val="clear" w:color="auto" w:fill="FFFFFF" w:themeFill="background1"/>
        <w:ind w:firstLine="567"/>
        <w:rPr>
          <w:rFonts w:ascii="Palatino Linotype" w:eastAsia="Palatino Linotype" w:hAnsi="Palatino Linotype" w:cs="Palatino Linotype"/>
        </w:rPr>
      </w:pPr>
    </w:p>
    <w:p w14:paraId="07B5626F" w14:textId="5013F1AE" w:rsidR="00595BAF" w:rsidRPr="00F532EC" w:rsidRDefault="00595BAF" w:rsidP="00F532EC">
      <w:pPr>
        <w:shd w:val="clear" w:color="auto" w:fill="FFFFFF" w:themeFill="background1"/>
        <w:rPr>
          <w:rFonts w:ascii="Palatino Linotype" w:eastAsia="Palatino Linotype" w:hAnsi="Palatino Linotype" w:cs="Palatino Linotype"/>
          <w:sz w:val="22"/>
          <w:szCs w:val="22"/>
        </w:rPr>
      </w:pPr>
      <w:r w:rsidRPr="00F532EC">
        <w:rPr>
          <w:rFonts w:ascii="Palatino Linotype" w:eastAsia="Palatino Linotype" w:hAnsi="Palatino Linotype" w:cs="Palatino Linotype"/>
          <w:b/>
          <w:bCs/>
          <w:sz w:val="22"/>
          <w:szCs w:val="22"/>
        </w:rPr>
        <w:t>Hasil Evaluasi Program</w:t>
      </w:r>
    </w:p>
    <w:p w14:paraId="6FB5AFF4" w14:textId="433083DE" w:rsidR="009B1C2D" w:rsidRPr="00F532EC" w:rsidRDefault="00595BAF"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Evaluasi program dilakukan untuk mengukur perubahan pengetahuan dan keterampilan peserta sebelum dan setelah kegiatan.</w:t>
      </w:r>
      <w:r w:rsidR="009B1C2D" w:rsidRPr="00F532EC">
        <w:rPr>
          <w:rFonts w:ascii="Palatino Linotype" w:hAnsi="Palatino Linotype"/>
        </w:rPr>
        <w:t xml:space="preserve"> </w:t>
      </w:r>
      <w:r w:rsidR="009B1C2D" w:rsidRPr="00F532EC">
        <w:rPr>
          <w:rFonts w:ascii="Palatino Linotype" w:eastAsia="Palatino Linotype" w:hAnsi="Palatino Linotype" w:cs="Palatino Linotype"/>
        </w:rPr>
        <w:t xml:space="preserve">Hasil evaluasi program menunjukkan adanya peningkatan pengetahuan dan keterampilan mitra setelah mengikuti seluruh rangkaian kegiatan pengabdian. Berdasarkan hasil pre-test dan post-test, pengetahuan mitra mengenai produksi dan pemanfaatan </w:t>
      </w:r>
      <w:r w:rsidR="00024C69" w:rsidRPr="00F532EC">
        <w:rPr>
          <w:rFonts w:ascii="Palatino Linotype" w:eastAsia="Palatino Linotype" w:hAnsi="Palatino Linotype" w:cs="Palatino Linotype"/>
          <w:i/>
          <w:iCs/>
        </w:rPr>
        <w:t xml:space="preserve">Plant Growth Promoting Rhizobacteria </w:t>
      </w:r>
      <w:r w:rsidR="009B1C2D" w:rsidRPr="00F532EC">
        <w:rPr>
          <w:rFonts w:ascii="Palatino Linotype" w:eastAsia="Palatino Linotype" w:hAnsi="Palatino Linotype" w:cs="Palatino Linotype"/>
        </w:rPr>
        <w:t>(PGPR) meningkat dari 55% menjadi 90%. Peningkatan ini menunjukkan bahwa kegiatan sosialisasi, penyampaian materi, dan praktik langsung mampu meningkatkan pemahaman mitra mengenai fungsi, manfaat, proses produksi, serta teknik aplikasi PGPR dalam budidaya cabai</w:t>
      </w:r>
      <w:r w:rsidR="00C72565" w:rsidRPr="00F532EC">
        <w:rPr>
          <w:rFonts w:ascii="Palatino Linotype" w:eastAsia="Palatino Linotype" w:hAnsi="Palatino Linotype" w:cs="Palatino Linotype"/>
        </w:rPr>
        <w:t xml:space="preserve">. </w:t>
      </w:r>
      <w:r w:rsidR="009B1C2D" w:rsidRPr="00F532EC">
        <w:rPr>
          <w:rFonts w:ascii="Palatino Linotype" w:eastAsia="Palatino Linotype" w:hAnsi="Palatino Linotype" w:cs="Palatino Linotype"/>
        </w:rPr>
        <w:t xml:space="preserve">Peningkatan juga terlihat pada aspek keterampilan mitra. Keterampilan dalam memproduksi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w:t>
      </w:r>
      <w:r w:rsidR="009B1C2D" w:rsidRPr="00F532EC">
        <w:rPr>
          <w:rFonts w:ascii="Palatino Linotype" w:eastAsia="Palatino Linotype" w:hAnsi="Palatino Linotype" w:cs="Palatino Linotype"/>
        </w:rPr>
        <w:t xml:space="preserve">meningkat dari 50% menjadi 85%. Melalui metode pelatihan berbasis praktik, mitra tidak hanya memahami teori, tetapi juga mampu melakukan setiap tahapan produksi secara langsung. </w:t>
      </w:r>
    </w:p>
    <w:p w14:paraId="5C263369" w14:textId="6B787576" w:rsidR="009B1C2D" w:rsidRPr="00F532EC" w:rsidRDefault="009B1C2D"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Selain peningkatan kemampuan dalam penggunaan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kegiatan juga berhasil meningkatkan keterampilan mitra dalam mengolah hasil panen cabai</w:t>
      </w:r>
      <w:r w:rsidR="00C72565" w:rsidRPr="00F532EC">
        <w:rPr>
          <w:rFonts w:ascii="Palatino Linotype" w:eastAsia="Palatino Linotype" w:hAnsi="Palatino Linotype" w:cs="Palatino Linotype"/>
        </w:rPr>
        <w:t>. Selanjutnya,</w:t>
      </w:r>
      <w:r w:rsidR="00EF5011" w:rsidRPr="00F532EC">
        <w:rPr>
          <w:rFonts w:ascii="Palatino Linotype" w:eastAsia="Palatino Linotype" w:hAnsi="Palatino Linotype" w:cs="Palatino Linotype"/>
        </w:rPr>
        <w:t xml:space="preserve"> dari 40% menjadi </w:t>
      </w:r>
      <w:r w:rsidR="00C72565" w:rsidRPr="00F532EC">
        <w:rPr>
          <w:rFonts w:ascii="Palatino Linotype" w:eastAsia="Palatino Linotype" w:hAnsi="Palatino Linotype" w:cs="Palatino Linotype"/>
        </w:rPr>
        <w:t>100% m</w:t>
      </w:r>
      <w:r w:rsidRPr="00F532EC">
        <w:rPr>
          <w:rFonts w:ascii="Palatino Linotype" w:eastAsia="Palatino Linotype" w:hAnsi="Palatino Linotype" w:cs="Palatino Linotype"/>
        </w:rPr>
        <w:t>itra telah mampu mengolah cabai menjadi produk cabai merah bubuk (CAMBUK) melalui tahapan sortasi, pencucian, pengeringan, penggilingan, dan pengemasan</w:t>
      </w:r>
      <w:r w:rsidR="000E3D96" w:rsidRPr="00F532EC">
        <w:rPr>
          <w:rFonts w:ascii="Palatino Linotype" w:eastAsia="Palatino Linotype" w:hAnsi="Palatino Linotype" w:cs="Palatino Linotype"/>
        </w:rPr>
        <w:t xml:space="preserve"> (Gambar </w:t>
      </w:r>
      <w:r w:rsidR="005B24ED" w:rsidRPr="00F532EC">
        <w:rPr>
          <w:rFonts w:ascii="Palatino Linotype" w:eastAsia="Palatino Linotype" w:hAnsi="Palatino Linotype" w:cs="Palatino Linotype"/>
        </w:rPr>
        <w:t>8</w:t>
      </w:r>
      <w:r w:rsidR="000E3D96" w:rsidRPr="00F532EC">
        <w:rPr>
          <w:rFonts w:ascii="Palatino Linotype" w:eastAsia="Palatino Linotype" w:hAnsi="Palatino Linotype" w:cs="Palatino Linotype"/>
        </w:rPr>
        <w:t>)</w:t>
      </w:r>
      <w:r w:rsidRPr="00F532EC">
        <w:rPr>
          <w:rFonts w:ascii="Palatino Linotype" w:eastAsia="Palatino Linotype" w:hAnsi="Palatino Linotype" w:cs="Palatino Linotype"/>
        </w:rPr>
        <w:t>. Pengolahan ini memberikan nilai tambah terhadap hasil panen serta membuka peluang pengembangan produk olahan yang memiliki nilai ekonomi dan potensi untuk dikembangkan sebagai usaha kelompok.</w:t>
      </w:r>
      <w:r w:rsidR="00A97A05"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Secara keseluruhan, hasil evaluasi menunjukkan bahwa program telah mencapai tujuan dalam meningkatkan kapasitas mitra, baik dari aspek pengetahuan, keterampilan budidaya, maupun pengolahan hasil pertanian. Penerapan PGPR dan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w:t>
      </w:r>
      <w:r w:rsidR="002026A4" w:rsidRPr="00F532EC">
        <w:rPr>
          <w:rFonts w:ascii="Palatino Linotype" w:eastAsia="Palatino Linotype" w:hAnsi="Palatino Linotype" w:cs="Palatino Linotype"/>
        </w:rPr>
        <w:t xml:space="preserve">sp. </w:t>
      </w:r>
      <w:r w:rsidRPr="00F532EC">
        <w:rPr>
          <w:rFonts w:ascii="Palatino Linotype" w:eastAsia="Palatino Linotype" w:hAnsi="Palatino Linotype" w:cs="Palatino Linotype"/>
        </w:rPr>
        <w:t>mendukung budidaya cabai yang lebih ramah lingkungan dan efisien, sedangkan pengolahan cabai menjadi CAMBUK meningkatkan pemanfaatan hasil panen dan nilai tambah produk. Dengan demikian, kegiatan ini berkontribusi terhadap peningkatan kemandirian mitra, pemanfaatan sumber daya lokal, efisiensi usaha tani, serta penguatan potensi ekonomi kelompok secara berkelanjutan.</w:t>
      </w:r>
    </w:p>
    <w:p w14:paraId="16C7B274" w14:textId="77777777" w:rsidR="00B93022" w:rsidRPr="00F532EC" w:rsidRDefault="00B93022" w:rsidP="00F532EC">
      <w:pPr>
        <w:shd w:val="clear" w:color="auto" w:fill="FFFFFF" w:themeFill="background1"/>
        <w:ind w:firstLine="567"/>
        <w:rPr>
          <w:rFonts w:ascii="Palatino Linotype" w:eastAsia="Palatino Linotype" w:hAnsi="Palatino Linotype" w:cs="Palatino Linotype"/>
        </w:rPr>
      </w:pPr>
    </w:p>
    <w:p w14:paraId="4D54E159" w14:textId="5F003413" w:rsidR="009B1C2D" w:rsidRPr="00F532EC" w:rsidRDefault="00B93022"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noProof/>
        </w:rPr>
        <w:drawing>
          <wp:inline distT="0" distB="0" distL="0" distR="0" wp14:anchorId="00531618" wp14:editId="6C6C265B">
            <wp:extent cx="4059780" cy="2407216"/>
            <wp:effectExtent l="0" t="0" r="0" b="0"/>
            <wp:docPr id="3957621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4082368" cy="2420609"/>
                    </a:xfrm>
                    <a:prstGeom prst="rect">
                      <a:avLst/>
                    </a:prstGeom>
                    <a:noFill/>
                  </pic:spPr>
                </pic:pic>
              </a:graphicData>
            </a:graphic>
          </wp:inline>
        </w:drawing>
      </w:r>
    </w:p>
    <w:p w14:paraId="06F7DF30" w14:textId="073F133A" w:rsidR="00B93022" w:rsidRPr="00F532EC" w:rsidRDefault="00B93022" w:rsidP="00F532EC">
      <w:pPr>
        <w:shd w:val="clear" w:color="auto" w:fill="FFFFFF" w:themeFill="background1"/>
        <w:jc w:val="center"/>
        <w:rPr>
          <w:rFonts w:ascii="Palatino Linotype" w:eastAsia="Palatino Linotype" w:hAnsi="Palatino Linotype" w:cs="Palatino Linotype"/>
        </w:rPr>
      </w:pPr>
      <w:r w:rsidRPr="00F532EC">
        <w:rPr>
          <w:rFonts w:ascii="Palatino Linotype" w:eastAsia="Palatino Linotype" w:hAnsi="Palatino Linotype" w:cs="Palatino Linotype"/>
          <w:b/>
          <w:bCs/>
        </w:rPr>
        <w:t xml:space="preserve">Gambar </w:t>
      </w:r>
      <w:r w:rsidR="005B24ED" w:rsidRPr="00F532EC">
        <w:rPr>
          <w:rFonts w:ascii="Palatino Linotype" w:eastAsia="Palatino Linotype" w:hAnsi="Palatino Linotype" w:cs="Palatino Linotype"/>
          <w:b/>
          <w:bCs/>
        </w:rPr>
        <w:t>8</w:t>
      </w:r>
      <w:r w:rsidRPr="00F532EC">
        <w:rPr>
          <w:rFonts w:ascii="Palatino Linotype" w:eastAsia="Palatino Linotype" w:hAnsi="Palatino Linotype" w:cs="Palatino Linotype"/>
          <w:b/>
          <w:bCs/>
        </w:rPr>
        <w:t>.</w:t>
      </w:r>
      <w:r w:rsidRPr="00F532EC">
        <w:rPr>
          <w:rFonts w:ascii="Palatino Linotype" w:eastAsia="Palatino Linotype" w:hAnsi="Palatino Linotype" w:cs="Palatino Linotype"/>
        </w:rPr>
        <w:t xml:space="preserve"> Hasil evaluasi kegiatan pengabdian</w:t>
      </w:r>
    </w:p>
    <w:p w14:paraId="582B1EEA" w14:textId="7D91C8E8" w:rsidR="00E74A6D" w:rsidRPr="00F532EC" w:rsidRDefault="009B1C2D"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 </w:t>
      </w:r>
      <w:r w:rsidR="00595BAF" w:rsidRPr="00F532EC">
        <w:rPr>
          <w:rFonts w:ascii="Palatino Linotype" w:eastAsia="Palatino Linotype" w:hAnsi="Palatino Linotype" w:cs="Palatino Linotype"/>
        </w:rPr>
        <w:t xml:space="preserve"> </w:t>
      </w:r>
    </w:p>
    <w:p w14:paraId="0B968C62" w14:textId="29944A2B" w:rsidR="00E74A6D" w:rsidRPr="00F532EC" w:rsidRDefault="00E74A6D" w:rsidP="00F532EC">
      <w:pPr>
        <w:shd w:val="clear" w:color="auto" w:fill="FFFFFF" w:themeFill="background1"/>
        <w:rPr>
          <w:rFonts w:ascii="Palatino Linotype" w:eastAsia="Palatino Linotype" w:hAnsi="Palatino Linotype" w:cs="Palatino Linotype"/>
          <w:b/>
          <w:bCs/>
          <w:color w:val="000000"/>
          <w:sz w:val="24"/>
          <w:szCs w:val="24"/>
        </w:rPr>
      </w:pPr>
      <w:r w:rsidRPr="00F532EC">
        <w:rPr>
          <w:rFonts w:ascii="Palatino Linotype" w:eastAsia="Palatino Linotype" w:hAnsi="Palatino Linotype" w:cs="Palatino Linotype"/>
          <w:b/>
          <w:bCs/>
          <w:color w:val="000000"/>
          <w:sz w:val="24"/>
          <w:szCs w:val="24"/>
        </w:rPr>
        <w:t>SIMPULAN DAN SARAN</w:t>
      </w:r>
    </w:p>
    <w:p w14:paraId="08A3B8AD" w14:textId="1453AAEE" w:rsidR="00E74A6D" w:rsidRPr="00F532EC" w:rsidRDefault="00DC54F9"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 xml:space="preserve">Kegiatan pengabdian kepada masyarakat menunjukkan bahwa penerapan teknologi PGPR dan </w:t>
      </w:r>
      <w:r w:rsidR="008C1508" w:rsidRPr="00F532EC">
        <w:rPr>
          <w:rFonts w:ascii="Palatino Linotype" w:eastAsia="Palatino Linotype" w:hAnsi="Palatino Linotype" w:cs="Palatino Linotype"/>
          <w:i/>
        </w:rPr>
        <w:t>Trichoderma</w:t>
      </w:r>
      <w:r w:rsidR="008C1508" w:rsidRPr="00F532EC">
        <w:rPr>
          <w:rFonts w:ascii="Palatino Linotype" w:eastAsia="Palatino Linotype" w:hAnsi="Palatino Linotype" w:cs="Palatino Linotype"/>
        </w:rPr>
        <w:t xml:space="preserve"> sp. </w:t>
      </w:r>
      <w:r w:rsidRPr="00F532EC">
        <w:rPr>
          <w:rFonts w:ascii="Palatino Linotype" w:eastAsia="Palatino Linotype" w:hAnsi="Palatino Linotype" w:cs="Palatino Linotype"/>
        </w:rPr>
        <w:t xml:space="preserve">dapat meningkatkan kemampuan mitra dalam memanfaatkan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untuk mendukung budidaya cabai yang lebih ramah lingkungan. Mitra telah mampu memproduksi dan mengaplikasikan PGPR serta </w:t>
      </w:r>
      <w:r w:rsidR="00024C69" w:rsidRPr="00F532EC">
        <w:rPr>
          <w:rFonts w:ascii="Palatino Linotype" w:eastAsia="Palatino Linotype" w:hAnsi="Palatino Linotype" w:cs="Palatino Linotype"/>
          <w:i/>
        </w:rPr>
        <w:t>Trichoderma</w:t>
      </w:r>
      <w:r w:rsidRPr="00F532EC">
        <w:rPr>
          <w:rFonts w:ascii="Palatino Linotype" w:eastAsia="Palatino Linotype" w:hAnsi="Palatino Linotype" w:cs="Palatino Linotype"/>
        </w:rPr>
        <w:t xml:space="preserve"> </w:t>
      </w:r>
      <w:r w:rsidR="002026A4" w:rsidRPr="00F532EC">
        <w:rPr>
          <w:rFonts w:ascii="Palatino Linotype" w:eastAsia="Palatino Linotype" w:hAnsi="Palatino Linotype" w:cs="Palatino Linotype"/>
        </w:rPr>
        <w:t xml:space="preserve">sp. </w:t>
      </w:r>
      <w:r w:rsidRPr="00F532EC">
        <w:rPr>
          <w:rFonts w:ascii="Palatino Linotype" w:eastAsia="Palatino Linotype" w:hAnsi="Palatino Linotype" w:cs="Palatino Linotype"/>
        </w:rPr>
        <w:t xml:space="preserve">secara mandiri sebagai bagian dari upaya meningkatkan efisiensi dan keberlanjutan budidaya. Selain aspek budidaya, kegiatan juga mendorong diversifikasi dan peningkatan nilai tambah hasil panen melalui pengolahan cabai menjadi cabai bubuk (CAMBUK). Dengan demikian, integrasi teknologi </w:t>
      </w:r>
      <w:r w:rsidR="0098045B" w:rsidRPr="00F532EC">
        <w:rPr>
          <w:rFonts w:ascii="Palatino Linotype" w:eastAsia="Palatino Linotype" w:hAnsi="Palatino Linotype" w:cs="Palatino Linotype"/>
        </w:rPr>
        <w:t>agens</w:t>
      </w:r>
      <w:r w:rsidRPr="00F532EC">
        <w:rPr>
          <w:rFonts w:ascii="Palatino Linotype" w:eastAsia="Palatino Linotype" w:hAnsi="Palatino Linotype" w:cs="Palatino Linotype"/>
        </w:rPr>
        <w:t xml:space="preserve"> hayati dan pengolahan hasil pertanian berpotensi </w:t>
      </w:r>
      <w:r w:rsidRPr="00F532EC">
        <w:rPr>
          <w:rFonts w:ascii="Palatino Linotype" w:eastAsia="Palatino Linotype" w:hAnsi="Palatino Linotype" w:cs="Palatino Linotype"/>
        </w:rPr>
        <w:lastRenderedPageBreak/>
        <w:t xml:space="preserve">mendukung keberlanjutan usaha tani, pemanfaatan sumber daya lokal, serta peningkatan kemandirian ekonomi kelompok tani. </w:t>
      </w:r>
    </w:p>
    <w:p w14:paraId="19282A15" w14:textId="77777777" w:rsidR="00E74A6D" w:rsidRPr="00F532EC" w:rsidRDefault="00E74A6D" w:rsidP="00F532EC">
      <w:pPr>
        <w:shd w:val="clear" w:color="auto" w:fill="FFFFFF" w:themeFill="background1"/>
        <w:rPr>
          <w:rFonts w:ascii="Palatino Linotype" w:eastAsia="Palatino Linotype" w:hAnsi="Palatino Linotype" w:cs="Palatino Linotype"/>
        </w:rPr>
      </w:pPr>
    </w:p>
    <w:p w14:paraId="5F73CEAE" w14:textId="77777777" w:rsidR="008C3869" w:rsidRPr="00F532EC" w:rsidRDefault="00E74A6D" w:rsidP="00F532EC">
      <w:pPr>
        <w:shd w:val="clear" w:color="auto" w:fill="FFFFFF" w:themeFill="background1"/>
        <w:rPr>
          <w:rFonts w:ascii="Palatino Linotype" w:eastAsia="Palatino Linotype" w:hAnsi="Palatino Linotype" w:cs="Palatino Linotype"/>
          <w:b/>
          <w:bCs/>
          <w:color w:val="000000"/>
          <w:sz w:val="24"/>
          <w:szCs w:val="24"/>
        </w:rPr>
      </w:pPr>
      <w:r w:rsidRPr="00F532EC">
        <w:rPr>
          <w:rFonts w:ascii="Palatino Linotype" w:eastAsia="Palatino Linotype" w:hAnsi="Palatino Linotype" w:cs="Palatino Linotype"/>
          <w:b/>
          <w:bCs/>
          <w:color w:val="000000"/>
          <w:sz w:val="24"/>
          <w:szCs w:val="24"/>
        </w:rPr>
        <w:t>UCAPAN TERIMAKASIH</w:t>
      </w:r>
    </w:p>
    <w:p w14:paraId="60A93FD0" w14:textId="2FADA0A4" w:rsidR="00A9559F" w:rsidRDefault="00A9559F" w:rsidP="00F532EC">
      <w:pPr>
        <w:shd w:val="clear" w:color="auto" w:fill="FFFFFF" w:themeFill="background1"/>
        <w:ind w:firstLine="567"/>
        <w:rPr>
          <w:rFonts w:ascii="Palatino Linotype" w:eastAsia="Palatino Linotype" w:hAnsi="Palatino Linotype" w:cs="Palatino Linotype"/>
        </w:rPr>
      </w:pPr>
      <w:r w:rsidRPr="00F532EC">
        <w:rPr>
          <w:rFonts w:ascii="Palatino Linotype" w:eastAsia="Palatino Linotype" w:hAnsi="Palatino Linotype" w:cs="Palatino Linotype"/>
        </w:rPr>
        <w:t>Penulis mengucapkan</w:t>
      </w:r>
      <w:r w:rsidR="008C1508"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terima</w:t>
      </w:r>
      <w:r w:rsidR="008C1508"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kasih</w:t>
      </w:r>
      <w:r w:rsidR="008C1508"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kepada mahasiswa, dosen, dan semua pihak lainnya yang telah memberikan dukungan dalam persiapan dan penyelenggaraan kegiatan</w:t>
      </w:r>
      <w:r w:rsidR="005D6B87" w:rsidRPr="00F532EC">
        <w:rPr>
          <w:rFonts w:ascii="Palatino Linotype" w:eastAsia="Palatino Linotype" w:hAnsi="Palatino Linotype" w:cs="Palatino Linotype"/>
        </w:rPr>
        <w:t xml:space="preserve"> </w:t>
      </w:r>
      <w:r w:rsidRPr="00F532EC">
        <w:rPr>
          <w:rFonts w:ascii="Palatino Linotype" w:eastAsia="Palatino Linotype" w:hAnsi="Palatino Linotype" w:cs="Palatino Linotype"/>
        </w:rPr>
        <w:t xml:space="preserve">pengabdian kepada masyarakat ini. </w:t>
      </w:r>
      <w:r w:rsidR="0009466C" w:rsidRPr="00F532EC">
        <w:rPr>
          <w:rFonts w:ascii="Palatino Linotype" w:eastAsia="Palatino Linotype" w:hAnsi="Palatino Linotype" w:cs="Palatino Linotype"/>
        </w:rPr>
        <w:t xml:space="preserve">Kegiatan ini didanai oleh Direktorat Penelitian dan Pengabdian kepada Masyarakat, Direktorat Jenderal Pendidikan Tinggi, Riset, dan Pengembangan, Kementerian Pendidikan Tinggi, Sains, dan Teknologi melalui Tahun Anggaran 2026, berdasarkan Kontrak Pengabdian Nomor 191/C3/DT.05.00/PM/2026. </w:t>
      </w:r>
    </w:p>
    <w:p w14:paraId="57FC56CF" w14:textId="77777777" w:rsidR="00F532EC" w:rsidRPr="00F532EC" w:rsidRDefault="00F532EC" w:rsidP="00F532EC">
      <w:pPr>
        <w:shd w:val="clear" w:color="auto" w:fill="FFFFFF" w:themeFill="background1"/>
        <w:ind w:firstLine="567"/>
        <w:rPr>
          <w:rFonts w:ascii="Palatino Linotype" w:eastAsia="Palatino Linotype" w:hAnsi="Palatino Linotype" w:cs="Palatino Linotype"/>
        </w:rPr>
      </w:pPr>
    </w:p>
    <w:p w14:paraId="46391DBE" w14:textId="069B37AD" w:rsidR="00554026" w:rsidRPr="00F532EC" w:rsidRDefault="003304A0" w:rsidP="00F532EC">
      <w:pPr>
        <w:shd w:val="clear" w:color="auto" w:fill="FFFFFF" w:themeFill="background1"/>
        <w:rPr>
          <w:rFonts w:ascii="Palatino Linotype" w:eastAsia="Palatino Linotype" w:hAnsi="Palatino Linotype" w:cs="Palatino Linotype"/>
        </w:rPr>
      </w:pPr>
      <w:r w:rsidRPr="00F532EC">
        <w:rPr>
          <w:rFonts w:ascii="Palatino Linotype" w:eastAsia="Palatino Linotype" w:hAnsi="Palatino Linotype" w:cs="Palatino Linotype"/>
          <w:b/>
          <w:bCs/>
          <w:color w:val="000000"/>
          <w:sz w:val="24"/>
          <w:szCs w:val="24"/>
        </w:rPr>
        <w:t>DAFTAR RUJUKAN</w:t>
      </w:r>
      <w:bookmarkStart w:id="5" w:name="_Hlk237507325"/>
    </w:p>
    <w:p w14:paraId="2AD9E1C5" w14:textId="37C71EA2"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eastAsia="Palatino Linotype" w:hAnsi="Palatino Linotype" w:cs="Palatino Linotype"/>
        </w:rPr>
        <w:fldChar w:fldCharType="begin" w:fldLock="1"/>
      </w:r>
      <w:r w:rsidRPr="00F532EC">
        <w:rPr>
          <w:rFonts w:ascii="Palatino Linotype" w:eastAsia="Palatino Linotype" w:hAnsi="Palatino Linotype" w:cs="Palatino Linotype"/>
        </w:rPr>
        <w:instrText xml:space="preserve">ADDIN Mendeley Bibliography CSL_BIBLIOGRAPHY </w:instrText>
      </w:r>
      <w:r w:rsidRPr="00F532EC">
        <w:rPr>
          <w:rFonts w:ascii="Palatino Linotype" w:eastAsia="Palatino Linotype" w:hAnsi="Palatino Linotype" w:cs="Palatino Linotype"/>
        </w:rPr>
        <w:fldChar w:fldCharType="separate"/>
      </w:r>
      <w:r w:rsidRPr="00F532EC">
        <w:rPr>
          <w:rFonts w:ascii="Palatino Linotype" w:hAnsi="Palatino Linotype" w:cs="Times New Roman"/>
          <w:noProof/>
        </w:rPr>
        <w:t xml:space="preserve">Alzate Zuluaga, M. Y., Fattorini, R., Cesco, S., &amp; Pii, Y. (2024). Plant-microbe interactions in the rhizosphere for smarter and more sustainable crop fertilization: the case of PGPR-based biofertilizers. </w:t>
      </w:r>
      <w:r w:rsidRPr="00F532EC">
        <w:rPr>
          <w:rFonts w:ascii="Palatino Linotype" w:hAnsi="Palatino Linotype" w:cs="Times New Roman"/>
          <w:i/>
          <w:iCs/>
          <w:noProof/>
        </w:rPr>
        <w:t>Frontiers in Microbiology</w:t>
      </w:r>
      <w:r w:rsidRPr="00F532EC">
        <w:rPr>
          <w:rFonts w:ascii="Palatino Linotype" w:hAnsi="Palatino Linotype" w:cs="Times New Roman"/>
          <w:noProof/>
        </w:rPr>
        <w:t xml:space="preserve">, </w:t>
      </w:r>
      <w:r w:rsidRPr="00F532EC">
        <w:rPr>
          <w:rFonts w:ascii="Palatino Linotype" w:hAnsi="Palatino Linotype" w:cs="Times New Roman"/>
          <w:i/>
          <w:iCs/>
          <w:noProof/>
        </w:rPr>
        <w:t>15</w:t>
      </w:r>
      <w:r w:rsidRPr="00F532EC">
        <w:rPr>
          <w:rFonts w:ascii="Palatino Linotype" w:hAnsi="Palatino Linotype" w:cs="Times New Roman"/>
          <w:noProof/>
        </w:rPr>
        <w:t>, 1440978. https://doi.org/10.3389/FMICB.2024.1440978/FULL</w:t>
      </w:r>
    </w:p>
    <w:p w14:paraId="03B705B5" w14:textId="2047770C"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Ayaz, M.</w:t>
      </w:r>
      <w:r w:rsidRPr="00F532EC">
        <w:rPr>
          <w:rFonts w:ascii="Times New Roman" w:hAnsi="Times New Roman" w:cs="Times New Roman"/>
          <w:noProof/>
        </w:rPr>
        <w:t> </w:t>
      </w:r>
      <w:r w:rsidRPr="00F532EC">
        <w:rPr>
          <w:rFonts w:ascii="Palatino Linotype" w:hAnsi="Palatino Linotype" w:cs="Times New Roman"/>
          <w:noProof/>
        </w:rPr>
        <w:t>;, Li, C.-H.</w:t>
      </w:r>
      <w:r w:rsidRPr="00F532EC">
        <w:rPr>
          <w:rFonts w:ascii="Times New Roman" w:hAnsi="Times New Roman" w:cs="Times New Roman"/>
          <w:noProof/>
        </w:rPr>
        <w:t> </w:t>
      </w:r>
      <w:r w:rsidRPr="00F532EC">
        <w:rPr>
          <w:rFonts w:ascii="Palatino Linotype" w:hAnsi="Palatino Linotype" w:cs="Times New Roman"/>
          <w:noProof/>
        </w:rPr>
        <w:t>;, Ali, Q.</w:t>
      </w:r>
      <w:r w:rsidRPr="00F532EC">
        <w:rPr>
          <w:rFonts w:ascii="Times New Roman" w:hAnsi="Times New Roman" w:cs="Times New Roman"/>
          <w:noProof/>
        </w:rPr>
        <w:t> </w:t>
      </w:r>
      <w:r w:rsidRPr="00F532EC">
        <w:rPr>
          <w:rFonts w:ascii="Palatino Linotype" w:hAnsi="Palatino Linotype" w:cs="Times New Roman"/>
          <w:noProof/>
        </w:rPr>
        <w:t>;, Zhao, W.</w:t>
      </w:r>
      <w:r w:rsidRPr="00F532EC">
        <w:rPr>
          <w:rFonts w:ascii="Times New Roman" w:hAnsi="Times New Roman" w:cs="Times New Roman"/>
          <w:noProof/>
        </w:rPr>
        <w:t> </w:t>
      </w:r>
      <w:r w:rsidRPr="00F532EC">
        <w:rPr>
          <w:rFonts w:ascii="Palatino Linotype" w:hAnsi="Palatino Linotype" w:cs="Times New Roman"/>
          <w:noProof/>
        </w:rPr>
        <w:t>;, Chi, Y.-K.</w:t>
      </w:r>
      <w:r w:rsidRPr="00F532EC">
        <w:rPr>
          <w:rFonts w:ascii="Times New Roman" w:hAnsi="Times New Roman" w:cs="Times New Roman"/>
          <w:noProof/>
        </w:rPr>
        <w:t> </w:t>
      </w:r>
      <w:r w:rsidRPr="00F532EC">
        <w:rPr>
          <w:rFonts w:ascii="Palatino Linotype" w:hAnsi="Palatino Linotype" w:cs="Times New Roman"/>
          <w:noProof/>
        </w:rPr>
        <w:t>;, Shafiq, M.</w:t>
      </w:r>
      <w:r w:rsidRPr="00F532EC">
        <w:rPr>
          <w:rFonts w:ascii="Times New Roman" w:hAnsi="Times New Roman" w:cs="Times New Roman"/>
          <w:noProof/>
        </w:rPr>
        <w:t> </w:t>
      </w:r>
      <w:r w:rsidRPr="00F532EC">
        <w:rPr>
          <w:rFonts w:ascii="Palatino Linotype" w:hAnsi="Palatino Linotype" w:cs="Times New Roman"/>
          <w:noProof/>
        </w:rPr>
        <w:t>;, Ali, F.</w:t>
      </w:r>
      <w:r w:rsidRPr="00F532EC">
        <w:rPr>
          <w:rFonts w:ascii="Times New Roman" w:hAnsi="Times New Roman" w:cs="Times New Roman"/>
          <w:noProof/>
        </w:rPr>
        <w:t> </w:t>
      </w:r>
      <w:r w:rsidRPr="00F532EC">
        <w:rPr>
          <w:rFonts w:ascii="Palatino Linotype" w:hAnsi="Palatino Linotype" w:cs="Times New Roman"/>
          <w:noProof/>
        </w:rPr>
        <w:t>;, Yu, X.-Y.</w:t>
      </w:r>
      <w:r w:rsidRPr="00F532EC">
        <w:rPr>
          <w:rFonts w:ascii="Times New Roman" w:hAnsi="Times New Roman" w:cs="Times New Roman"/>
          <w:noProof/>
        </w:rPr>
        <w:t> </w:t>
      </w:r>
      <w:r w:rsidRPr="00F532EC">
        <w:rPr>
          <w:rFonts w:ascii="Palatino Linotype" w:hAnsi="Palatino Linotype" w:cs="Times New Roman"/>
          <w:noProof/>
        </w:rPr>
        <w:t>;, Yu, Q.</w:t>
      </w:r>
      <w:r w:rsidRPr="00F532EC">
        <w:rPr>
          <w:rFonts w:ascii="Times New Roman" w:hAnsi="Times New Roman" w:cs="Times New Roman"/>
          <w:noProof/>
        </w:rPr>
        <w:t> </w:t>
      </w:r>
      <w:r w:rsidRPr="00F532EC">
        <w:rPr>
          <w:rFonts w:ascii="Palatino Linotype" w:hAnsi="Palatino Linotype" w:cs="Times New Roman"/>
          <w:noProof/>
        </w:rPr>
        <w:t>;, Zhao, J.-T.</w:t>
      </w:r>
      <w:r w:rsidRPr="00F532EC">
        <w:rPr>
          <w:rFonts w:ascii="Times New Roman" w:hAnsi="Times New Roman" w:cs="Times New Roman"/>
          <w:noProof/>
        </w:rPr>
        <w:t> </w:t>
      </w:r>
      <w:r w:rsidRPr="00F532EC">
        <w:rPr>
          <w:rFonts w:ascii="Palatino Linotype" w:hAnsi="Palatino Linotype" w:cs="Times New Roman"/>
          <w:noProof/>
        </w:rPr>
        <w:t xml:space="preserve">;, Bacterial, A., Biocontrol, F., Ayaz, M., Li, C.-H., Ali, Q., Zhao, W., Chi, Y.-K., Shafiq, M., Ali, F., Huang, W.-K. (2023). Bacterial and Fungal Biocontrol Agents for Plant Disease Protection: Journey from Lab to Field, Current Status, Challenges, and Global Perspectives. </w:t>
      </w:r>
      <w:r w:rsidRPr="00F532EC">
        <w:rPr>
          <w:rFonts w:ascii="Palatino Linotype" w:hAnsi="Palatino Linotype" w:cs="Times New Roman"/>
          <w:i/>
          <w:iCs/>
          <w:noProof/>
        </w:rPr>
        <w:t>Molecules 2023, Vol. 28, Page 6735</w:t>
      </w:r>
      <w:r w:rsidRPr="00F532EC">
        <w:rPr>
          <w:rFonts w:ascii="Palatino Linotype" w:hAnsi="Palatino Linotype" w:cs="Times New Roman"/>
          <w:noProof/>
        </w:rPr>
        <w:t xml:space="preserve">, </w:t>
      </w:r>
      <w:r w:rsidRPr="00F532EC">
        <w:rPr>
          <w:rFonts w:ascii="Palatino Linotype" w:hAnsi="Palatino Linotype" w:cs="Times New Roman"/>
          <w:i/>
          <w:iCs/>
          <w:noProof/>
        </w:rPr>
        <w:t>28</w:t>
      </w:r>
      <w:r w:rsidRPr="00F532EC">
        <w:rPr>
          <w:rFonts w:ascii="Palatino Linotype" w:hAnsi="Palatino Linotype" w:cs="Times New Roman"/>
          <w:noProof/>
        </w:rPr>
        <w:t>(18), 6735. https://doi.org/10.3390/MOLECULES28186735</w:t>
      </w:r>
    </w:p>
    <w:p w14:paraId="1F629AA4"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Bari, M. R., Rahman, S., Kabir, A., Mawsumee, T. T., Nowshen, A., &amp; Khandakar, J. (2026). Interactions of </w:t>
      </w:r>
      <w:r w:rsidRPr="00F532EC">
        <w:rPr>
          <w:rFonts w:ascii="Palatino Linotype" w:hAnsi="Palatino Linotype" w:cs="Times New Roman"/>
          <w:i/>
          <w:iCs/>
          <w:noProof/>
        </w:rPr>
        <w:t>Trichoderma</w:t>
      </w:r>
      <w:r w:rsidRPr="00F532EC">
        <w:rPr>
          <w:rFonts w:ascii="Palatino Linotype" w:hAnsi="Palatino Linotype" w:cs="Times New Roman"/>
          <w:noProof/>
        </w:rPr>
        <w:t xml:space="preserve"> spp. (green mold) and cultivated mushrooms: enzymatic competition, nutritional preferences, environmental factors, and control approaches. </w:t>
      </w:r>
      <w:r w:rsidRPr="00F532EC">
        <w:rPr>
          <w:rFonts w:ascii="Palatino Linotype" w:hAnsi="Palatino Linotype" w:cs="Times New Roman"/>
          <w:i/>
          <w:iCs/>
          <w:noProof/>
        </w:rPr>
        <w:t>3 Biotech 2026 16:9</w:t>
      </w:r>
      <w:r w:rsidRPr="00F532EC">
        <w:rPr>
          <w:rFonts w:ascii="Palatino Linotype" w:hAnsi="Palatino Linotype" w:cs="Times New Roman"/>
          <w:noProof/>
        </w:rPr>
        <w:t xml:space="preserve">, </w:t>
      </w:r>
      <w:r w:rsidRPr="00F532EC">
        <w:rPr>
          <w:rFonts w:ascii="Palatino Linotype" w:hAnsi="Palatino Linotype" w:cs="Times New Roman"/>
          <w:i/>
          <w:iCs/>
          <w:noProof/>
        </w:rPr>
        <w:t>16</w:t>
      </w:r>
      <w:r w:rsidRPr="00F532EC">
        <w:rPr>
          <w:rFonts w:ascii="Palatino Linotype" w:hAnsi="Palatino Linotype" w:cs="Times New Roman"/>
          <w:noProof/>
        </w:rPr>
        <w:t>(9), 378-. https://doi.org/10.1007/S13205-026-05013-5</w:t>
      </w:r>
    </w:p>
    <w:p w14:paraId="24D34DA9"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Chai, W. Y., Teo, K. T. K., Tan, M. K., &amp; Tham, H. J. (2022). Fermentation Process Control and Optimization. </w:t>
      </w:r>
      <w:r w:rsidRPr="00F532EC">
        <w:rPr>
          <w:rFonts w:ascii="Palatino Linotype" w:hAnsi="Palatino Linotype" w:cs="Times New Roman"/>
          <w:i/>
          <w:iCs/>
          <w:noProof/>
        </w:rPr>
        <w:t>Chemical Engineering and Technology</w:t>
      </w:r>
      <w:r w:rsidRPr="00F532EC">
        <w:rPr>
          <w:rFonts w:ascii="Palatino Linotype" w:hAnsi="Palatino Linotype" w:cs="Times New Roman"/>
          <w:noProof/>
        </w:rPr>
        <w:t xml:space="preserve">, </w:t>
      </w:r>
      <w:r w:rsidRPr="00F532EC">
        <w:rPr>
          <w:rFonts w:ascii="Palatino Linotype" w:hAnsi="Palatino Linotype" w:cs="Times New Roman"/>
          <w:i/>
          <w:iCs/>
          <w:noProof/>
        </w:rPr>
        <w:t>45</w:t>
      </w:r>
      <w:r w:rsidRPr="00F532EC">
        <w:rPr>
          <w:rFonts w:ascii="Palatino Linotype" w:hAnsi="Palatino Linotype" w:cs="Times New Roman"/>
          <w:noProof/>
        </w:rPr>
        <w:t>(10), 1731–1747. https://doi.org/10.1002/CEAT.202200029;CSUBTYPE:STRING:SPECIAL;PAGE:STRING:ARTICLE/CHAPTER</w:t>
      </w:r>
    </w:p>
    <w:p w14:paraId="59571C31"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Daraban, G. M., Hlihor, R. M., &amp; Suteu, D. (2023). Pesticides vs. Biopesticides: From Pest Management to Toxicity and Impacts on the Environment and Human Health. </w:t>
      </w:r>
      <w:r w:rsidRPr="00F532EC">
        <w:rPr>
          <w:rFonts w:ascii="Palatino Linotype" w:hAnsi="Palatino Linotype" w:cs="Times New Roman"/>
          <w:i/>
          <w:iCs/>
          <w:noProof/>
        </w:rPr>
        <w:t>Toxics 2023, Vol. 11, Page 983</w:t>
      </w:r>
      <w:r w:rsidRPr="00F532EC">
        <w:rPr>
          <w:rFonts w:ascii="Palatino Linotype" w:hAnsi="Palatino Linotype" w:cs="Times New Roman"/>
          <w:noProof/>
        </w:rPr>
        <w:t xml:space="preserve">, </w:t>
      </w:r>
      <w:r w:rsidRPr="00F532EC">
        <w:rPr>
          <w:rFonts w:ascii="Palatino Linotype" w:hAnsi="Palatino Linotype" w:cs="Times New Roman"/>
          <w:i/>
          <w:iCs/>
          <w:noProof/>
        </w:rPr>
        <w:t>11</w:t>
      </w:r>
      <w:r w:rsidRPr="00F532EC">
        <w:rPr>
          <w:rFonts w:ascii="Palatino Linotype" w:hAnsi="Palatino Linotype" w:cs="Times New Roman"/>
          <w:noProof/>
        </w:rPr>
        <w:t>(12), 983. https://doi.org/10.3390/TOXICS11120983</w:t>
      </w:r>
    </w:p>
    <w:p w14:paraId="7DE16ECC"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Delai, C., Muhae-Ud-Din, G., Abid, R., Tian, T., Liu, R., Xiong, Y., Ma, S., &amp; Ghorbani, A. (2024). A comprehensive review of integrated management strategies for damping-off disease in chili. </w:t>
      </w:r>
      <w:r w:rsidRPr="00F532EC">
        <w:rPr>
          <w:rFonts w:ascii="Palatino Linotype" w:hAnsi="Palatino Linotype" w:cs="Times New Roman"/>
          <w:i/>
          <w:iCs/>
          <w:noProof/>
        </w:rPr>
        <w:t>Frontiers in Microbiology</w:t>
      </w:r>
      <w:r w:rsidRPr="00F532EC">
        <w:rPr>
          <w:rFonts w:ascii="Palatino Linotype" w:hAnsi="Palatino Linotype" w:cs="Times New Roman"/>
          <w:noProof/>
        </w:rPr>
        <w:t xml:space="preserve">, </w:t>
      </w:r>
      <w:r w:rsidRPr="00F532EC">
        <w:rPr>
          <w:rFonts w:ascii="Palatino Linotype" w:hAnsi="Palatino Linotype" w:cs="Times New Roman"/>
          <w:i/>
          <w:iCs/>
          <w:noProof/>
        </w:rPr>
        <w:t>15</w:t>
      </w:r>
      <w:r w:rsidRPr="00F532EC">
        <w:rPr>
          <w:rFonts w:ascii="Palatino Linotype" w:hAnsi="Palatino Linotype" w:cs="Times New Roman"/>
          <w:noProof/>
        </w:rPr>
        <w:t>, 1479957. https://doi.org/10.3389/FMICB.2024.1479957/FULL</w:t>
      </w:r>
    </w:p>
    <w:p w14:paraId="4C6470A2"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El-Saadony, M. T., Saad, A. M., Soliman, S. M., Salem, H. M., Ahmed, A. I., Mahmood, M., El-Tahan, A. M., Ebrahim, A. A. M., Abd El-Mageed, T. A., Negm, S. H., Selim, S., Babalghith, A. O., Elrys, A. S., El-Tarabily, K. A., &amp; AbuQamar, S. F. (2022). Plant growth-promoting microorganisms as biocontrol agents of plant diseases: Mechanisms, challenges and future perspectives. </w:t>
      </w:r>
      <w:r w:rsidRPr="00F532EC">
        <w:rPr>
          <w:rFonts w:ascii="Palatino Linotype" w:hAnsi="Palatino Linotype" w:cs="Times New Roman"/>
          <w:i/>
          <w:iCs/>
          <w:noProof/>
        </w:rPr>
        <w:t>Frontiers in Plant Science</w:t>
      </w:r>
      <w:r w:rsidRPr="00F532EC">
        <w:rPr>
          <w:rFonts w:ascii="Palatino Linotype" w:hAnsi="Palatino Linotype" w:cs="Times New Roman"/>
          <w:noProof/>
        </w:rPr>
        <w:t xml:space="preserve">, </w:t>
      </w:r>
      <w:r w:rsidRPr="00F532EC">
        <w:rPr>
          <w:rFonts w:ascii="Palatino Linotype" w:hAnsi="Palatino Linotype" w:cs="Times New Roman"/>
          <w:i/>
          <w:iCs/>
          <w:noProof/>
        </w:rPr>
        <w:t>13</w:t>
      </w:r>
      <w:r w:rsidRPr="00F532EC">
        <w:rPr>
          <w:rFonts w:ascii="Palatino Linotype" w:hAnsi="Palatino Linotype" w:cs="Times New Roman"/>
          <w:noProof/>
        </w:rPr>
        <w:t>, 923880. https://doi.org/10.3389/FPLS.2022.923880/FULL</w:t>
      </w:r>
    </w:p>
    <w:p w14:paraId="4441DFAD"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Getahun, E., &amp; Ebissa, D. T. (2024). Investigation of optimal drying conditions of red chili peppers in a hot air cabinet dryer. </w:t>
      </w:r>
      <w:r w:rsidRPr="00F532EC">
        <w:rPr>
          <w:rFonts w:ascii="Palatino Linotype" w:hAnsi="Palatino Linotype" w:cs="Times New Roman"/>
          <w:i/>
          <w:iCs/>
          <w:noProof/>
        </w:rPr>
        <w:t>Case Studies in Thermal Engineering</w:t>
      </w:r>
      <w:r w:rsidRPr="00F532EC">
        <w:rPr>
          <w:rFonts w:ascii="Palatino Linotype" w:hAnsi="Palatino Linotype" w:cs="Times New Roman"/>
          <w:noProof/>
        </w:rPr>
        <w:t xml:space="preserve">, </w:t>
      </w:r>
      <w:r w:rsidRPr="00F532EC">
        <w:rPr>
          <w:rFonts w:ascii="Palatino Linotype" w:hAnsi="Palatino Linotype" w:cs="Times New Roman"/>
          <w:i/>
          <w:iCs/>
          <w:noProof/>
        </w:rPr>
        <w:t>59</w:t>
      </w:r>
      <w:r w:rsidRPr="00F532EC">
        <w:rPr>
          <w:rFonts w:ascii="Palatino Linotype" w:hAnsi="Palatino Linotype" w:cs="Times New Roman"/>
          <w:noProof/>
        </w:rPr>
        <w:t>, 104586. https://doi.org/10.1016/J.CSITE.2024.104586</w:t>
      </w:r>
    </w:p>
    <w:p w14:paraId="2E2ECE1C"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Guzmán-Guzmán, P., Kumar, A., de los Santos-Villalobos, S., Parra-Cota, F. I., Orozco-Mosqueda, M. del C., Fadiji, A. E., Hyder, S., Babalola, O. O., &amp; Santoyo, G. (2023). </w:t>
      </w:r>
      <w:r w:rsidRPr="00F532EC">
        <w:rPr>
          <w:rFonts w:ascii="Palatino Linotype" w:hAnsi="Palatino Linotype" w:cs="Times New Roman"/>
          <w:i/>
          <w:iCs/>
          <w:noProof/>
        </w:rPr>
        <w:t xml:space="preserve">Trichoderma </w:t>
      </w:r>
      <w:r w:rsidRPr="00F532EC">
        <w:rPr>
          <w:rFonts w:ascii="Palatino Linotype" w:hAnsi="Palatino Linotype" w:cs="Times New Roman"/>
          <w:noProof/>
        </w:rPr>
        <w:t xml:space="preserve">Species: Our Best Fungal Allies in the Biocontrol of Plant Diseases—A Review. </w:t>
      </w:r>
      <w:r w:rsidRPr="00F532EC">
        <w:rPr>
          <w:rFonts w:ascii="Palatino Linotype" w:hAnsi="Palatino Linotype" w:cs="Times New Roman"/>
          <w:i/>
          <w:iCs/>
          <w:noProof/>
        </w:rPr>
        <w:t>Plants 2023, Vol. 12, Page 432</w:t>
      </w:r>
      <w:r w:rsidRPr="00F532EC">
        <w:rPr>
          <w:rFonts w:ascii="Palatino Linotype" w:hAnsi="Palatino Linotype" w:cs="Times New Roman"/>
          <w:noProof/>
        </w:rPr>
        <w:t xml:space="preserve">, </w:t>
      </w:r>
      <w:r w:rsidRPr="00F532EC">
        <w:rPr>
          <w:rFonts w:ascii="Palatino Linotype" w:hAnsi="Palatino Linotype" w:cs="Times New Roman"/>
          <w:i/>
          <w:iCs/>
          <w:noProof/>
        </w:rPr>
        <w:t>12</w:t>
      </w:r>
      <w:r w:rsidRPr="00F532EC">
        <w:rPr>
          <w:rFonts w:ascii="Palatino Linotype" w:hAnsi="Palatino Linotype" w:cs="Times New Roman"/>
          <w:noProof/>
        </w:rPr>
        <w:t>(3), 432. https://doi.org/10.3390/PLANTS12030432</w:t>
      </w:r>
    </w:p>
    <w:p w14:paraId="606C74F4" w14:textId="4CFB87B9" w:rsidR="00E76645" w:rsidRPr="00F532EC" w:rsidRDefault="00E76645"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Hamdayanty, H., Sari, K. W., &amp; Attahira, S. S. (2022). Pengaruh Pemberian Plant Growth Promoting Rhizobacteria (PGPR) Asal Akar Tanaman Bambu Terhadap Pertumbuhan Kecambah Padi: Effect of Plant Growth Promoting Rhizobacteria (PGPR) Bamboo Roots on Rice Sprout Growth. </w:t>
      </w:r>
      <w:r w:rsidRPr="00F532EC">
        <w:rPr>
          <w:rFonts w:ascii="Palatino Linotype" w:hAnsi="Palatino Linotype" w:cs="Times New Roman"/>
          <w:i/>
          <w:iCs/>
          <w:noProof/>
        </w:rPr>
        <w:t>Jurnal Ecosolum</w:t>
      </w:r>
      <w:r w:rsidRPr="00F532EC">
        <w:rPr>
          <w:rFonts w:ascii="Palatino Linotype" w:hAnsi="Palatino Linotype" w:cs="Times New Roman"/>
          <w:noProof/>
        </w:rPr>
        <w:t xml:space="preserve">, </w:t>
      </w:r>
      <w:r w:rsidRPr="00F532EC">
        <w:rPr>
          <w:rFonts w:ascii="Palatino Linotype" w:hAnsi="Palatino Linotype" w:cs="Times New Roman"/>
          <w:i/>
          <w:iCs/>
          <w:noProof/>
        </w:rPr>
        <w:t>11</w:t>
      </w:r>
      <w:r w:rsidRPr="00F532EC">
        <w:rPr>
          <w:rFonts w:ascii="Palatino Linotype" w:hAnsi="Palatino Linotype" w:cs="Times New Roman"/>
          <w:noProof/>
        </w:rPr>
        <w:t>(1), 29-37.</w:t>
      </w:r>
    </w:p>
    <w:p w14:paraId="54A5CEFA"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lastRenderedPageBreak/>
        <w:t xml:space="preserve">Harahap, R. T., Herdiyantoro, D., Setiawati, M. R., Azizah, I. N. R., Harahap, R. T., Herdiyantoro, D., Setiawati, M. R., &amp; Azizah, I. N. R. (2022). Potential use of PGPR based biofertilizer for improving the nutrient availability in soil and agronomic efficiency of upland rice. </w:t>
      </w:r>
      <w:r w:rsidRPr="00F532EC">
        <w:rPr>
          <w:rFonts w:ascii="Palatino Linotype" w:hAnsi="Palatino Linotype" w:cs="Times New Roman"/>
          <w:i/>
          <w:iCs/>
          <w:noProof/>
        </w:rPr>
        <w:t>Jurnal Kultivasi</w:t>
      </w:r>
      <w:r w:rsidRPr="00F532EC">
        <w:rPr>
          <w:rFonts w:ascii="Palatino Linotype" w:hAnsi="Palatino Linotype" w:cs="Times New Roman"/>
          <w:noProof/>
        </w:rPr>
        <w:t xml:space="preserve">, </w:t>
      </w:r>
      <w:r w:rsidRPr="00F532EC">
        <w:rPr>
          <w:rFonts w:ascii="Palatino Linotype" w:hAnsi="Palatino Linotype" w:cs="Times New Roman"/>
          <w:i/>
          <w:iCs/>
          <w:noProof/>
        </w:rPr>
        <w:t>21</w:t>
      </w:r>
      <w:r w:rsidRPr="00F532EC">
        <w:rPr>
          <w:rFonts w:ascii="Palatino Linotype" w:hAnsi="Palatino Linotype" w:cs="Times New Roman"/>
          <w:noProof/>
        </w:rPr>
        <w:t>(3), 7. https://doi.org/10.24198/kultivasi.v21i3.40061</w:t>
      </w:r>
    </w:p>
    <w:p w14:paraId="331E1C35" w14:textId="277A18CA" w:rsidR="00684AAD" w:rsidRPr="00F532EC" w:rsidRDefault="00684AAD"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Junaidi, S. H., &amp; Sarjan, M. (2025). Pemanfaatan </w:t>
      </w:r>
      <w:r w:rsidRPr="00F532EC">
        <w:rPr>
          <w:rFonts w:ascii="Palatino Linotype" w:hAnsi="Palatino Linotype" w:cs="Times New Roman"/>
          <w:i/>
          <w:iCs/>
          <w:noProof/>
        </w:rPr>
        <w:t>Trichoderma</w:t>
      </w:r>
      <w:r w:rsidRPr="00F532EC">
        <w:rPr>
          <w:rFonts w:ascii="Palatino Linotype" w:hAnsi="Palatino Linotype" w:cs="Times New Roman"/>
          <w:noProof/>
        </w:rPr>
        <w:t xml:space="preserve"> untuk meningkatkan ketahanan tanaman terhadap serangan OPT. Journal of Multidisciplinary Science and Natural Resource Management, 1(3), 12-17.</w:t>
      </w:r>
    </w:p>
    <w:p w14:paraId="78023F9B"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Kesuma, B. A., Pratiwi, I. Y., &amp; Somawiharja, Y. (2025). The Effect of Drying Methods on the Physicochemical Characteristics of Curly Red Chili (</w:t>
      </w:r>
      <w:r w:rsidRPr="00F532EC">
        <w:rPr>
          <w:rFonts w:ascii="Palatino Linotype" w:hAnsi="Palatino Linotype" w:cs="Times New Roman"/>
          <w:i/>
          <w:iCs/>
          <w:noProof/>
        </w:rPr>
        <w:t>Capsicum annuum</w:t>
      </w:r>
      <w:r w:rsidRPr="00F532EC">
        <w:rPr>
          <w:rFonts w:ascii="Palatino Linotype" w:hAnsi="Palatino Linotype" w:cs="Times New Roman"/>
          <w:noProof/>
        </w:rPr>
        <w:t xml:space="preserve"> L.). </w:t>
      </w:r>
      <w:r w:rsidRPr="00F532EC">
        <w:rPr>
          <w:rFonts w:ascii="Palatino Linotype" w:hAnsi="Palatino Linotype" w:cs="Times New Roman"/>
          <w:i/>
          <w:iCs/>
          <w:noProof/>
        </w:rPr>
        <w:t>Journal of Agri-Food Science and Technology</w:t>
      </w:r>
      <w:r w:rsidRPr="00F532EC">
        <w:rPr>
          <w:rFonts w:ascii="Palatino Linotype" w:hAnsi="Palatino Linotype" w:cs="Times New Roman"/>
          <w:noProof/>
        </w:rPr>
        <w:t xml:space="preserve">, </w:t>
      </w:r>
      <w:r w:rsidRPr="00F532EC">
        <w:rPr>
          <w:rFonts w:ascii="Palatino Linotype" w:hAnsi="Palatino Linotype" w:cs="Times New Roman"/>
          <w:i/>
          <w:iCs/>
          <w:noProof/>
        </w:rPr>
        <w:t>6</w:t>
      </w:r>
      <w:r w:rsidRPr="00F532EC">
        <w:rPr>
          <w:rFonts w:ascii="Palatino Linotype" w:hAnsi="Palatino Linotype" w:cs="Times New Roman"/>
          <w:noProof/>
        </w:rPr>
        <w:t>(4), 209–218. https://doi.org/10.12928/JAFOST.V6I4.12906</w:t>
      </w:r>
    </w:p>
    <w:p w14:paraId="094F2801"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Pantoja-Guerra, M., Valero-Valero, N., &amp; Ramírez, C. A. (2023). Total auxin level in the soil–plant system as a modulating factor for the effectiveness of PGPR inocula: a review. </w:t>
      </w:r>
      <w:r w:rsidRPr="00F532EC">
        <w:rPr>
          <w:rFonts w:ascii="Palatino Linotype" w:hAnsi="Palatino Linotype" w:cs="Times New Roman"/>
          <w:i/>
          <w:iCs/>
          <w:noProof/>
        </w:rPr>
        <w:t>Chemical and Biological Technologies in Agriculture 2023 10:1</w:t>
      </w:r>
      <w:r w:rsidRPr="00F532EC">
        <w:rPr>
          <w:rFonts w:ascii="Palatino Linotype" w:hAnsi="Palatino Linotype" w:cs="Times New Roman"/>
          <w:noProof/>
        </w:rPr>
        <w:t xml:space="preserve">, </w:t>
      </w:r>
      <w:r w:rsidRPr="00F532EC">
        <w:rPr>
          <w:rFonts w:ascii="Palatino Linotype" w:hAnsi="Palatino Linotype" w:cs="Times New Roman"/>
          <w:i/>
          <w:iCs/>
          <w:noProof/>
        </w:rPr>
        <w:t>10</w:t>
      </w:r>
      <w:r w:rsidRPr="00F532EC">
        <w:rPr>
          <w:rFonts w:ascii="Palatino Linotype" w:hAnsi="Palatino Linotype" w:cs="Times New Roman"/>
          <w:noProof/>
        </w:rPr>
        <w:t>(1), 6-. https://doi.org/10.1186/S40538-022-00370-8</w:t>
      </w:r>
    </w:p>
    <w:p w14:paraId="3CBE6A3B" w14:textId="672D1F43"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Ramadhani, F. (2023). </w:t>
      </w:r>
      <w:r w:rsidR="00A70709" w:rsidRPr="00F532EC">
        <w:rPr>
          <w:rFonts w:ascii="Palatino Linotype" w:hAnsi="Palatino Linotype" w:cs="Times New Roman"/>
          <w:noProof/>
        </w:rPr>
        <w:t>Pelatihan Pembuatan PGPR (</w:t>
      </w:r>
      <w:r w:rsidR="00A70709" w:rsidRPr="00F532EC">
        <w:rPr>
          <w:rFonts w:ascii="Palatino Linotype" w:hAnsi="Palatino Linotype" w:cs="Times New Roman"/>
          <w:i/>
          <w:iCs/>
          <w:noProof/>
        </w:rPr>
        <w:t>Plant Growth Promoting Rhizobacteria</w:t>
      </w:r>
      <w:r w:rsidR="00A70709" w:rsidRPr="00F532EC">
        <w:rPr>
          <w:rFonts w:ascii="Palatino Linotype" w:hAnsi="Palatino Linotype" w:cs="Times New Roman"/>
          <w:noProof/>
        </w:rPr>
        <w:t>) Berbahan Dasar Akar Bambu</w:t>
      </w:r>
      <w:r w:rsidRPr="00F532EC">
        <w:rPr>
          <w:rFonts w:ascii="Palatino Linotype" w:hAnsi="Palatino Linotype" w:cs="Times New Roman"/>
          <w:noProof/>
        </w:rPr>
        <w:t xml:space="preserve">. </w:t>
      </w:r>
      <w:r w:rsidRPr="00F532EC">
        <w:rPr>
          <w:rFonts w:ascii="Palatino Linotype" w:hAnsi="Palatino Linotype" w:cs="Times New Roman"/>
          <w:i/>
          <w:iCs/>
          <w:noProof/>
        </w:rPr>
        <w:t>NGABDIMAS</w:t>
      </w:r>
      <w:r w:rsidRPr="00F532EC">
        <w:rPr>
          <w:rFonts w:ascii="Palatino Linotype" w:hAnsi="Palatino Linotype" w:cs="Times New Roman"/>
          <w:noProof/>
        </w:rPr>
        <w:t xml:space="preserve">, </w:t>
      </w:r>
      <w:r w:rsidRPr="00F532EC">
        <w:rPr>
          <w:rFonts w:ascii="Palatino Linotype" w:hAnsi="Palatino Linotype" w:cs="Times New Roman"/>
          <w:i/>
          <w:iCs/>
          <w:noProof/>
        </w:rPr>
        <w:t>6</w:t>
      </w:r>
      <w:r w:rsidRPr="00F532EC">
        <w:rPr>
          <w:rFonts w:ascii="Palatino Linotype" w:hAnsi="Palatino Linotype" w:cs="Times New Roman"/>
          <w:noProof/>
        </w:rPr>
        <w:t>(01 Juni), 75–79. https://doi.org/10.36050/1J17J464</w:t>
      </w:r>
    </w:p>
    <w:p w14:paraId="6FFE384A"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Valente, I. de L., Luft, L., Zabot, G. L., &amp; Mazutti, M. A. (2026). Optimization of Culture Media for </w:t>
      </w:r>
      <w:r w:rsidRPr="00F532EC">
        <w:rPr>
          <w:rFonts w:ascii="Palatino Linotype" w:hAnsi="Palatino Linotype" w:cs="Times New Roman"/>
          <w:i/>
          <w:iCs/>
          <w:noProof/>
        </w:rPr>
        <w:t>Trichoderma</w:t>
      </w:r>
      <w:r w:rsidRPr="00F532EC">
        <w:rPr>
          <w:rFonts w:ascii="Palatino Linotype" w:hAnsi="Palatino Linotype" w:cs="Times New Roman"/>
          <w:noProof/>
        </w:rPr>
        <w:t xml:space="preserve"> Strains as a Sustainable Approach for Agriculture. </w:t>
      </w:r>
      <w:r w:rsidRPr="00F532EC">
        <w:rPr>
          <w:rFonts w:ascii="Palatino Linotype" w:hAnsi="Palatino Linotype" w:cs="Times New Roman"/>
          <w:i/>
          <w:iCs/>
          <w:noProof/>
        </w:rPr>
        <w:t>Current Microbiology 2026 83:6</w:t>
      </w:r>
      <w:r w:rsidRPr="00F532EC">
        <w:rPr>
          <w:rFonts w:ascii="Palatino Linotype" w:hAnsi="Palatino Linotype" w:cs="Times New Roman"/>
          <w:noProof/>
        </w:rPr>
        <w:t xml:space="preserve">, </w:t>
      </w:r>
      <w:r w:rsidRPr="00F532EC">
        <w:rPr>
          <w:rFonts w:ascii="Palatino Linotype" w:hAnsi="Palatino Linotype" w:cs="Times New Roman"/>
          <w:i/>
          <w:iCs/>
          <w:noProof/>
        </w:rPr>
        <w:t>83</w:t>
      </w:r>
      <w:r w:rsidRPr="00F532EC">
        <w:rPr>
          <w:rFonts w:ascii="Palatino Linotype" w:hAnsi="Palatino Linotype" w:cs="Times New Roman"/>
          <w:noProof/>
        </w:rPr>
        <w:t>(6), 339-. https://doi.org/10.1007/S00284-026-04921-2</w:t>
      </w:r>
    </w:p>
    <w:p w14:paraId="06C26D71"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Vassileva, M., Malusà, E., Sas-Paszt, L., Trzcinski, P., Galvez, A., Flor-Peregrin, E., Shilev, S., Canfora, L., Mocali, S., &amp; Vassilev, N. (2021). Fermentation Strategies to Improve Soil Bio-Inoculant Production and Quality. </w:t>
      </w:r>
      <w:r w:rsidRPr="00F532EC">
        <w:rPr>
          <w:rFonts w:ascii="Palatino Linotype" w:hAnsi="Palatino Linotype" w:cs="Times New Roman"/>
          <w:i/>
          <w:iCs/>
          <w:noProof/>
        </w:rPr>
        <w:t>Microorganisms 2021, Vol. 9, Page 1254</w:t>
      </w:r>
      <w:r w:rsidRPr="00F532EC">
        <w:rPr>
          <w:rFonts w:ascii="Palatino Linotype" w:hAnsi="Palatino Linotype" w:cs="Times New Roman"/>
          <w:noProof/>
        </w:rPr>
        <w:t xml:space="preserve">, </w:t>
      </w:r>
      <w:r w:rsidRPr="00F532EC">
        <w:rPr>
          <w:rFonts w:ascii="Palatino Linotype" w:hAnsi="Palatino Linotype" w:cs="Times New Roman"/>
          <w:i/>
          <w:iCs/>
          <w:noProof/>
        </w:rPr>
        <w:t>9</w:t>
      </w:r>
      <w:r w:rsidRPr="00F532EC">
        <w:rPr>
          <w:rFonts w:ascii="Palatino Linotype" w:hAnsi="Palatino Linotype" w:cs="Times New Roman"/>
          <w:noProof/>
        </w:rPr>
        <w:t>(6), 1254. https://doi.org/10.3390/MICROORGANISMS9061254</w:t>
      </w:r>
    </w:p>
    <w:p w14:paraId="6BED3395"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i/>
          <w:iCs/>
          <w:noProof/>
        </w:rPr>
        <w:t>View of Biopesticides to Control Anthracnose Disease in Chili Pepper (Capsicum annuum L.): A Review</w:t>
      </w:r>
      <w:r w:rsidRPr="00F532EC">
        <w:rPr>
          <w:rFonts w:ascii="Palatino Linotype" w:hAnsi="Palatino Linotype" w:cs="Times New Roman"/>
          <w:noProof/>
        </w:rPr>
        <w:t>. (n.d.). Retrieved September 8, 2026, from https://www.ejournal.warmadewa.ac.id/index.php/agriwar/article/view/14200/7146</w:t>
      </w:r>
    </w:p>
    <w:p w14:paraId="05E0C96D" w14:textId="77777777" w:rsidR="00B213D7" w:rsidRPr="00F532EC" w:rsidRDefault="00B213D7" w:rsidP="00F532EC">
      <w:pPr>
        <w:widowControl w:val="0"/>
        <w:autoSpaceDE w:val="0"/>
        <w:autoSpaceDN w:val="0"/>
        <w:adjustRightInd w:val="0"/>
        <w:ind w:left="567" w:hanging="567"/>
        <w:rPr>
          <w:rFonts w:ascii="Palatino Linotype" w:hAnsi="Palatino Linotype" w:cs="Times New Roman"/>
          <w:noProof/>
        </w:rPr>
      </w:pPr>
      <w:r w:rsidRPr="00F532EC">
        <w:rPr>
          <w:rFonts w:ascii="Palatino Linotype" w:hAnsi="Palatino Linotype" w:cs="Times New Roman"/>
          <w:noProof/>
        </w:rPr>
        <w:t xml:space="preserve">Wang, Y., Ren, H., Zhong, Y., Song, R., Jiang, S., Lai, M., Shen, Y., Liu, S., Shi, W., &amp; Qi, G. (2025). Microbial diversity and function in bamboo ecosystems. </w:t>
      </w:r>
      <w:r w:rsidRPr="00F532EC">
        <w:rPr>
          <w:rFonts w:ascii="Palatino Linotype" w:hAnsi="Palatino Linotype" w:cs="Times New Roman"/>
          <w:i/>
          <w:iCs/>
          <w:noProof/>
        </w:rPr>
        <w:t>Frontiers in Microbiology</w:t>
      </w:r>
      <w:r w:rsidRPr="00F532EC">
        <w:rPr>
          <w:rFonts w:ascii="Palatino Linotype" w:hAnsi="Palatino Linotype" w:cs="Times New Roman"/>
          <w:noProof/>
        </w:rPr>
        <w:t xml:space="preserve">, </w:t>
      </w:r>
      <w:r w:rsidRPr="00F532EC">
        <w:rPr>
          <w:rFonts w:ascii="Palatino Linotype" w:hAnsi="Palatino Linotype" w:cs="Times New Roman"/>
          <w:i/>
          <w:iCs/>
          <w:noProof/>
        </w:rPr>
        <w:t>16</w:t>
      </w:r>
      <w:r w:rsidRPr="00F532EC">
        <w:rPr>
          <w:rFonts w:ascii="Palatino Linotype" w:hAnsi="Palatino Linotype" w:cs="Times New Roman"/>
          <w:noProof/>
        </w:rPr>
        <w:t>, 1533061. https://doi.org/10.3389/FMICB.2025.1533061/FULL</w:t>
      </w:r>
    </w:p>
    <w:p w14:paraId="1B9C1C76" w14:textId="77777777" w:rsidR="00B213D7" w:rsidRPr="00F532EC" w:rsidRDefault="00B213D7" w:rsidP="00F532EC">
      <w:pPr>
        <w:widowControl w:val="0"/>
        <w:autoSpaceDE w:val="0"/>
        <w:autoSpaceDN w:val="0"/>
        <w:adjustRightInd w:val="0"/>
        <w:ind w:left="567" w:hanging="567"/>
        <w:rPr>
          <w:rFonts w:ascii="Palatino Linotype" w:hAnsi="Palatino Linotype"/>
          <w:noProof/>
        </w:rPr>
      </w:pPr>
      <w:r w:rsidRPr="00F532EC">
        <w:rPr>
          <w:rFonts w:ascii="Palatino Linotype" w:hAnsi="Palatino Linotype" w:cs="Times New Roman"/>
          <w:noProof/>
        </w:rPr>
        <w:t xml:space="preserve">Yao, X., Guo, H., Zhang, K., Zhao, M., Ruan, J., &amp; Chen, J. (2023). </w:t>
      </w:r>
      <w:r w:rsidRPr="00F532EC">
        <w:rPr>
          <w:rFonts w:ascii="Palatino Linotype" w:hAnsi="Palatino Linotype" w:cs="Times New Roman"/>
          <w:i/>
          <w:iCs/>
          <w:noProof/>
        </w:rPr>
        <w:t>Trichoderma</w:t>
      </w:r>
      <w:r w:rsidRPr="00F532EC">
        <w:rPr>
          <w:rFonts w:ascii="Palatino Linotype" w:hAnsi="Palatino Linotype" w:cs="Times New Roman"/>
          <w:noProof/>
        </w:rPr>
        <w:t xml:space="preserve"> and its role in biological control of plant fungal and nematode disease. </w:t>
      </w:r>
      <w:r w:rsidRPr="00F532EC">
        <w:rPr>
          <w:rFonts w:ascii="Palatino Linotype" w:hAnsi="Palatino Linotype" w:cs="Times New Roman"/>
          <w:i/>
          <w:iCs/>
          <w:noProof/>
        </w:rPr>
        <w:t>Frontiers in Microbiology</w:t>
      </w:r>
      <w:r w:rsidRPr="00F532EC">
        <w:rPr>
          <w:rFonts w:ascii="Palatino Linotype" w:hAnsi="Palatino Linotype" w:cs="Times New Roman"/>
          <w:noProof/>
        </w:rPr>
        <w:t xml:space="preserve">, </w:t>
      </w:r>
      <w:r w:rsidRPr="00F532EC">
        <w:rPr>
          <w:rFonts w:ascii="Palatino Linotype" w:hAnsi="Palatino Linotype" w:cs="Times New Roman"/>
          <w:i/>
          <w:iCs/>
          <w:noProof/>
        </w:rPr>
        <w:t>14</w:t>
      </w:r>
      <w:r w:rsidRPr="00F532EC">
        <w:rPr>
          <w:rFonts w:ascii="Palatino Linotype" w:hAnsi="Palatino Linotype" w:cs="Times New Roman"/>
          <w:noProof/>
        </w:rPr>
        <w:t>, 1160551. https://doi.org/10.3389/FMICB.2023.1160551/FULL</w:t>
      </w:r>
    </w:p>
    <w:p w14:paraId="63FAFED0" w14:textId="4DBC0BCC" w:rsidR="00B213D7" w:rsidRPr="00F532EC" w:rsidRDefault="00B213D7" w:rsidP="00F532EC">
      <w:pPr>
        <w:shd w:val="clear" w:color="auto" w:fill="FFFFFF" w:themeFill="background1"/>
        <w:ind w:left="567" w:hanging="567"/>
        <w:rPr>
          <w:rFonts w:ascii="Palatino Linotype" w:eastAsia="Palatino Linotype" w:hAnsi="Palatino Linotype" w:cs="Palatino Linotype"/>
        </w:rPr>
      </w:pPr>
      <w:r w:rsidRPr="00F532EC">
        <w:rPr>
          <w:rFonts w:ascii="Palatino Linotype" w:eastAsia="Palatino Linotype" w:hAnsi="Palatino Linotype" w:cs="Palatino Linotype"/>
        </w:rPr>
        <w:fldChar w:fldCharType="end"/>
      </w:r>
    </w:p>
    <w:bookmarkEnd w:id="5"/>
    <w:p w14:paraId="5CC955A5" w14:textId="77777777" w:rsidR="00B213D7" w:rsidRPr="00F532EC" w:rsidRDefault="00B213D7" w:rsidP="00F532EC">
      <w:pPr>
        <w:shd w:val="clear" w:color="auto" w:fill="FFFFFF" w:themeFill="background1"/>
        <w:ind w:left="709" w:hanging="709"/>
        <w:rPr>
          <w:rFonts w:ascii="Palatino Linotype" w:eastAsia="Palatino Linotype" w:hAnsi="Palatino Linotype" w:cs="Palatino Linotype"/>
        </w:rPr>
      </w:pPr>
    </w:p>
    <w:sectPr w:rsidR="00B213D7" w:rsidRPr="00F532EC">
      <w:type w:val="continuous"/>
      <w:pgSz w:w="11920" w:h="16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1FCFC" w14:textId="77777777" w:rsidR="00746C13" w:rsidRDefault="00746C13">
      <w:r>
        <w:separator/>
      </w:r>
    </w:p>
  </w:endnote>
  <w:endnote w:type="continuationSeparator" w:id="0">
    <w:p w14:paraId="2DC28117" w14:textId="77777777" w:rsidR="00746C13" w:rsidRDefault="0074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altName w:val="Arial"/>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79A5" w14:textId="79B09AE4" w:rsidR="00142F8A" w:rsidRPr="00F532EC" w:rsidRDefault="00F532EC" w:rsidP="00F532EC">
    <w:pPr>
      <w:pStyle w:val="Footer"/>
    </w:pPr>
    <w:r w:rsidRPr="00F532EC">
      <w:rPr>
        <w:rFonts w:ascii="Palatino Linotype" w:eastAsia="Palatino Linotype" w:hAnsi="Palatino Linotype" w:cs="Palatino Linotype"/>
        <w:color w:val="000000"/>
      </w:rPr>
      <w:t>Optimalisasi usaha tani cabai di Desa Tanjung Baru melalui integrasi Biohayati PGPR dan Trichoderma sp. serta diversifikasi produk olahan untuk mendukung ketahanan pangan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BD13" w14:textId="604F846B" w:rsidR="00142F8A" w:rsidRPr="00F532EC" w:rsidRDefault="00F532EC" w:rsidP="00F532EC">
    <w:pPr>
      <w:pStyle w:val="Footer"/>
    </w:pPr>
    <w:r w:rsidRPr="00F532EC">
      <w:rPr>
        <w:rFonts w:ascii="Palatino Linotype" w:eastAsia="Palatino Linotype" w:hAnsi="Palatino Linotype" w:cs="Palatino Linotype"/>
        <w:color w:val="000000"/>
      </w:rPr>
      <w:t>Optimalisasi usaha tani cabai di Desa Tanjung Baru melalui integrasi Biohayati PGPR dan Trichoderma sp. serta diversifikasi produk olahan untuk mendukung ketahanan pangan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6E8D" w14:textId="5436F1B0" w:rsidR="00F532EC" w:rsidRDefault="00F532EC" w:rsidP="00F532EC">
    <w:pPr>
      <w:pStyle w:val="Footer"/>
      <w:jc w:val="center"/>
    </w:pPr>
    <w:r>
      <w:rPr>
        <w:rFonts w:ascii="Palatino Linotype" w:eastAsia="Palatino Linotype" w:hAnsi="Palatino Linotype" w:cs="Palatino Linotype"/>
        <w:color w:val="000000"/>
      </w:rPr>
      <w:fldChar w:fldCharType="begin"/>
    </w:r>
    <w:r>
      <w:rPr>
        <w:rFonts w:ascii="Palatino Linotype" w:eastAsia="Palatino Linotype" w:hAnsi="Palatino Linotype" w:cs="Palatino Linotype"/>
        <w:color w:val="000000"/>
      </w:rPr>
      <w:instrText>PAGE</w:instrText>
    </w:r>
    <w:r>
      <w:rPr>
        <w:rFonts w:ascii="Palatino Linotype" w:eastAsia="Palatino Linotype" w:hAnsi="Palatino Linotype" w:cs="Palatino Linotype"/>
        <w:color w:val="000000"/>
      </w:rPr>
      <w:fldChar w:fldCharType="separate"/>
    </w:r>
    <w:r>
      <w:rPr>
        <w:rFonts w:ascii="Palatino Linotype" w:eastAsia="Palatino Linotype" w:hAnsi="Palatino Linotype" w:cs="Palatino Linotype"/>
        <w:color w:val="000000"/>
      </w:rPr>
      <w:t>2</w:t>
    </w:r>
    <w:r>
      <w:rPr>
        <w:rFonts w:ascii="Palatino Linotype" w:eastAsia="Palatino Linotype" w:hAnsi="Palatino Linotype" w:cs="Palatino Linotype"/>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77BD2" w14:textId="77777777" w:rsidR="00746C13" w:rsidRDefault="00746C13">
      <w:r>
        <w:separator/>
      </w:r>
    </w:p>
  </w:footnote>
  <w:footnote w:type="continuationSeparator" w:id="0">
    <w:p w14:paraId="11B29D3B" w14:textId="77777777" w:rsidR="00746C13" w:rsidRDefault="00746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31427" w14:textId="01E865A1" w:rsidR="00142F8A" w:rsidRDefault="00F532EC">
    <w:pPr>
      <w:pBdr>
        <w:top w:val="nil"/>
        <w:left w:val="nil"/>
        <w:bottom w:val="nil"/>
        <w:right w:val="nil"/>
        <w:between w:val="nil"/>
      </w:pBdr>
      <w:tabs>
        <w:tab w:val="left" w:pos="567"/>
      </w:tabs>
      <w:jc w:val="left"/>
      <w:rPr>
        <w:rFonts w:ascii="Palatino Linotype" w:eastAsia="Palatino Linotype" w:hAnsi="Palatino Linotype" w:cs="Palatino Linotype"/>
        <w:color w:val="000000"/>
      </w:rPr>
    </w:pPr>
    <w:r w:rsidRPr="00F532EC">
      <w:rPr>
        <w:rFonts w:ascii="Palatino Linotype" w:eastAsia="Palatino Linotype" w:hAnsi="Palatino Linotype" w:cs="Palatino Linotype"/>
        <w:color w:val="000000"/>
      </w:rPr>
      <w:t xml:space="preserve">Ramadhani, Sefrila, Haryani, Harun, Susilawati, Rusdan1, Sari, Ria </w:t>
    </w:r>
    <w:r>
      <w:rPr>
        <w:rFonts w:ascii="Palatino Linotype" w:eastAsia="Palatino Linotype" w:hAnsi="Palatino Linotype" w:cs="Palatino Linotype"/>
        <w:color w:val="000000"/>
      </w:rPr>
      <w:t>...</w:t>
    </w:r>
    <w:r w:rsidR="00D53D4A">
      <w:rPr>
        <w:rFonts w:ascii="Palatino Linotype" w:eastAsia="Palatino Linotype" w:hAnsi="Palatino Linotype" w:cs="Palatino Linotype"/>
        <w:color w:val="000000"/>
      </w:rPr>
      <w:tab/>
    </w:r>
    <w:r w:rsidR="00D53D4A">
      <w:rPr>
        <w:rFonts w:ascii="Palatino Linotype" w:eastAsia="Palatino Linotype" w:hAnsi="Palatino Linotype" w:cs="Palatino Linotype"/>
        <w:color w:val="000000"/>
      </w:rPr>
      <w:tab/>
    </w:r>
    <w:r w:rsidR="00D53D4A">
      <w:rPr>
        <w:rFonts w:ascii="Palatino Linotype" w:eastAsia="Palatino Linotype" w:hAnsi="Palatino Linotype" w:cs="Palatino Linotype"/>
        <w:color w:val="000000"/>
      </w:rPr>
      <w:tab/>
    </w:r>
    <w:r>
      <w:rPr>
        <w:rFonts w:ascii="Palatino Linotype" w:eastAsia="Palatino Linotype" w:hAnsi="Palatino Linotype" w:cs="Palatino Linotype"/>
        <w:color w:val="000000"/>
      </w:rPr>
      <w:tab/>
    </w:r>
    <w:r w:rsidR="00D53D4A">
      <w:rPr>
        <w:rFonts w:ascii="Palatino Linotype" w:eastAsia="Palatino Linotype" w:hAnsi="Palatino Linotype" w:cs="Palatino Linotype"/>
        <w:color w:val="000000"/>
      </w:rPr>
      <w:fldChar w:fldCharType="begin"/>
    </w:r>
    <w:r w:rsidR="00D53D4A">
      <w:rPr>
        <w:rFonts w:ascii="Palatino Linotype" w:eastAsia="Palatino Linotype" w:hAnsi="Palatino Linotype" w:cs="Palatino Linotype"/>
        <w:color w:val="000000"/>
      </w:rPr>
      <w:instrText>PAGE</w:instrText>
    </w:r>
    <w:r w:rsidR="00D53D4A">
      <w:rPr>
        <w:rFonts w:ascii="Palatino Linotype" w:eastAsia="Palatino Linotype" w:hAnsi="Palatino Linotype" w:cs="Palatino Linotype"/>
        <w:color w:val="000000"/>
      </w:rPr>
      <w:fldChar w:fldCharType="separate"/>
    </w:r>
    <w:r w:rsidR="006C22FE">
      <w:rPr>
        <w:rFonts w:ascii="Palatino Linotype" w:eastAsia="Palatino Linotype" w:hAnsi="Palatino Linotype" w:cs="Palatino Linotype"/>
        <w:noProof/>
        <w:color w:val="000000"/>
      </w:rPr>
      <w:t>2</w:t>
    </w:r>
    <w:r w:rsidR="00D53D4A">
      <w:rPr>
        <w:rFonts w:ascii="Palatino Linotype" w:eastAsia="Palatino Linotype" w:hAnsi="Palatino Linotype" w:cs="Palatino Linotype"/>
        <w:color w:val="000000"/>
      </w:rPr>
      <w:fldChar w:fldCharType="end"/>
    </w:r>
  </w:p>
  <w:p w14:paraId="45A8E2C0" w14:textId="77777777" w:rsidR="00142F8A" w:rsidRDefault="00D53D4A">
    <w:pPr>
      <w:pBdr>
        <w:top w:val="nil"/>
        <w:left w:val="nil"/>
        <w:bottom w:val="nil"/>
        <w:right w:val="nil"/>
        <w:between w:val="nil"/>
      </w:pBdr>
      <w:tabs>
        <w:tab w:val="left" w:pos="567"/>
      </w:tabs>
      <w:jc w:val="left"/>
      <w:rPr>
        <w:rFonts w:ascii="Arial Narrow" w:eastAsia="Arial Narrow" w:hAnsi="Arial Narrow" w:cs="Arial Narrow"/>
        <w:color w:val="000000"/>
      </w:rPr>
    </w:pPr>
    <w:r>
      <w:rPr>
        <w:noProof/>
      </w:rPr>
      <mc:AlternateContent>
        <mc:Choice Requires="wps">
          <w:drawing>
            <wp:anchor distT="0" distB="0" distL="114300" distR="114300" simplePos="0" relativeHeight="251660288" behindDoc="0" locked="0" layoutInCell="1" hidden="0" allowOverlap="1" wp14:anchorId="6CA9F3B2" wp14:editId="4EF6F451">
              <wp:simplePos x="0" y="0"/>
              <wp:positionH relativeFrom="column">
                <wp:posOffset>-4761</wp:posOffset>
              </wp:positionH>
              <wp:positionV relativeFrom="paragraph">
                <wp:posOffset>113983</wp:posOffset>
              </wp:positionV>
              <wp:extent cx="5768975" cy="63500"/>
              <wp:effectExtent l="0" t="0" r="0" b="0"/>
              <wp:wrapNone/>
              <wp:docPr id="4" name="Rectangle 4"/>
              <wp:cNvGraphicFramePr/>
              <a:graphic xmlns:a="http://schemas.openxmlformats.org/drawingml/2006/main">
                <a:graphicData uri="http://schemas.microsoft.com/office/word/2010/wordprocessingShape">
                  <wps:wsp>
                    <wps:cNvSpPr/>
                    <wps:spPr>
                      <a:xfrm>
                        <a:off x="2466275" y="3753013"/>
                        <a:ext cx="5759450" cy="53975"/>
                      </a:xfrm>
                      <a:prstGeom prst="rect">
                        <a:avLst/>
                      </a:prstGeom>
                      <a:gradFill>
                        <a:gsLst>
                          <a:gs pos="0">
                            <a:srgbClr val="81D2FF"/>
                          </a:gs>
                          <a:gs pos="50000">
                            <a:srgbClr val="B3E1FF"/>
                          </a:gs>
                          <a:gs pos="100000">
                            <a:srgbClr val="DAEFFF"/>
                          </a:gs>
                        </a:gsLst>
                        <a:path path="circle">
                          <a:fillToRect l="50000" t="50000" r="50000" b="50000"/>
                        </a:path>
                        <a:tileRect/>
                      </a:gradFill>
                      <a:ln>
                        <a:noFill/>
                      </a:ln>
                    </wps:spPr>
                    <wps:txbx>
                      <w:txbxContent>
                        <w:p w14:paraId="1C0CE8BA" w14:textId="77777777" w:rsidR="00142F8A" w:rsidRDefault="00142F8A">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6CA9F3B2" id="Rectangle 4" o:spid="_x0000_s1026" style="position:absolute;margin-left:-.35pt;margin-top:9pt;width:454.25pt;height: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" fillcolor="#81d2ff" stroked="f">
              <v:fill color2="#daefff" focusposition=".5,.5" focussize="" colors="0 #81d2ff;.5 #b3e1ff;1 #daefff" focus="100%" type="gradientRadial"/>
              <v:textbox inset="2.53958mm,2.53958mm,2.53958mm,2.53958mm">
                <w:txbxContent>
                  <w:p w14:paraId="1C0CE8BA" w14:textId="77777777" w:rsidR="00142F8A" w:rsidRDefault="00142F8A">
                    <w:pPr>
                      <w:jc w:val="left"/>
                      <w:textDirection w:val="btLr"/>
                    </w:pPr>
                  </w:p>
                </w:txbxContent>
              </v:textbox>
            </v:rect>
          </w:pict>
        </mc:Fallback>
      </mc:AlternateContent>
    </w:r>
  </w:p>
  <w:p w14:paraId="7B0FBDA2" w14:textId="77777777" w:rsidR="00142F8A" w:rsidRDefault="00142F8A">
    <w:pPr>
      <w:pBdr>
        <w:top w:val="nil"/>
        <w:left w:val="nil"/>
        <w:bottom w:val="nil"/>
        <w:right w:val="nil"/>
        <w:between w:val="nil"/>
      </w:pBdr>
      <w:tabs>
        <w:tab w:val="center" w:pos="4320"/>
        <w:tab w:val="right" w:pos="8640"/>
      </w:tabs>
      <w:ind w:right="100"/>
      <w:jc w:val="right"/>
      <w:rPr>
        <w:color w:val="000000"/>
        <w:sz w:val="12"/>
        <w:szCs w:val="12"/>
      </w:rPr>
    </w:pPr>
  </w:p>
  <w:p w14:paraId="25EAE08C" w14:textId="77777777" w:rsidR="00142F8A" w:rsidRDefault="00142F8A">
    <w:pPr>
      <w:pBdr>
        <w:top w:val="nil"/>
        <w:left w:val="nil"/>
        <w:bottom w:val="nil"/>
        <w:right w:val="nil"/>
        <w:between w:val="nil"/>
      </w:pBdr>
      <w:tabs>
        <w:tab w:val="center" w:pos="4320"/>
        <w:tab w:val="right" w:pos="8640"/>
      </w:tabs>
      <w:ind w:right="100"/>
      <w:jc w:val="right"/>
      <w:rPr>
        <w:color w:val="000000"/>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7BE80" w14:textId="4F98754A" w:rsidR="00142F8A" w:rsidRDefault="00D53D4A" w:rsidP="00F532EC">
    <w:pPr>
      <w:pBdr>
        <w:top w:val="nil"/>
        <w:left w:val="nil"/>
        <w:bottom w:val="nil"/>
        <w:right w:val="nil"/>
        <w:between w:val="nil"/>
      </w:pBdr>
      <w:tabs>
        <w:tab w:val="center" w:pos="4320"/>
      </w:tabs>
      <w:ind w:right="12"/>
      <w:rPr>
        <w:rFonts w:ascii="Palatino Linotype" w:eastAsia="Palatino Linotype" w:hAnsi="Palatino Linotype" w:cs="Palatino Linotype"/>
        <w:color w:val="000000"/>
      </w:rPr>
    </w:pPr>
    <w:r>
      <w:rPr>
        <w:rFonts w:ascii="Palatino Linotype" w:eastAsia="Palatino Linotype" w:hAnsi="Palatino Linotype" w:cs="Palatino Linotype"/>
        <w:color w:val="000000"/>
        <w:sz w:val="18"/>
        <w:szCs w:val="18"/>
      </w:rPr>
      <w:t>ISSN : 2614-5251 (</w:t>
    </w:r>
    <w:r>
      <w:rPr>
        <w:rFonts w:ascii="Palatino Linotype" w:eastAsia="Palatino Linotype" w:hAnsi="Palatino Linotype" w:cs="Palatino Linotype"/>
        <w:i/>
        <w:iCs/>
        <w:color w:val="000000"/>
        <w:sz w:val="18"/>
        <w:szCs w:val="18"/>
      </w:rPr>
      <w:t>print</w:t>
    </w:r>
    <w:r>
      <w:rPr>
        <w:rFonts w:ascii="Palatino Linotype" w:eastAsia="Palatino Linotype" w:hAnsi="Palatino Linotype" w:cs="Palatino Linotype"/>
        <w:color w:val="000000"/>
        <w:sz w:val="18"/>
        <w:szCs w:val="18"/>
      </w:rPr>
      <w:t>) | ISSN : 2614-526X (elektronik)</w:t>
    </w:r>
    <w:r>
      <w:rPr>
        <w:rFonts w:ascii="Palatino Linotype" w:eastAsia="Palatino Linotype" w:hAnsi="Palatino Linotype" w:cs="Palatino Linotype"/>
        <w:color w:val="000000"/>
        <w:sz w:val="18"/>
        <w:szCs w:val="18"/>
      </w:rPr>
      <w:tab/>
    </w:r>
    <w:r w:rsidR="00F532EC">
      <w:rPr>
        <w:rFonts w:ascii="Palatino Linotype" w:eastAsia="Palatino Linotype" w:hAnsi="Palatino Linotype" w:cs="Palatino Linotype"/>
        <w:color w:val="000000"/>
        <w:sz w:val="18"/>
        <w:szCs w:val="18"/>
      </w:rPr>
      <w:tab/>
    </w:r>
    <w:r w:rsidR="00F532EC">
      <w:rPr>
        <w:rFonts w:ascii="Palatino Linotype" w:eastAsia="Palatino Linotype" w:hAnsi="Palatino Linotype" w:cs="Palatino Linotype"/>
        <w:color w:val="000000"/>
        <w:sz w:val="18"/>
        <w:szCs w:val="18"/>
      </w:rPr>
      <w:tab/>
    </w:r>
    <w:r w:rsidR="00F532EC">
      <w:rPr>
        <w:rFonts w:ascii="Palatino Linotype" w:eastAsia="Palatino Linotype" w:hAnsi="Palatino Linotype" w:cs="Palatino Linotype"/>
        <w:color w:val="000000"/>
        <w:sz w:val="18"/>
        <w:szCs w:val="18"/>
      </w:rPr>
      <w:tab/>
    </w:r>
    <w:r w:rsidR="00F532EC">
      <w:rPr>
        <w:rFonts w:ascii="Palatino Linotype" w:eastAsia="Palatino Linotype" w:hAnsi="Palatino Linotype" w:cs="Palatino Linotype"/>
        <w:color w:val="000000"/>
        <w:sz w:val="18"/>
        <w:szCs w:val="18"/>
      </w:rPr>
      <w:tab/>
    </w:r>
    <w:r w:rsidR="00F532EC">
      <w:rPr>
        <w:rFonts w:ascii="Palatino Linotype" w:eastAsia="Palatino Linotype" w:hAnsi="Palatino Linotype" w:cs="Palatino Linotype"/>
        <w:color w:val="000000"/>
        <w:sz w:val="18"/>
        <w:szCs w:val="18"/>
      </w:rPr>
      <w:tab/>
    </w:r>
    <w:r>
      <w:rPr>
        <w:rFonts w:ascii="Palatino Linotype" w:eastAsia="Palatino Linotype" w:hAnsi="Palatino Linotype" w:cs="Palatino Linotype"/>
        <w:color w:val="000000"/>
      </w:rPr>
      <w:fldChar w:fldCharType="begin"/>
    </w:r>
    <w:r>
      <w:rPr>
        <w:rFonts w:ascii="Palatino Linotype" w:eastAsia="Palatino Linotype" w:hAnsi="Palatino Linotype" w:cs="Palatino Linotype"/>
        <w:color w:val="000000"/>
      </w:rPr>
      <w:instrText>PAGE</w:instrText>
    </w:r>
    <w:r>
      <w:rPr>
        <w:rFonts w:ascii="Palatino Linotype" w:eastAsia="Palatino Linotype" w:hAnsi="Palatino Linotype" w:cs="Palatino Linotype"/>
        <w:color w:val="000000"/>
      </w:rPr>
      <w:fldChar w:fldCharType="separate"/>
    </w:r>
    <w:r w:rsidR="006C22FE">
      <w:rPr>
        <w:rFonts w:ascii="Palatino Linotype" w:eastAsia="Palatino Linotype" w:hAnsi="Palatino Linotype" w:cs="Palatino Linotype"/>
        <w:noProof/>
        <w:color w:val="000000"/>
      </w:rPr>
      <w:t>3</w:t>
    </w:r>
    <w:r>
      <w:rPr>
        <w:rFonts w:ascii="Palatino Linotype" w:eastAsia="Palatino Linotype" w:hAnsi="Palatino Linotype" w:cs="Palatino Linotype"/>
        <w:color w:val="000000"/>
      </w:rPr>
      <w:fldChar w:fldCharType="end"/>
    </w:r>
  </w:p>
  <w:p w14:paraId="782401E6" w14:textId="77777777" w:rsidR="00142F8A" w:rsidRDefault="00D53D4A">
    <w:pPr>
      <w:pBdr>
        <w:top w:val="nil"/>
        <w:left w:val="nil"/>
        <w:bottom w:val="nil"/>
        <w:right w:val="nil"/>
        <w:between w:val="nil"/>
      </w:pBdr>
      <w:tabs>
        <w:tab w:val="center" w:pos="4680"/>
        <w:tab w:val="right" w:pos="9360"/>
      </w:tabs>
      <w:jc w:val="right"/>
      <w:rPr>
        <w:rFonts w:ascii="Arial Narrow" w:eastAsia="Arial Narrow" w:hAnsi="Arial Narrow" w:cs="Arial Narrow"/>
        <w:color w:val="000000"/>
      </w:rPr>
    </w:pPr>
    <w:r>
      <w:rPr>
        <w:noProof/>
      </w:rPr>
      <mc:AlternateContent>
        <mc:Choice Requires="wps">
          <w:drawing>
            <wp:anchor distT="0" distB="0" distL="114300" distR="114300" simplePos="0" relativeHeight="251658240" behindDoc="0" locked="0" layoutInCell="1" hidden="0" allowOverlap="1" wp14:anchorId="73079C9E" wp14:editId="06104766">
              <wp:simplePos x="0" y="0"/>
              <wp:positionH relativeFrom="column">
                <wp:posOffset>-4761</wp:posOffset>
              </wp:positionH>
              <wp:positionV relativeFrom="paragraph">
                <wp:posOffset>95568</wp:posOffset>
              </wp:positionV>
              <wp:extent cx="5768975" cy="63500"/>
              <wp:effectExtent l="0" t="0" r="0" b="0"/>
              <wp:wrapNone/>
              <wp:docPr id="1" name="Rectangle 1"/>
              <wp:cNvGraphicFramePr/>
              <a:graphic xmlns:a="http://schemas.openxmlformats.org/drawingml/2006/main">
                <a:graphicData uri="http://schemas.microsoft.com/office/word/2010/wordprocessingShape">
                  <wps:wsp>
                    <wps:cNvSpPr/>
                    <wps:spPr>
                      <a:xfrm>
                        <a:off x="2466275" y="3753013"/>
                        <a:ext cx="5759450" cy="53975"/>
                      </a:xfrm>
                      <a:prstGeom prst="rect">
                        <a:avLst/>
                      </a:prstGeom>
                      <a:gradFill>
                        <a:gsLst>
                          <a:gs pos="0">
                            <a:srgbClr val="81D2FF"/>
                          </a:gs>
                          <a:gs pos="50000">
                            <a:srgbClr val="B3E1FF"/>
                          </a:gs>
                          <a:gs pos="100000">
                            <a:srgbClr val="DAEFFF"/>
                          </a:gs>
                        </a:gsLst>
                        <a:path path="circle">
                          <a:fillToRect l="50000" t="50000" r="50000" b="50000"/>
                        </a:path>
                        <a:tileRect/>
                      </a:gradFill>
                      <a:ln>
                        <a:noFill/>
                      </a:ln>
                    </wps:spPr>
                    <wps:txbx>
                      <w:txbxContent>
                        <w:p w14:paraId="2AFD2A56" w14:textId="77777777" w:rsidR="00142F8A" w:rsidRDefault="00142F8A">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73079C9E" id="Rectangle 1" o:spid="_x0000_s1027" style="position:absolute;left:0;text-align:left;margin-left:-.35pt;margin-top:7.55pt;width:454.25pt;height: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" fillcolor="#81d2ff" stroked="f">
              <v:fill color2="#daefff" focusposition=".5,.5" focussize="" colors="0 #81d2ff;.5 #b3e1ff;1 #daefff" focus="100%" type="gradientRadial"/>
              <v:textbox inset="2.53958mm,2.53958mm,2.53958mm,2.53958mm">
                <w:txbxContent>
                  <w:p w14:paraId="2AFD2A56" w14:textId="77777777" w:rsidR="00142F8A" w:rsidRDefault="00142F8A">
                    <w:pPr>
                      <w:jc w:val="left"/>
                      <w:textDirection w:val="btLr"/>
                    </w:pPr>
                  </w:p>
                </w:txbxContent>
              </v:textbox>
            </v:rect>
          </w:pict>
        </mc:Fallback>
      </mc:AlternateContent>
    </w:r>
  </w:p>
  <w:p w14:paraId="1869C6C0" w14:textId="77777777" w:rsidR="00142F8A" w:rsidRDefault="00142F8A">
    <w:pPr>
      <w:pBdr>
        <w:top w:val="nil"/>
        <w:left w:val="nil"/>
        <w:bottom w:val="nil"/>
        <w:right w:val="nil"/>
        <w:between w:val="nil"/>
      </w:pBdr>
      <w:tabs>
        <w:tab w:val="center" w:pos="4320"/>
        <w:tab w:val="right" w:pos="8640"/>
      </w:tabs>
      <w:ind w:right="100"/>
      <w:jc w:val="right"/>
      <w:rPr>
        <w:color w:val="000000"/>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FCBCE" w14:textId="77777777" w:rsidR="00F532EC" w:rsidRPr="00800B4C" w:rsidRDefault="00F532EC" w:rsidP="00F532EC">
    <w:pPr>
      <w:widowControl w:val="0"/>
      <w:tabs>
        <w:tab w:val="left" w:pos="720"/>
        <w:tab w:val="center" w:pos="4320"/>
        <w:tab w:val="right" w:pos="8640"/>
      </w:tabs>
      <w:autoSpaceDE w:val="0"/>
      <w:autoSpaceDN w:val="0"/>
      <w:adjustRightInd w:val="0"/>
      <w:snapToGrid w:val="0"/>
      <w:jc w:val="left"/>
      <w:rPr>
        <w:rFonts w:ascii="Palatino Linotype" w:eastAsia="Palatino Linotype" w:hAnsi="Palatino Linotype" w:cs="Palatino Linotype"/>
        <w:b/>
        <w:bCs/>
        <w:iCs/>
        <w:sz w:val="22"/>
        <w:szCs w:val="22"/>
        <w:lang w:val="id"/>
      </w:rPr>
    </w:pPr>
    <w:bookmarkStart w:id="2" w:name="_Hlk236817491"/>
    <w:r w:rsidRPr="00800B4C">
      <w:rPr>
        <w:rFonts w:ascii="Palatino Linotype" w:eastAsia="Palatino Linotype" w:hAnsi="Palatino Linotype" w:cs="Palatino Linotype"/>
        <w:b/>
        <w:bCs/>
        <w:iCs/>
        <w:sz w:val="22"/>
        <w:szCs w:val="22"/>
        <w:lang w:val="id"/>
      </w:rPr>
      <w:t>SELAPARANG: Jurnal Pengabdian Masyarakat Berkemajuan</w:t>
    </w:r>
    <w:r w:rsidRPr="00800B4C">
      <w:rPr>
        <w:rFonts w:ascii="Palatino Linotype" w:eastAsia="Palatino Linotype" w:hAnsi="Palatino Linotype" w:cs="Palatino Linotype"/>
        <w:b/>
        <w:bCs/>
        <w:iCs/>
        <w:sz w:val="22"/>
        <w:szCs w:val="22"/>
        <w:lang w:val="id"/>
      </w:rPr>
      <w:tab/>
      <w:t xml:space="preserve">                   </w:t>
    </w:r>
  </w:p>
  <w:p w14:paraId="653A9618" w14:textId="4614354E" w:rsidR="00F532EC" w:rsidRPr="00800B4C" w:rsidRDefault="00F532EC" w:rsidP="00F532EC">
    <w:pPr>
      <w:widowControl w:val="0"/>
      <w:tabs>
        <w:tab w:val="center" w:pos="4320"/>
        <w:tab w:val="right" w:pos="8640"/>
      </w:tabs>
      <w:autoSpaceDE w:val="0"/>
      <w:autoSpaceDN w:val="0"/>
      <w:adjustRightInd w:val="0"/>
      <w:snapToGrid w:val="0"/>
      <w:jc w:val="left"/>
      <w:rPr>
        <w:rFonts w:ascii="Palatino Linotype" w:eastAsia="Palatino Linotype" w:hAnsi="Palatino Linotype" w:cs="Palatino Linotype"/>
        <w:iCs/>
        <w:sz w:val="18"/>
        <w:szCs w:val="22"/>
        <w:lang w:val="id"/>
      </w:rPr>
    </w:pPr>
    <w:r w:rsidRPr="00800B4C">
      <w:rPr>
        <w:rFonts w:ascii="Palatino Linotype" w:eastAsia="Palatino Linotype" w:hAnsi="Palatino Linotype" w:cs="Palatino Linotype"/>
        <w:iCs/>
        <w:sz w:val="18"/>
        <w:szCs w:val="22"/>
        <w:lang w:val="id"/>
      </w:rPr>
      <w:t xml:space="preserve">Volume 10, Nomor </w:t>
    </w:r>
    <w:r w:rsidRPr="00800B4C">
      <w:rPr>
        <w:rFonts w:ascii="Palatino Linotype" w:eastAsia="Palatino Linotype" w:hAnsi="Palatino Linotype" w:cs="Palatino Linotype"/>
        <w:iCs/>
        <w:sz w:val="18"/>
        <w:szCs w:val="22"/>
        <w:lang w:val="en-US"/>
      </w:rPr>
      <w:t>5</w:t>
    </w:r>
    <w:r w:rsidRPr="00800B4C">
      <w:rPr>
        <w:rFonts w:ascii="Palatino Linotype" w:eastAsia="Palatino Linotype" w:hAnsi="Palatino Linotype" w:cs="Palatino Linotype"/>
        <w:iCs/>
        <w:sz w:val="18"/>
        <w:szCs w:val="22"/>
        <w:lang w:val="id"/>
      </w:rPr>
      <w:t xml:space="preserve">, </w:t>
    </w:r>
    <w:r w:rsidRPr="00800B4C">
      <w:rPr>
        <w:rFonts w:ascii="Palatino Linotype" w:eastAsia="Palatino Linotype" w:hAnsi="Palatino Linotype" w:cs="Palatino Linotype"/>
        <w:iCs/>
        <w:sz w:val="18"/>
        <w:szCs w:val="22"/>
        <w:lang w:val="en-US"/>
      </w:rPr>
      <w:t>Oktober</w:t>
    </w:r>
    <w:r w:rsidRPr="00800B4C">
      <w:rPr>
        <w:rFonts w:ascii="Palatino Linotype" w:eastAsia="Palatino Linotype" w:hAnsi="Palatino Linotype" w:cs="Palatino Linotype"/>
        <w:iCs/>
        <w:sz w:val="18"/>
        <w:szCs w:val="22"/>
        <w:lang w:val="id"/>
      </w:rPr>
      <w:t xml:space="preserve"> 2026, hal. 47</w:t>
    </w:r>
    <w:r>
      <w:rPr>
        <w:rFonts w:ascii="Palatino Linotype" w:eastAsia="Palatino Linotype" w:hAnsi="Palatino Linotype" w:cs="Palatino Linotype"/>
        <w:iCs/>
        <w:sz w:val="18"/>
        <w:szCs w:val="22"/>
        <w:lang w:val="id"/>
      </w:rPr>
      <w:t>61</w:t>
    </w:r>
    <w:r w:rsidRPr="00800B4C">
      <w:rPr>
        <w:rFonts w:ascii="Palatino Linotype" w:eastAsia="Palatino Linotype" w:hAnsi="Palatino Linotype" w:cs="Palatino Linotype"/>
        <w:iCs/>
        <w:sz w:val="18"/>
        <w:szCs w:val="22"/>
        <w:lang w:val="id"/>
      </w:rPr>
      <w:t xml:space="preserve"> – 47</w:t>
    </w:r>
    <w:r>
      <w:rPr>
        <w:rFonts w:ascii="Palatino Linotype" w:eastAsia="Palatino Linotype" w:hAnsi="Palatino Linotype" w:cs="Palatino Linotype"/>
        <w:iCs/>
        <w:sz w:val="18"/>
        <w:szCs w:val="22"/>
        <w:lang w:val="id"/>
      </w:rPr>
      <w:t>73</w:t>
    </w:r>
  </w:p>
  <w:p w14:paraId="139D0517" w14:textId="77777777" w:rsidR="00F532EC" w:rsidRPr="00800B4C" w:rsidRDefault="00F532EC" w:rsidP="00F532EC">
    <w:pPr>
      <w:widowControl w:val="0"/>
      <w:tabs>
        <w:tab w:val="center" w:pos="4320"/>
        <w:tab w:val="right" w:pos="8640"/>
      </w:tabs>
      <w:autoSpaceDE w:val="0"/>
      <w:autoSpaceDN w:val="0"/>
      <w:adjustRightInd w:val="0"/>
      <w:snapToGrid w:val="0"/>
      <w:ind w:right="180"/>
      <w:jc w:val="right"/>
      <w:rPr>
        <w:rFonts w:ascii="Palatino Linotype" w:eastAsia="Palatino Linotype" w:hAnsi="Palatino Linotype" w:cs="Palatino Linotype"/>
        <w:color w:val="000000"/>
        <w:sz w:val="18"/>
        <w:szCs w:val="18"/>
        <w:lang w:val="sv-SE"/>
      </w:rPr>
    </w:pPr>
    <w:r w:rsidRPr="00800B4C">
      <w:rPr>
        <w:rFonts w:ascii="Palatino Linotype" w:eastAsia="Palatino Linotype" w:hAnsi="Palatino Linotype" w:cs="Palatino Linotype"/>
        <w:color w:val="000000"/>
        <w:sz w:val="18"/>
        <w:szCs w:val="18"/>
        <w:lang w:val="sv-SE"/>
      </w:rPr>
      <w:t>ISSN : 2614-5251 (</w:t>
    </w:r>
    <w:r w:rsidRPr="00800B4C">
      <w:rPr>
        <w:rFonts w:ascii="Palatino Linotype" w:eastAsia="Palatino Linotype" w:hAnsi="Palatino Linotype" w:cs="Palatino Linotype"/>
        <w:i/>
        <w:iCs/>
        <w:color w:val="000000"/>
        <w:sz w:val="18"/>
        <w:szCs w:val="18"/>
        <w:lang w:val="sv-SE"/>
      </w:rPr>
      <w:t>print</w:t>
    </w:r>
    <w:r w:rsidRPr="00800B4C">
      <w:rPr>
        <w:rFonts w:ascii="Palatino Linotype" w:eastAsia="Palatino Linotype" w:hAnsi="Palatino Linotype" w:cs="Palatino Linotype"/>
        <w:color w:val="000000"/>
        <w:sz w:val="18"/>
        <w:szCs w:val="18"/>
        <w:lang w:val="sv-SE"/>
      </w:rPr>
      <w:t>) | ISSN : 2614-526X (elektronik)</w:t>
    </w:r>
  </w:p>
  <w:p w14:paraId="29B25AB4" w14:textId="2C863F70" w:rsidR="00142F8A" w:rsidRPr="00F532EC" w:rsidRDefault="00F532EC" w:rsidP="00F532EC">
    <w:pPr>
      <w:widowControl w:val="0"/>
      <w:tabs>
        <w:tab w:val="center" w:pos="4680"/>
        <w:tab w:val="right" w:pos="9360"/>
      </w:tabs>
      <w:autoSpaceDE w:val="0"/>
      <w:autoSpaceDN w:val="0"/>
      <w:adjustRightInd w:val="0"/>
      <w:snapToGrid w:val="0"/>
      <w:jc w:val="right"/>
      <w:rPr>
        <w:rFonts w:ascii="Palatino Linotype" w:eastAsia="Times New Roman" w:hAnsi="Palatino Linotype" w:cs="Palatino Linotype"/>
        <w:color w:val="000000"/>
        <w:sz w:val="22"/>
        <w:szCs w:val="22"/>
        <w:lang w:val="id"/>
      </w:rPr>
    </w:pPr>
    <w:r w:rsidRPr="00800B4C">
      <w:rPr>
        <w:rFonts w:ascii="Palatino Linotype" w:eastAsia="Palatino Linotype" w:hAnsi="Palatino Linotype" w:cs="Palatino Linotype"/>
        <w:noProof/>
        <w:sz w:val="22"/>
        <w:szCs w:val="22"/>
        <w:lang w:val="en-US" w:eastAsia="ja-JP"/>
      </w:rPr>
      <mc:AlternateContent>
        <mc:Choice Requires="wps">
          <w:drawing>
            <wp:anchor distT="0" distB="0" distL="0" distR="0" simplePos="0" relativeHeight="251662336" behindDoc="0" locked="0" layoutInCell="1" allowOverlap="1" wp14:anchorId="66B55631" wp14:editId="55B87DF3">
              <wp:simplePos x="0" y="0"/>
              <wp:positionH relativeFrom="column">
                <wp:posOffset>0</wp:posOffset>
              </wp:positionH>
              <wp:positionV relativeFrom="paragraph">
                <wp:posOffset>100330</wp:posOffset>
              </wp:positionV>
              <wp:extent cx="5759450" cy="53975"/>
              <wp:effectExtent l="0" t="0" r="0" b="3175"/>
              <wp:wrapNone/>
              <wp:docPr id="15718371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0" cy="53975"/>
                      </a:xfrm>
                      <a:prstGeom prst="rect">
                        <a:avLst/>
                      </a:prstGeom>
                      <a:gradFill flip="none" rotWithShape="1">
                        <a:gsLst>
                          <a:gs pos="0">
                            <a:srgbClr val="82D2FF"/>
                          </a:gs>
                          <a:gs pos="50000">
                            <a:srgbClr val="B4E1FF"/>
                          </a:gs>
                          <a:gs pos="100000">
                            <a:srgbClr val="DAEFFF"/>
                          </a:gs>
                        </a:gsLst>
                        <a:path path="circle">
                          <a:fillToRect l="50000" t="50000" r="50000" b="50000"/>
                        </a:path>
                        <a:tileRect/>
                      </a:gradFill>
                      <a:ln>
                        <a:noFill/>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2FD987D0" id="Rectangle 5" o:spid="_x0000_s1026" style="position:absolute;margin-left:0;margin-top:7.9pt;width:453.5pt;height:4.2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" fillcolor="#82d2ff" stroked="f">
              <v:fill color2="#daefff" rotate="t" focusposition=".5,.5" focussize="" colors="0 #82d2ff;.5 #b4e1ff;1 #daefff" focus="100%" type="gradientRadial"/>
            </v:rect>
          </w:pict>
        </mc:Fallback>
      </mc:AlternateConten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C5B6E"/>
    <w:multiLevelType w:val="hybridMultilevel"/>
    <w:tmpl w:val="7C1A7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F30EB"/>
    <w:multiLevelType w:val="hybridMultilevel"/>
    <w:tmpl w:val="E94A5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95132E"/>
    <w:multiLevelType w:val="multilevel"/>
    <w:tmpl w:val="F4644EA2"/>
    <w:lvl w:ilvl="0">
      <w:start w:val="1"/>
      <w:numFmt w:val="decimal"/>
      <w:lvlText w:val="%1."/>
      <w:lvlJc w:val="left"/>
      <w:pPr>
        <w:ind w:left="1080" w:hanging="72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EE3B6D"/>
    <w:multiLevelType w:val="hybridMultilevel"/>
    <w:tmpl w:val="612AE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8425065">
    <w:abstractNumId w:val="2"/>
  </w:num>
  <w:num w:numId="2" w16cid:durableId="608006969">
    <w:abstractNumId w:val="1"/>
  </w:num>
  <w:num w:numId="3" w16cid:durableId="893929804">
    <w:abstractNumId w:val="0"/>
  </w:num>
  <w:num w:numId="4" w16cid:durableId="231895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8A"/>
    <w:rsid w:val="000122C0"/>
    <w:rsid w:val="0001353E"/>
    <w:rsid w:val="000247A3"/>
    <w:rsid w:val="00024C69"/>
    <w:rsid w:val="00034833"/>
    <w:rsid w:val="000434E3"/>
    <w:rsid w:val="00050672"/>
    <w:rsid w:val="00056FE0"/>
    <w:rsid w:val="000609BC"/>
    <w:rsid w:val="00064D2F"/>
    <w:rsid w:val="000703AD"/>
    <w:rsid w:val="00072EA7"/>
    <w:rsid w:val="00080B68"/>
    <w:rsid w:val="00081EF4"/>
    <w:rsid w:val="000845AB"/>
    <w:rsid w:val="00084897"/>
    <w:rsid w:val="0009466C"/>
    <w:rsid w:val="000A4BE5"/>
    <w:rsid w:val="000C6654"/>
    <w:rsid w:val="000C6E16"/>
    <w:rsid w:val="000D4317"/>
    <w:rsid w:val="000E1D50"/>
    <w:rsid w:val="000E3D96"/>
    <w:rsid w:val="000E73A4"/>
    <w:rsid w:val="001238AE"/>
    <w:rsid w:val="00142F8A"/>
    <w:rsid w:val="001732DF"/>
    <w:rsid w:val="00181F03"/>
    <w:rsid w:val="00182185"/>
    <w:rsid w:val="00191C6D"/>
    <w:rsid w:val="00193F32"/>
    <w:rsid w:val="001A4222"/>
    <w:rsid w:val="001B526A"/>
    <w:rsid w:val="001F300C"/>
    <w:rsid w:val="002026A4"/>
    <w:rsid w:val="00215DFD"/>
    <w:rsid w:val="00217247"/>
    <w:rsid w:val="002309B8"/>
    <w:rsid w:val="00244EBD"/>
    <w:rsid w:val="0024779E"/>
    <w:rsid w:val="00247B3C"/>
    <w:rsid w:val="00247BED"/>
    <w:rsid w:val="00261FE3"/>
    <w:rsid w:val="002745E2"/>
    <w:rsid w:val="00281C5A"/>
    <w:rsid w:val="00282B9D"/>
    <w:rsid w:val="002836A4"/>
    <w:rsid w:val="00296FCD"/>
    <w:rsid w:val="002A4ADC"/>
    <w:rsid w:val="002B3E43"/>
    <w:rsid w:val="002B7EB0"/>
    <w:rsid w:val="002C4474"/>
    <w:rsid w:val="002D0A6C"/>
    <w:rsid w:val="002F4C87"/>
    <w:rsid w:val="00323B3F"/>
    <w:rsid w:val="003304A0"/>
    <w:rsid w:val="003361E9"/>
    <w:rsid w:val="00366A41"/>
    <w:rsid w:val="00370B60"/>
    <w:rsid w:val="00383E8F"/>
    <w:rsid w:val="003D42D2"/>
    <w:rsid w:val="003E73F0"/>
    <w:rsid w:val="003F3F59"/>
    <w:rsid w:val="00413412"/>
    <w:rsid w:val="00435E09"/>
    <w:rsid w:val="00437C18"/>
    <w:rsid w:val="004454A3"/>
    <w:rsid w:val="0045022F"/>
    <w:rsid w:val="00456874"/>
    <w:rsid w:val="004665CD"/>
    <w:rsid w:val="0047100B"/>
    <w:rsid w:val="0047212B"/>
    <w:rsid w:val="00486A8A"/>
    <w:rsid w:val="004A131E"/>
    <w:rsid w:val="004A7B54"/>
    <w:rsid w:val="004C3185"/>
    <w:rsid w:val="004D6771"/>
    <w:rsid w:val="004F0A36"/>
    <w:rsid w:val="004F2BA5"/>
    <w:rsid w:val="005140D9"/>
    <w:rsid w:val="00515D59"/>
    <w:rsid w:val="005163CD"/>
    <w:rsid w:val="00545EB5"/>
    <w:rsid w:val="0055240A"/>
    <w:rsid w:val="00554026"/>
    <w:rsid w:val="0055730C"/>
    <w:rsid w:val="00562452"/>
    <w:rsid w:val="00581919"/>
    <w:rsid w:val="00595BAF"/>
    <w:rsid w:val="005A27A4"/>
    <w:rsid w:val="005B1F64"/>
    <w:rsid w:val="005B24ED"/>
    <w:rsid w:val="005B68D4"/>
    <w:rsid w:val="005C4E30"/>
    <w:rsid w:val="005D6B87"/>
    <w:rsid w:val="005E006F"/>
    <w:rsid w:val="005F70CD"/>
    <w:rsid w:val="006202D4"/>
    <w:rsid w:val="00636643"/>
    <w:rsid w:val="00643CD8"/>
    <w:rsid w:val="00645981"/>
    <w:rsid w:val="00664CA8"/>
    <w:rsid w:val="00674863"/>
    <w:rsid w:val="00684AAD"/>
    <w:rsid w:val="006C078B"/>
    <w:rsid w:val="006C22FE"/>
    <w:rsid w:val="006C27EF"/>
    <w:rsid w:val="006C77C5"/>
    <w:rsid w:val="006D4B84"/>
    <w:rsid w:val="006D76B6"/>
    <w:rsid w:val="006E4E54"/>
    <w:rsid w:val="006F4A7B"/>
    <w:rsid w:val="00723EC8"/>
    <w:rsid w:val="0074528A"/>
    <w:rsid w:val="00746C13"/>
    <w:rsid w:val="007742B2"/>
    <w:rsid w:val="007915B1"/>
    <w:rsid w:val="00795002"/>
    <w:rsid w:val="007B6036"/>
    <w:rsid w:val="007B6485"/>
    <w:rsid w:val="007D4B60"/>
    <w:rsid w:val="007D4B9C"/>
    <w:rsid w:val="007F3A16"/>
    <w:rsid w:val="00800D50"/>
    <w:rsid w:val="0080152A"/>
    <w:rsid w:val="00803C87"/>
    <w:rsid w:val="008170A7"/>
    <w:rsid w:val="008221FB"/>
    <w:rsid w:val="0083666B"/>
    <w:rsid w:val="0084283D"/>
    <w:rsid w:val="0086248A"/>
    <w:rsid w:val="00873D77"/>
    <w:rsid w:val="00880C1D"/>
    <w:rsid w:val="008A674A"/>
    <w:rsid w:val="008C1508"/>
    <w:rsid w:val="008C3869"/>
    <w:rsid w:val="008C49D3"/>
    <w:rsid w:val="008F633B"/>
    <w:rsid w:val="00911CAF"/>
    <w:rsid w:val="00913E96"/>
    <w:rsid w:val="0092474A"/>
    <w:rsid w:val="00936E8E"/>
    <w:rsid w:val="00951FAC"/>
    <w:rsid w:val="00956C4B"/>
    <w:rsid w:val="0098045B"/>
    <w:rsid w:val="009834C0"/>
    <w:rsid w:val="009A2092"/>
    <w:rsid w:val="009B1C2D"/>
    <w:rsid w:val="009B6CB7"/>
    <w:rsid w:val="009C4BBB"/>
    <w:rsid w:val="009F54FF"/>
    <w:rsid w:val="00A00114"/>
    <w:rsid w:val="00A0257F"/>
    <w:rsid w:val="00A32373"/>
    <w:rsid w:val="00A36F0E"/>
    <w:rsid w:val="00A4548F"/>
    <w:rsid w:val="00A70709"/>
    <w:rsid w:val="00A82502"/>
    <w:rsid w:val="00A9559F"/>
    <w:rsid w:val="00A97A05"/>
    <w:rsid w:val="00AA3424"/>
    <w:rsid w:val="00AA5949"/>
    <w:rsid w:val="00AC2278"/>
    <w:rsid w:val="00AD2C54"/>
    <w:rsid w:val="00AE4616"/>
    <w:rsid w:val="00B070F1"/>
    <w:rsid w:val="00B213D7"/>
    <w:rsid w:val="00B41125"/>
    <w:rsid w:val="00B463FB"/>
    <w:rsid w:val="00B50096"/>
    <w:rsid w:val="00B656AE"/>
    <w:rsid w:val="00B821A6"/>
    <w:rsid w:val="00B93022"/>
    <w:rsid w:val="00BB1C4D"/>
    <w:rsid w:val="00BC7FDB"/>
    <w:rsid w:val="00BD2F68"/>
    <w:rsid w:val="00BE04E5"/>
    <w:rsid w:val="00C10DE3"/>
    <w:rsid w:val="00C21958"/>
    <w:rsid w:val="00C27862"/>
    <w:rsid w:val="00C3191A"/>
    <w:rsid w:val="00C33AEE"/>
    <w:rsid w:val="00C44266"/>
    <w:rsid w:val="00C4526D"/>
    <w:rsid w:val="00C51DD6"/>
    <w:rsid w:val="00C634AB"/>
    <w:rsid w:val="00C67671"/>
    <w:rsid w:val="00C72565"/>
    <w:rsid w:val="00C81C76"/>
    <w:rsid w:val="00C85C1B"/>
    <w:rsid w:val="00C87A26"/>
    <w:rsid w:val="00C929E7"/>
    <w:rsid w:val="00C953B0"/>
    <w:rsid w:val="00CA419C"/>
    <w:rsid w:val="00CB182A"/>
    <w:rsid w:val="00CD1200"/>
    <w:rsid w:val="00CE2931"/>
    <w:rsid w:val="00D118F4"/>
    <w:rsid w:val="00D35B74"/>
    <w:rsid w:val="00D3658F"/>
    <w:rsid w:val="00D471E3"/>
    <w:rsid w:val="00D53D4A"/>
    <w:rsid w:val="00D67BDA"/>
    <w:rsid w:val="00D71091"/>
    <w:rsid w:val="00D770E4"/>
    <w:rsid w:val="00D809EA"/>
    <w:rsid w:val="00D96B5B"/>
    <w:rsid w:val="00D97E1F"/>
    <w:rsid w:val="00DA35BD"/>
    <w:rsid w:val="00DB5525"/>
    <w:rsid w:val="00DB6C9C"/>
    <w:rsid w:val="00DC1A26"/>
    <w:rsid w:val="00DC54F9"/>
    <w:rsid w:val="00DD048C"/>
    <w:rsid w:val="00DD6B56"/>
    <w:rsid w:val="00DE4255"/>
    <w:rsid w:val="00DF4343"/>
    <w:rsid w:val="00DF5780"/>
    <w:rsid w:val="00E07708"/>
    <w:rsid w:val="00E23391"/>
    <w:rsid w:val="00E34F6B"/>
    <w:rsid w:val="00E60137"/>
    <w:rsid w:val="00E6333B"/>
    <w:rsid w:val="00E73DE6"/>
    <w:rsid w:val="00E74A6D"/>
    <w:rsid w:val="00E758AA"/>
    <w:rsid w:val="00E76645"/>
    <w:rsid w:val="00EA2EA2"/>
    <w:rsid w:val="00ED28E4"/>
    <w:rsid w:val="00EF5011"/>
    <w:rsid w:val="00F038B2"/>
    <w:rsid w:val="00F05473"/>
    <w:rsid w:val="00F062DA"/>
    <w:rsid w:val="00F10BBD"/>
    <w:rsid w:val="00F22593"/>
    <w:rsid w:val="00F30D78"/>
    <w:rsid w:val="00F51F9A"/>
    <w:rsid w:val="00F532EC"/>
    <w:rsid w:val="00F70838"/>
    <w:rsid w:val="00F70DFC"/>
    <w:rsid w:val="00F83B7C"/>
    <w:rsid w:val="00F847A9"/>
    <w:rsid w:val="00FB6518"/>
    <w:rsid w:val="00FC5087"/>
    <w:rsid w:val="00FC54EF"/>
    <w:rsid w:val="00FE72C1"/>
    <w:rsid w:val="00FF1701"/>
    <w:rsid w:val="00FF1E7D"/>
    <w:rsid w:val="00FF28B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3F4B8"/>
  <w15:docId w15:val="{557AA44C-62F5-473A-9BD0-88FBED8C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s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240"/>
      <w:jc w:val="center"/>
      <w:outlineLvl w:val="0"/>
    </w:pPr>
    <w:rPr>
      <w:b/>
      <w:bCs/>
      <w:sz w:val="32"/>
      <w:szCs w:val="32"/>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bCs/>
      <w:i/>
      <w:iCs/>
      <w:sz w:val="28"/>
      <w:szCs w:val="28"/>
    </w:rPr>
  </w:style>
  <w:style w:type="paragraph" w:styleId="Heading3">
    <w:name w:val="heading 3"/>
    <w:basedOn w:val="Normal"/>
    <w:next w:val="Normal"/>
    <w:uiPriority w:val="9"/>
    <w:semiHidden/>
    <w:unhideWhenUsed/>
    <w:qFormat/>
    <w:pPr>
      <w:widowControl w:val="0"/>
      <w:ind w:left="1309" w:hanging="360"/>
      <w:jc w:val="left"/>
      <w:outlineLvl w:val="2"/>
    </w:pPr>
    <w:rPr>
      <w:rFonts w:ascii="Times New Roman" w:eastAsia="Times New Roman" w:hAnsi="Times New Roman" w:cs="Times New Roman"/>
      <w:b/>
      <w:bCs/>
      <w:i/>
      <w:iCs/>
      <w:sz w:val="24"/>
      <w:szCs w:val="24"/>
    </w:rPr>
  </w:style>
  <w:style w:type="paragraph" w:styleId="Heading4">
    <w:name w:val="heading 4"/>
    <w:basedOn w:val="Normal"/>
    <w:next w:val="Normal"/>
    <w:uiPriority w:val="9"/>
    <w:semiHidden/>
    <w:unhideWhenUsed/>
    <w:qFormat/>
    <w:pPr>
      <w:keepNext/>
      <w:spacing w:before="240" w:after="60"/>
      <w:ind w:left="2880" w:hanging="720"/>
      <w:jc w:val="left"/>
      <w:outlineLvl w:val="3"/>
    </w:pPr>
    <w:rPr>
      <w:rFonts w:ascii="Calibri" w:eastAsia="Calibri" w:hAnsi="Calibri" w:cs="Calibri"/>
      <w:b/>
      <w:bCs/>
      <w:sz w:val="28"/>
      <w:szCs w:val="28"/>
    </w:rPr>
  </w:style>
  <w:style w:type="paragraph" w:styleId="Heading5">
    <w:name w:val="heading 5"/>
    <w:basedOn w:val="Normal"/>
    <w:next w:val="Normal"/>
    <w:uiPriority w:val="9"/>
    <w:semiHidden/>
    <w:unhideWhenUsed/>
    <w:qFormat/>
    <w:pPr>
      <w:spacing w:before="240" w:after="60"/>
      <w:ind w:left="3600" w:hanging="720"/>
      <w:jc w:val="left"/>
      <w:outlineLvl w:val="4"/>
    </w:pPr>
    <w:rPr>
      <w:rFonts w:ascii="Calibri" w:eastAsia="Calibri" w:hAnsi="Calibri" w:cs="Calibri"/>
      <w:b/>
      <w:bCs/>
      <w:i/>
      <w:iCs/>
      <w:sz w:val="26"/>
      <w:szCs w:val="26"/>
    </w:rPr>
  </w:style>
  <w:style w:type="paragraph" w:styleId="Heading6">
    <w:name w:val="heading 6"/>
    <w:basedOn w:val="Normal"/>
    <w:next w:val="Normal"/>
    <w:uiPriority w:val="9"/>
    <w:semiHidden/>
    <w:unhideWhenUsed/>
    <w:qFormat/>
    <w:pPr>
      <w:spacing w:before="240" w:after="60"/>
      <w:ind w:left="4320" w:hanging="720"/>
      <w:jc w:val="left"/>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200" w:line="360" w:lineRule="auto"/>
      <w:ind w:firstLine="567"/>
      <w:jc w:val="center"/>
    </w:pPr>
    <w:rPr>
      <w:rFonts w:ascii="Times New Roman" w:eastAsia="Times New Roman" w:hAnsi="Times New Roman" w:cs="Times New Roman"/>
      <w:b/>
      <w:bCs/>
      <w:color w:val="000000"/>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
    <w:name w:val="1"/>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1238AE"/>
    <w:pPr>
      <w:ind w:left="720"/>
      <w:contextualSpacing/>
    </w:pPr>
  </w:style>
  <w:style w:type="character" w:styleId="Hyperlink">
    <w:name w:val="Hyperlink"/>
    <w:basedOn w:val="DefaultParagraphFont"/>
    <w:uiPriority w:val="99"/>
    <w:unhideWhenUsed/>
    <w:rsid w:val="00BE04E5"/>
    <w:rPr>
      <w:color w:val="0000FF" w:themeColor="hyperlink"/>
      <w:u w:val="single"/>
    </w:rPr>
  </w:style>
  <w:style w:type="character" w:styleId="UnresolvedMention">
    <w:name w:val="Unresolved Mention"/>
    <w:basedOn w:val="DefaultParagraphFont"/>
    <w:uiPriority w:val="99"/>
    <w:semiHidden/>
    <w:unhideWhenUsed/>
    <w:rsid w:val="00BE04E5"/>
    <w:rPr>
      <w:color w:val="605E5C"/>
      <w:shd w:val="clear" w:color="auto" w:fill="E1DFDD"/>
    </w:rPr>
  </w:style>
  <w:style w:type="paragraph" w:styleId="Footer">
    <w:name w:val="footer"/>
    <w:basedOn w:val="Normal"/>
    <w:link w:val="FooterChar"/>
    <w:uiPriority w:val="99"/>
    <w:unhideWhenUsed/>
    <w:rsid w:val="008C1508"/>
    <w:pPr>
      <w:tabs>
        <w:tab w:val="center" w:pos="4513"/>
        <w:tab w:val="right" w:pos="9026"/>
      </w:tabs>
    </w:pPr>
  </w:style>
  <w:style w:type="character" w:customStyle="1" w:styleId="FooterChar">
    <w:name w:val="Footer Char"/>
    <w:basedOn w:val="DefaultParagraphFont"/>
    <w:link w:val="Footer"/>
    <w:uiPriority w:val="99"/>
    <w:rsid w:val="008C1508"/>
  </w:style>
  <w:style w:type="character" w:styleId="CommentReference">
    <w:name w:val="annotation reference"/>
    <w:basedOn w:val="DefaultParagraphFont"/>
    <w:uiPriority w:val="99"/>
    <w:semiHidden/>
    <w:unhideWhenUsed/>
    <w:rsid w:val="000703AD"/>
    <w:rPr>
      <w:sz w:val="16"/>
      <w:szCs w:val="16"/>
    </w:rPr>
  </w:style>
  <w:style w:type="paragraph" w:styleId="CommentText">
    <w:name w:val="annotation text"/>
    <w:basedOn w:val="Normal"/>
    <w:link w:val="CommentTextChar"/>
    <w:uiPriority w:val="99"/>
    <w:unhideWhenUsed/>
    <w:rsid w:val="000703AD"/>
  </w:style>
  <w:style w:type="character" w:customStyle="1" w:styleId="CommentTextChar">
    <w:name w:val="Comment Text Char"/>
    <w:basedOn w:val="DefaultParagraphFont"/>
    <w:link w:val="CommentText"/>
    <w:uiPriority w:val="99"/>
    <w:rsid w:val="000703AD"/>
  </w:style>
  <w:style w:type="paragraph" w:styleId="CommentSubject">
    <w:name w:val="annotation subject"/>
    <w:basedOn w:val="CommentText"/>
    <w:next w:val="CommentText"/>
    <w:link w:val="CommentSubjectChar"/>
    <w:uiPriority w:val="99"/>
    <w:semiHidden/>
    <w:unhideWhenUsed/>
    <w:rsid w:val="000703AD"/>
    <w:rPr>
      <w:b/>
      <w:bCs/>
    </w:rPr>
  </w:style>
  <w:style w:type="character" w:customStyle="1" w:styleId="CommentSubjectChar">
    <w:name w:val="Comment Subject Char"/>
    <w:basedOn w:val="CommentTextChar"/>
    <w:link w:val="CommentSubject"/>
    <w:uiPriority w:val="99"/>
    <w:semiHidden/>
    <w:rsid w:val="000703AD"/>
    <w:rPr>
      <w:b/>
      <w:bCs/>
    </w:rPr>
  </w:style>
  <w:style w:type="paragraph" w:styleId="Revision">
    <w:name w:val="Revision"/>
    <w:hidden/>
    <w:uiPriority w:val="99"/>
    <w:semiHidden/>
    <w:rsid w:val="002745E2"/>
    <w:pPr>
      <w:jc w:val="left"/>
    </w:pPr>
  </w:style>
  <w:style w:type="paragraph" w:styleId="Header">
    <w:name w:val="header"/>
    <w:basedOn w:val="Normal"/>
    <w:link w:val="HeaderChar"/>
    <w:uiPriority w:val="99"/>
    <w:semiHidden/>
    <w:unhideWhenUsed/>
    <w:rsid w:val="00F532EC"/>
    <w:pPr>
      <w:tabs>
        <w:tab w:val="center" w:pos="4513"/>
        <w:tab w:val="right" w:pos="9026"/>
      </w:tabs>
    </w:pPr>
  </w:style>
  <w:style w:type="character" w:customStyle="1" w:styleId="HeaderChar">
    <w:name w:val="Header Char"/>
    <w:basedOn w:val="DefaultParagraphFont"/>
    <w:link w:val="Header"/>
    <w:uiPriority w:val="99"/>
    <w:semiHidden/>
    <w:rsid w:val="00F53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869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sfBJPWEw0FZ+bbdMQe/lHvupkw==">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zIOaC5ueW4wcjlkMHkyaHk4AHIhMUhrS3V3MV9qUVVBWUJnTmh3cXFERHI2clZLZ0FJMHFD</go:docsCustomData>
</go:gDocsCustomXmlDataStorage>
</file>

<file path=customXml/itemProps1.xml><?xml version="1.0" encoding="utf-8"?>
<ds:datastoreItem xmlns:ds="http://schemas.openxmlformats.org/officeDocument/2006/customXml" ds:itemID="{FB1F0CBA-8E2A-4E41-8076-28A778C9F67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14020</Words>
  <Characters>79916</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dc:creator>
  <cp:keywords/>
  <dc:description/>
  <cp:lastModifiedBy>M.I</cp:lastModifiedBy>
  <cp:revision>2</cp:revision>
  <dcterms:created xsi:type="dcterms:W3CDTF">2026-10-29T00:33:00Z</dcterms:created>
  <dcterms:modified xsi:type="dcterms:W3CDTF">2026-10-29T00:33:00Z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54964a56-7a66-3cf9-a152-36770125b617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https://csl.mendeley.com/styles/21371271/Jurnal-Agrikultura</vt:lpwstr>
  </property>
  <property fmtid="{D5CDD505-2E9C-101B-9397-08002B2CF9AE}" pid="22" name="Mendeley Recent Style Name 8_1">
    <vt:lpwstr>Jurnal Agrikultura</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3rd edition (note with bibliography)</vt:lpwstr>
  </property>
</Properties>
</file>